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media/image1.png" ContentType="image/png"/>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rFonts w:eastAsia="Garamond" w:cs="Garamond" w:ascii="Garamond" w:hAnsi="Garamond"/>
          <w:b/>
          <w:bCs/>
          <w:color w:val="002B22"/>
          <w:sz w:val="42"/>
          <w:szCs w:val="42"/>
        </w:rPr>
        <w:t>Travel &amp; Expense Reimbursement Policy</w:t>
      </w:r>
    </w:p>
    <w:p>
      <w:pPr>
        <w:pStyle w:val="Normal"/>
        <w:spacing w:before="0" w:after="180"/>
        <w:rPr/>
      </w:pPr>
      <w:r>
        <w:rPr>
          <w:rFonts w:eastAsia="Calibri" w:cs="Calibri" w:ascii="Calibri" w:hAnsi="Calibri"/>
          <w:i/>
          <w:iCs/>
          <w:color w:val="404040"/>
          <w:sz w:val="19"/>
          <w:szCs w:val="19"/>
        </w:rPr>
        <w:t>NUMBER — Business Travel &amp; Expense Guidelines</w:t>
      </w:r>
    </w:p>
    <w:p>
      <w:pPr>
        <w:pStyle w:val="Normal"/>
        <w:spacing w:lineRule="auto" w:line="336" w:before="0" w:after="120"/>
        <w:rPr/>
      </w:pPr>
      <w:r>
        <w:rPr>
          <w:rFonts w:eastAsia="Calibri" w:cs="Calibri" w:ascii="Calibri" w:hAnsi="Calibri"/>
          <w:i/>
          <w:iCs/>
          <w:color w:val="404040"/>
          <w:sz w:val="20"/>
          <w:szCs w:val="20"/>
        </w:rPr>
        <w:t>This policy defines the process for travel and entertainment expense reimbursement, ensuring expenses are within Company standards, properly documented, appropriately approved, and reimbursed in a timely manner.</w:t>
      </w:r>
    </w:p>
    <w:p>
      <w:pPr>
        <w:pStyle w:val="Normal"/>
        <w:spacing w:lineRule="auto" w:line="336" w:before="0" w:after="120"/>
        <w:rPr/>
      </w:pPr>
      <w:r>
        <w:rPr>
          <w:rFonts w:eastAsia="Calibri" w:cs="Calibri" w:ascii="Calibri" w:hAnsi="Calibri"/>
          <w:b w:val="false"/>
          <w:bCs w:val="false"/>
          <w:i w:val="false"/>
          <w:iCs w:val="false"/>
          <w:color w:val="404040"/>
          <w:sz w:val="20"/>
          <w:szCs w:val="20"/>
        </w:rPr>
        <w:t>To be reimbursed, expenses must have a clear business purpose consistent with the image of a professional organization. Good judgment is expected before incurring any expense on behalf of NUMBER ("Company") and employees are expected to use discretion if a situation arises that is not covered by this policy.</w:t>
      </w:r>
    </w:p>
    <w:p>
      <w:pPr>
        <w:pStyle w:val="Normal"/>
        <w:spacing w:lineRule="auto" w:line="336" w:before="0" w:after="120"/>
        <w:rPr/>
      </w:pPr>
      <w:r>
        <w:rPr>
          <w:rFonts w:eastAsia="Calibri" w:cs="Calibri" w:ascii="Calibri" w:hAnsi="Calibri"/>
          <w:b w:val="false"/>
          <w:bCs w:val="false"/>
          <w:i w:val="false"/>
          <w:iCs w:val="false"/>
          <w:color w:val="404040"/>
          <w:sz w:val="20"/>
          <w:szCs w:val="20"/>
        </w:rPr>
        <w:t>This policy clearly defines the process required for travel and entertainment expense reimbursement to ensure that expenses incurred are within Company good business standards, properly supported with required documentation, appropriately approved by management, and reimbursed in a timely manner.</w:t>
      </w:r>
    </w:p>
    <w:p>
      <w:pPr>
        <w:pStyle w:val="Normal"/>
        <w:spacing w:lineRule="auto" w:line="336" w:before="0" w:after="120"/>
        <w:rPr/>
      </w:pPr>
      <w:r>
        <w:rPr>
          <w:rFonts w:eastAsia="Calibri" w:cs="Calibri" w:ascii="Calibri" w:hAnsi="Calibri"/>
          <w:b w:val="false"/>
          <w:bCs w:val="false"/>
          <w:i w:val="false"/>
          <w:iCs w:val="false"/>
          <w:color w:val="404040"/>
          <w:sz w:val="20"/>
          <w:szCs w:val="20"/>
        </w:rPr>
        <w:t>Accuracy in reporting and documenting expenses is essential. Employee business expenses must meet record keeping requirements imposed by the Internal Revenue Service. NUMBER assumes no obligation to reimburse employees for expenses NOT in compliance with this policy or deemed not to be a necessary business expense. All expenses must be submitted for reimbursement within 30 days of travel or expense. Expenses submitted beyond 30 days will not be reimbursed.</w:t>
      </w:r>
    </w:p>
    <w:p>
      <w:pPr>
        <w:pStyle w:val="Normal"/>
        <w:spacing w:before="0" w:after="8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Responsibility</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The Employee is responsible for complying with this Policy. The manager who approves expense reports is responsible for accurately reviewing expense reports for compliance. NUMBER will reimburse employees for all reasonable and necessary expenses while traveling on authorized Company business or entertaining business clients. This Policy assumes no obligation to reimburse employees for expenses that are not in compliance with this Policy. All business travel must be pre-approved by the employee’s manager before booking.</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Frequent Flyer Programs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Employees may retain frequent flyer program benefits for their personal use or for business-related upgrades. However, participation in these programs must not influence flight selection, resulting in incremental cost to NUMBER beyond the lowest available airfare as defined in this policy. NUMBER will not reimburse employees for program membership fees or other costs associated with these programs.</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Lost Baggage</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The airlines are ultimately responsible for the retrieval of and compensation for lost luggage. NUMBER will not reimburse travelers for personal items lost while traveling on business. Employees are responsible for the care of Company property, such as laptops, when they are traveling.</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Payment Procedures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Air travel costs should be paid with your corporate credit card if one was issued. If you do not have a credit card or the means to travel, speak to your supervisor so other arrangements can be made on your behalf.</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Air Travel</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The best available fare should be secured when booking air travel reservations. All air travel should be in Economy Class.</w:t>
      </w:r>
    </w:p>
    <w:p>
      <w:pPr>
        <w:pStyle w:val="Normal"/>
        <w:spacing w:lineRule="auto" w:line="336" w:before="0" w:after="60"/>
        <w:rPr/>
      </w:pPr>
      <w:r>
        <w:rPr>
          <w:rFonts w:eastAsia="Calibri" w:cs="Calibri" w:ascii="Calibri" w:hAnsi="Calibri"/>
          <w:b w:val="false"/>
          <w:bCs w:val="false"/>
          <w:i w:val="false"/>
          <w:iCs w:val="false"/>
          <w:color w:val="404040"/>
          <w:sz w:val="20"/>
          <w:szCs w:val="20"/>
        </w:rPr>
        <w:t>When traveling by air:</w:t>
      </w:r>
    </w:p>
    <w:p>
      <w:pPr>
        <w:pStyle w:val="ListParagraph"/>
        <w:numPr>
          <w:ilvl w:val="0"/>
          <w:numId w:val="3"/>
        </w:numPr>
        <w:spacing w:lineRule="auto" w:line="336" w:before="0" w:after="60"/>
        <w:rPr/>
      </w:pPr>
      <w:r>
        <w:rPr>
          <w:rFonts w:eastAsia="Calibri" w:cs="Calibri" w:ascii="Calibri" w:hAnsi="Calibri"/>
          <w:b w:val="false"/>
          <w:bCs w:val="false"/>
          <w:i w:val="false"/>
          <w:iCs w:val="false"/>
          <w:color w:val="404040"/>
          <w:sz w:val="20"/>
          <w:szCs w:val="20"/>
        </w:rPr>
        <w:t>Employees are expected to use the lowest logical airfare available.</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Book tickets as early as possible to take advantage of advance purchase discounts. Airfares generally increase closer to the departure date, so booking as far in advance as possible typically results in the lowest fare.</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Upgrades for Air Travel</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Upgrades for air travel are not reimbursable. If an employee wishes to upgrade, it is done at the employee’s expense. Upgrades may be approved when a medical condition requires it and documentation from the employee’s physician is presented to proper management level pre-approving the trip.</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Alcoholic Beverages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In connection with a business-related meeting or event, NUMBER expects that employees will act responsibly and avoid excess consumption of any alcoholic beverage. If an employee has any concerns that he/she is not capable of safely driving after such events, NUMBER will reimburse the cost of alternative transportation to ensure that the employee does not place themselves or others in danger. An employee, who is arrested and convicted for Driving Under the Influence while in the performance of Company business, or when returning from a business meeting or event, will be subject to disciplinary action up to and including termination of employment.</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Necessity of Travel</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The person authorizing the travel should consider the costs of every trip. Less expensive alternatives, such as participation by telephone or video/web conferencing, or the availability of local programs or training opportunities, should also be considered.</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Personal and Spousal Travel Expenses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Individuals traveling on behalf of NUMBER may incorporate personal travel or business with Company-related trips. Additional expenses incurred as a result of personal travel, including but not limited to extra nights, additional stopovers, meals, and transportation, are the sole responsibility of the individual and will not be reimbursed by NUMBER. Expenses for an Employee’s family or friends will not be reimbursed by NUMBER.</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Expense Reports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Expenses will be reimbursed based on Expense Reports submitted through NUMBER’s expense report process. Expenses should be submitted for reimbursement within 30 days of completing the travel or incurring the expense. Exceptions are considered on a case-by-case basis and require justification. Persistent or deliberate non-compliance may result in disciplinary action. Approved reimbursements will be paid via the next scheduled payroll cycle following approval.</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Incomplete or Incorrect Expense Reports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Expense reports that are incorrect, incomplete or do not have a necessary business reason will be returned to the Employee and may be delayed or result in non-reimbursement of specific items.</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Receipts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Itemized receipts are required for all expenses. Business meals and entertainment expenses must include the client and/or employee names. Digital photos or scanned images of receipts are acceptable if they are legible. If a receipt is lost or not available, an addendum explaining the expense, why there is no receipt, and proof of payment must be submitted with the expense report.</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Cancellations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If a trip is cancelled after the ticket has been issued, the unused tickets must be used for future business travel only. Using unused airline tickets for personal travel is a violation of policy and subject to disciplinary action, up to and including termination of employment.</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Auto Travel / Car Rental</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Employees may rent a car to get to their destination when driving is more cost effective than airline travel. Employees may rent a car at their destination when it is less expensive than other transportation modes such as taxis, airport shuttles, etc. Whenever multiple employees are traveling together, every effort to rideshare or carpool must be made.</w:t>
      </w:r>
    </w:p>
    <w:p>
      <w:pPr>
        <w:pStyle w:val="Normal"/>
        <w:spacing w:lineRule="auto" w:line="336" w:before="0" w:after="120"/>
        <w:rPr/>
      </w:pPr>
      <w:r>
        <w:rPr>
          <w:rFonts w:eastAsia="Calibri" w:cs="Calibri" w:ascii="Calibri" w:hAnsi="Calibri"/>
          <w:b w:val="false"/>
          <w:bCs w:val="false"/>
          <w:i w:val="false"/>
          <w:iCs w:val="false"/>
          <w:color w:val="404040"/>
          <w:sz w:val="20"/>
          <w:szCs w:val="20"/>
        </w:rPr>
        <w:t>Employees must reserve a car in the compact or intermediate rental car category. At the time of rental, inspect the car and be sure that any damage found is noted on the contract before the vehicle is accepted.</w:t>
      </w:r>
    </w:p>
    <w:p>
      <w:pPr>
        <w:pStyle w:val="Normal"/>
        <w:spacing w:lineRule="auto" w:line="336" w:before="0" w:after="60"/>
        <w:rPr/>
      </w:pPr>
      <w:r>
        <w:rPr>
          <w:rFonts w:eastAsia="Calibri" w:cs="Calibri" w:ascii="Calibri" w:hAnsi="Calibri"/>
          <w:b w:val="false"/>
          <w:bCs w:val="false"/>
          <w:i w:val="false"/>
          <w:iCs w:val="false"/>
          <w:color w:val="404040"/>
          <w:sz w:val="20"/>
          <w:szCs w:val="20"/>
        </w:rPr>
        <w:t>Employees may book a car rental class of service one level higher when:</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The traveler can be upgraded at no extra cost;</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Two or more Company employees are traveling together;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Entertaining customers;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Cars in the authorized category are not available; or</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Transporting excess baggage such as trade show booth displays.</w:t>
      </w:r>
    </w:p>
    <w:p>
      <w:pPr>
        <w:pStyle w:val="Normal"/>
        <w:spacing w:lineRule="auto" w:line="336" w:before="0" w:after="60"/>
        <w:rPr/>
      </w:pPr>
      <w:r>
        <w:rPr>
          <w:rFonts w:eastAsia="Calibri" w:cs="Calibri" w:ascii="Calibri" w:hAnsi="Calibri"/>
          <w:b w:val="false"/>
          <w:bCs w:val="false"/>
          <w:i w:val="false"/>
          <w:iCs w:val="false"/>
          <w:color w:val="404040"/>
          <w:sz w:val="20"/>
          <w:szCs w:val="20"/>
        </w:rPr>
        <w:t>Guidelines to follow when renting vehicles: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Decline the refueling option and return the vehicle to the rental company with a full tank of gas;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Return rentals to the original rental location, if possible, to avoid costly drop-off charges;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Insurance should not be purchased from the rental company;</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Use of NUMBER’s corporate credit card for all vehicle rentals is preferred but not required; and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Should a rental car accident occur, employees should immediately contact local authorities and seek medical attention, if needed. As soon as possible thereafter, employees must contact the rental car company and their immediate supervisor.</w:t>
      </w:r>
    </w:p>
    <w:p>
      <w:pPr>
        <w:pStyle w:val="Normal"/>
        <w:spacing w:lineRule="auto" w:line="336" w:before="0" w:after="120"/>
        <w:rPr/>
      </w:pPr>
      <w:r>
        <w:rPr>
          <w:rFonts w:eastAsia="Calibri" w:cs="Calibri" w:ascii="Calibri" w:hAnsi="Calibri"/>
          <w:b w:val="false"/>
          <w:bCs w:val="false"/>
          <w:i w:val="false"/>
          <w:iCs w:val="false"/>
          <w:color w:val="404040"/>
          <w:sz w:val="20"/>
          <w:szCs w:val="20"/>
        </w:rPr>
        <w:t>Gasoline for use in rental cars is reimbursable with proper documentation.</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Taxi / Shuttle / Parking Fees</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The use of airport shuttles and taxis/ride share upon arrival at the employee’s destination is the preferred mode of transportation. Make sure to ask for a receipt if one is not offered.</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Business Use of Personal Vehicle</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Employees may use their personal vehicle for business purposes if it is less expensive than renting a car, taking a taxi, or using alternate transportation. Personal vehicles may also be used when transporting Company goods for delivery or entertaining clients. It is the personal responsibility of the vehicle owner to carry adequate insurance coverage for their protection and for the protection of any passengers. Mileage is reimbursed at the rate established by the IRS. This mileage allowance is in lieu of actual expenses for gasoline, oil, repairs, tags, insurance, and depreciation. Therefore, actual expenses for those items will not be reimbursed when your personal vehicle is used for business. NUMBER will NOT reimburse an employee for any repairs resulting from business travel.</w:t>
      </w:r>
    </w:p>
    <w:p>
      <w:pPr>
        <w:pStyle w:val="Normal"/>
        <w:spacing w:lineRule="auto" w:line="336" w:before="0" w:after="60"/>
        <w:rPr/>
      </w:pPr>
      <w:r>
        <w:rPr>
          <w:rFonts w:eastAsia="Calibri" w:cs="Calibri" w:ascii="Calibri" w:hAnsi="Calibri"/>
          <w:b w:val="false"/>
          <w:bCs w:val="false"/>
          <w:i w:val="false"/>
          <w:iCs w:val="false"/>
          <w:color w:val="404040"/>
          <w:sz w:val="20"/>
          <w:szCs w:val="20"/>
        </w:rPr>
        <w:t>To be reimbursed for the use of your personal vehicle for business, employees must list on the expense report:</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Date and purpose of the trip;</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Locations traveled to and from; and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Mileage (deduct your regular commute to and from your primary NUMBER office location from the business travel mileage).</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Lodging / Hotel</w:t>
            </w:r>
          </w:p>
        </w:tc>
      </w:tr>
    </w:tbl>
    <w:p>
      <w:pPr>
        <w:pStyle w:val="Normal"/>
        <w:spacing w:before="0" w:after="80"/>
        <w:rPr/>
      </w:pPr>
      <w:r>
        <w:rPr/>
      </w:r>
    </w:p>
    <w:p>
      <w:pPr>
        <w:pStyle w:val="Normal"/>
        <w:spacing w:lineRule="auto" w:line="336" w:before="0" w:after="60"/>
        <w:rPr/>
      </w:pPr>
      <w:r>
        <w:rPr>
          <w:rFonts w:eastAsia="Calibri" w:cs="Calibri" w:ascii="Calibri" w:hAnsi="Calibri"/>
          <w:b w:val="false"/>
          <w:bCs w:val="false"/>
          <w:i w:val="false"/>
          <w:iCs w:val="false"/>
          <w:color w:val="404040"/>
          <w:sz w:val="20"/>
          <w:szCs w:val="20"/>
        </w:rPr>
        <w:t>The best available rate should be secured when booking hotel reservations. Hotel rooms should be guaranteed for late arrival and cancellations should be made before the time limit shown on the itinerary (usually between 4:00 pm – 6:00 pm local time of the property) to avoid "no show" charges. In case of cancellation:</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Employees are responsible for cancelling the reservation;</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Employees will be held responsible and will not be reimbursed for "no-show" charges unless there is sufficient proof that the billing is in error or circumstances were beyond the traveler’s control; and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Employees should request and record the cancellation number in case of billing disputes.</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Meals</w:t>
            </w:r>
          </w:p>
        </w:tc>
      </w:tr>
    </w:tbl>
    <w:p>
      <w:pPr>
        <w:pStyle w:val="Normal"/>
        <w:spacing w:before="0" w:after="80"/>
        <w:rPr/>
      </w:pPr>
      <w:r>
        <w:rPr/>
      </w:r>
    </w:p>
    <w:p>
      <w:pPr>
        <w:pStyle w:val="Normal"/>
        <w:spacing w:lineRule="auto" w:line="336" w:before="0" w:after="60"/>
        <w:rPr/>
      </w:pPr>
      <w:r>
        <w:rPr>
          <w:rFonts w:eastAsia="Calibri" w:cs="Calibri" w:ascii="Calibri" w:hAnsi="Calibri"/>
          <w:b w:val="false"/>
          <w:bCs w:val="false"/>
          <w:i w:val="false"/>
          <w:iCs w:val="false"/>
          <w:color w:val="404040"/>
          <w:sz w:val="20"/>
          <w:szCs w:val="20"/>
        </w:rPr>
        <w:t>Below are meal guidelines with the understanding that in some markets meal(s) may cost more.</w:t>
      </w:r>
    </w:p>
    <w:p>
      <w:pPr>
        <w:pStyle w:val="ListParagraph"/>
        <w:numPr>
          <w:ilvl w:val="0"/>
          <w:numId w:val="1"/>
        </w:numPr>
        <w:spacing w:lineRule="auto" w:line="336" w:before="0" w:after="60"/>
        <w:rPr/>
      </w:pPr>
      <w:r>
        <w:rPr>
          <w:rFonts w:eastAsia="Calibri" w:cs="Calibri" w:ascii="Calibri" w:hAnsi="Calibri"/>
          <w:b/>
          <w:bCs/>
          <w:i w:val="false"/>
          <w:iCs w:val="false"/>
          <w:color w:val="404040"/>
          <w:sz w:val="20"/>
          <w:szCs w:val="20"/>
        </w:rPr>
        <w:t>Breakfast</w:t>
      </w:r>
      <w:r>
        <w:rPr>
          <w:rFonts w:eastAsia="Calibri" w:cs="Calibri" w:ascii="Calibri" w:hAnsi="Calibri"/>
          <w:b w:val="false"/>
          <w:bCs w:val="false"/>
          <w:i w:val="false"/>
          <w:iCs w:val="false"/>
          <w:color w:val="404040"/>
          <w:sz w:val="20"/>
          <w:szCs w:val="20"/>
        </w:rPr>
        <w:t xml:space="preserve"> — Employees may reclaim the cost of breakfast where they are working away from their normal place of work and this requires being away from home overnight. It is expected that this will normally be covered as part of the hotel room booking. Where it is not included in the hotel booking, the reclaimable guideline is limited to $15 US dollars per breakfast. Managers may approve a higher amount in high-cost-of-living markets.</w:t>
      </w:r>
    </w:p>
    <w:p>
      <w:pPr>
        <w:pStyle w:val="ListParagraph"/>
        <w:numPr>
          <w:ilvl w:val="0"/>
          <w:numId w:val="1"/>
        </w:numPr>
        <w:spacing w:lineRule="auto" w:line="336" w:before="0" w:after="60"/>
        <w:rPr/>
      </w:pPr>
      <w:r>
        <w:rPr>
          <w:rFonts w:eastAsia="Calibri" w:cs="Calibri" w:ascii="Calibri" w:hAnsi="Calibri"/>
          <w:b/>
          <w:bCs/>
          <w:i w:val="false"/>
          <w:iCs w:val="false"/>
          <w:color w:val="404040"/>
          <w:sz w:val="20"/>
          <w:szCs w:val="20"/>
        </w:rPr>
        <w:t>Lunches and daily incidentals</w:t>
      </w:r>
      <w:r>
        <w:rPr>
          <w:rFonts w:eastAsia="Calibri" w:cs="Calibri" w:ascii="Calibri" w:hAnsi="Calibri"/>
          <w:b w:val="false"/>
          <w:bCs w:val="false"/>
          <w:i w:val="false"/>
          <w:iCs w:val="false"/>
          <w:color w:val="404040"/>
          <w:sz w:val="20"/>
          <w:szCs w:val="20"/>
        </w:rPr>
        <w:t xml:space="preserve"> — All lunches, snacks and incidental drinks are not allowed to be reclaimed as these are considered to be part of the normal workday, however managers can make exceptions. Claims must be fully supported by receipts with a limited guideline of $25 US dollars per meal.</w:t>
      </w:r>
    </w:p>
    <w:p>
      <w:pPr>
        <w:pStyle w:val="ListParagraph"/>
        <w:numPr>
          <w:ilvl w:val="0"/>
          <w:numId w:val="1"/>
        </w:numPr>
        <w:spacing w:lineRule="auto" w:line="336" w:before="0" w:after="60"/>
        <w:rPr/>
      </w:pPr>
      <w:r>
        <w:rPr>
          <w:rFonts w:eastAsia="Calibri" w:cs="Calibri" w:ascii="Calibri" w:hAnsi="Calibri"/>
          <w:b/>
          <w:bCs/>
          <w:i w:val="false"/>
          <w:iCs w:val="false"/>
          <w:color w:val="404040"/>
          <w:sz w:val="20"/>
          <w:szCs w:val="20"/>
        </w:rPr>
        <w:t>Evening meal</w:t>
      </w:r>
      <w:r>
        <w:rPr>
          <w:rFonts w:eastAsia="Calibri" w:cs="Calibri" w:ascii="Calibri" w:hAnsi="Calibri"/>
          <w:b w:val="false"/>
          <w:bCs w:val="false"/>
          <w:i w:val="false"/>
          <w:iCs w:val="false"/>
          <w:color w:val="404040"/>
          <w:sz w:val="20"/>
          <w:szCs w:val="20"/>
        </w:rPr>
        <w:t xml:space="preserve"> — Employees may claim for an evening meal where they are working away from their normal place of work, and this requires being away from home overnight. Claims must be fully supported by receipts with a limited guideline of $45 US dollars per evening meal. Managers may approve a higher amount in high-cost-of-living markets.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Tips must be limited to no more than 20% of the cost of the meal and only provided where it is customary to offer such gratuities. Anything above this level will not be reimbursed.</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Client Entertaining</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Business meals are defined as meal expenses incurred when a client is present. When business entertaining costs will exceed $200, a member of the Leadership Team will be required to approve in advance.</w:t>
      </w:r>
    </w:p>
    <w:p>
      <w:pPr>
        <w:pStyle w:val="Normal"/>
        <w:spacing w:lineRule="auto" w:line="336" w:before="0" w:after="60"/>
        <w:rPr/>
      </w:pPr>
      <w:r>
        <w:rPr>
          <w:rFonts w:eastAsia="Calibri" w:cs="Calibri" w:ascii="Calibri" w:hAnsi="Calibri"/>
          <w:b w:val="false"/>
          <w:bCs w:val="false"/>
          <w:i w:val="false"/>
          <w:iCs w:val="false"/>
          <w:color w:val="404040"/>
          <w:sz w:val="20"/>
          <w:szCs w:val="20"/>
        </w:rPr>
        <w:t>In addition to receipts, the following documentation is required by the IRS, and must be recorded on the expense report:</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Names of individuals present, their titles and Company name;</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Name and location where the meal or event took place; and</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Exact amount and date of the expense.</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Parking / Tolls / Mileage</w:t>
            </w:r>
          </w:p>
        </w:tc>
      </w:tr>
    </w:tbl>
    <w:p>
      <w:pPr>
        <w:pStyle w:val="Normal"/>
        <w:spacing w:before="0" w:after="80"/>
        <w:rPr/>
      </w:pPr>
      <w:r>
        <w:rPr/>
      </w:r>
    </w:p>
    <w:p>
      <w:pPr>
        <w:pStyle w:val="Normal"/>
        <w:spacing w:lineRule="auto" w:line="336" w:before="0" w:after="120"/>
        <w:rPr/>
      </w:pPr>
      <w:r>
        <w:rPr>
          <w:rFonts w:eastAsia="Calibri" w:cs="Calibri" w:ascii="Calibri" w:hAnsi="Calibri"/>
          <w:b w:val="false"/>
          <w:bCs w:val="false"/>
          <w:i w:val="false"/>
          <w:iCs w:val="false"/>
          <w:color w:val="404040"/>
          <w:sz w:val="20"/>
          <w:szCs w:val="20"/>
        </w:rPr>
        <w:t>Parking and toll expenses, including charges for hotel parking, incurred by employees traveling on Company business will be reimbursed. On-airport parking is permitted for short business trips. For extended trips, employees should use off-airport facilities.</w:t>
      </w:r>
    </w:p>
    <w:p>
      <w:pPr>
        <w:pStyle w:val="Normal"/>
        <w:spacing w:before="0" w:after="120"/>
        <w:rPr/>
      </w:pPr>
      <w:r>
        <w:rPr/>
      </w:r>
    </w:p>
    <w:tbl>
      <w:tblPr>
        <w:tblW w:w="10080" w:type="dxa"/>
        <w:jc w:val="start"/>
        <w:tblInd w:w="0" w:type="dxa"/>
        <w:tblLayout w:type="fixed"/>
        <w:tblCellMar>
          <w:top w:w="80" w:type="dxa"/>
          <w:start w:w="160" w:type="dxa"/>
          <w:bottom w:w="80" w:type="dxa"/>
          <w:end w:w="100" w:type="dxa"/>
        </w:tblCellMar>
      </w:tblPr>
      <w:tblGrid>
        <w:gridCol w:w="10080"/>
      </w:tblGrid>
      <w:tr>
        <w:trPr/>
        <w:tc>
          <w:tcPr>
            <w:tcW w:w="10080" w:type="dxa"/>
            <w:tcBorders>
              <w:start w:val="single" w:sz="24" w:space="0" w:color="98C848"/>
              <w:bottom w:val="single" w:sz="6" w:space="0" w:color="C9D6C7"/>
            </w:tcBorders>
          </w:tcPr>
          <w:p>
            <w:pPr>
              <w:pStyle w:val="Normal"/>
              <w:rPr/>
            </w:pPr>
            <w:r>
              <w:rPr>
                <w:rFonts w:eastAsia="Garamond" w:cs="Garamond" w:ascii="Garamond" w:hAnsi="Garamond"/>
                <w:b/>
                <w:bCs/>
                <w:color w:val="002B22"/>
                <w:sz w:val="26"/>
                <w:szCs w:val="26"/>
              </w:rPr>
              <w:t>Non-Reimbursable Travel Expenses</w:t>
            </w:r>
          </w:p>
        </w:tc>
      </w:tr>
    </w:tbl>
    <w:p>
      <w:pPr>
        <w:pStyle w:val="Normal"/>
        <w:spacing w:before="0" w:after="80"/>
        <w:rPr/>
      </w:pPr>
      <w:r>
        <w:rPr/>
      </w:r>
    </w:p>
    <w:p>
      <w:pPr>
        <w:pStyle w:val="Normal"/>
        <w:spacing w:lineRule="auto" w:line="336" w:before="0" w:after="60"/>
        <w:rPr/>
      </w:pPr>
      <w:r>
        <w:rPr>
          <w:rFonts w:eastAsia="Calibri" w:cs="Calibri" w:ascii="Calibri" w:hAnsi="Calibri"/>
          <w:b w:val="false"/>
          <w:bCs w:val="false"/>
          <w:i w:val="false"/>
          <w:iCs w:val="false"/>
          <w:color w:val="404040"/>
          <w:sz w:val="20"/>
          <w:szCs w:val="20"/>
        </w:rPr>
        <w:t>NUMBER will generally not reimburse employees for the following expenses: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In-room movie rentals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Personal bar bills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Parking tickets, traffic citations or speeding tickets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No replacement or reimbursement of personal property lost, stolen or damaged (sunglasses, briefcase, cell phone, etc.)</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Insurance costs for luggage via air or ground level</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Automobile repairs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Upgrade for air, hotel, or vehicle rental</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Personal care items, cosmetics, nail or hair salon expenses, etc.</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Health club fees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Spouse’s / partner’s expenses if accompanying a NUMBER employee on a trip</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Kennel fees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Political or charitable contributions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Childcare expenses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Personal or over-the-counter medications</w:t>
      </w:r>
    </w:p>
    <w:p>
      <w:pPr>
        <w:pStyle w:val="ListParagraph"/>
        <w:numPr>
          <w:ilvl w:val="0"/>
          <w:numId w:val="1"/>
        </w:numPr>
        <w:spacing w:lineRule="auto" w:line="336" w:before="0" w:after="60"/>
        <w:rPr/>
      </w:pPr>
      <w:r>
        <w:rPr>
          <w:rFonts w:eastAsia="Calibri" w:cs="Calibri" w:ascii="Calibri" w:hAnsi="Calibri"/>
          <w:b w:val="false"/>
          <w:bCs w:val="false"/>
          <w:i w:val="false"/>
          <w:iCs w:val="false"/>
          <w:color w:val="404040"/>
          <w:sz w:val="20"/>
          <w:szCs w:val="20"/>
        </w:rPr>
        <w:t>Laundry and/or dry-cleaning charges (unless claimant spends five (5) or more nights out of town)</w:t>
      </w:r>
    </w:p>
    <w:p>
      <w:pPr>
        <w:pStyle w:val="Normal"/>
        <w:spacing w:before="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itlePg/>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aramond">
    <w:charset w:val="01" w:characterSet="utf-8"/>
    <w:family w:val="roman"/>
    <w:pitch w:val="variable"/>
  </w:font>
  <w:font w:name="Calibri">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8" w:space="4" w:color="98C848"/>
      </w:pBdr>
      <w:jc w:val="center"/>
      <w:rPr/>
    </w:pPr>
    <w:r>
      <w:rPr/>
    </w:r>
  </w:p>
  <w:p>
    <w:pPr>
      <w:pStyle w:val="Normal"/>
      <w:pBdr>
        <w:top w:val="single" w:sz="30" w:space="0" w:color="000000"/>
      </w:pBdr>
      <w:spacing w:before="40" w:after="0"/>
      <w:jc w:val="center"/>
      <w:rPr/>
    </w:pPr>
    <w:r>
      <w:rPr>
        <w:rFonts w:eastAsia="Calibri" w:cs="Calibri" w:ascii="Calibri" w:hAnsi="Calibri"/>
        <w:color w:val="404040"/>
        <w:sz w:val="15"/>
        <w:szCs w:val="15"/>
      </w:rPr>
      <w:t>N U M B E R    •    P O   B O X   2 3 8 0 ,   S O U T H   P O R T L A N D ,   M E   0 4 1 1 6    •    N U M B E R . T E C H</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start"/>
      <w:tblInd w:w="0" w:type="dxa"/>
      <w:tblLayout w:type="fixed"/>
      <w:tblCellMar>
        <w:top w:w="160" w:type="dxa"/>
        <w:start w:w="200" w:type="dxa"/>
        <w:bottom w:w="160" w:type="dxa"/>
        <w:end w:w="200" w:type="dxa"/>
      </w:tblCellMar>
    </w:tblPr>
    <w:tblGrid>
      <w:gridCol w:w="10080"/>
    </w:tblGrid>
    <w:tr>
      <w:trPr/>
      <w:tc>
        <w:tcPr>
          <w:tcW w:w="10080" w:type="dxa"/>
          <w:tcBorders>
            <w:bottom w:val="single" w:sz="18" w:space="0" w:color="98C848"/>
          </w:tcBorders>
          <w:shd w:color="auto" w:fill="002B22" w:val="clear"/>
        </w:tcPr>
        <w:p>
          <w:pPr>
            <w:pStyle w:val="Normal"/>
            <w:jc w:val="start"/>
            <w:rPr/>
          </w:pPr>
          <w:r>
            <w:rPr/>
            <w:drawing>
              <wp:inline distT="0" distB="0" distL="0" distR="0">
                <wp:extent cx="1924050" cy="52387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tretch>
                          <a:fillRect/>
                        </a:stretch>
                      </pic:blipFill>
                      <pic:spPr bwMode="auto">
                        <a:xfrm>
                          <a:off x="0" y="0"/>
                          <a:ext cx="1924050" cy="523875"/>
                        </a:xfrm>
                        <a:prstGeom prst="rect">
                          <a:avLst/>
                        </a:prstGeom>
                      </pic:spPr>
                    </pic:pic>
                  </a:graphicData>
                </a:graphic>
              </wp:inline>
            </w:drawing>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Free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Free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2026-09-01T14:20:48Z</dcterms:created>
  <dc:creator>Un-named</dc:creator>
  <dc:description/>
  <dc:language>en-US</dc:language>
  <cp:lastModifiedBy>Un-named</cp:lastModifiedBy>
  <dcterms:modified xsi:type="dcterms:W3CDTF">2026-09-01T14:20:48Z</dcterms:modified>
  <cp:revision>1</cp:revision>
  <dc:subject/>
  <dc:title/>
</cp:coreProperties>
</file>