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Garamond" w:cs="Garamond" w:ascii="Garamond" w:hAnsi="Garamond"/>
          <w:b/>
          <w:bCs/>
          <w:color w:val="002B22"/>
          <w:sz w:val="42"/>
          <w:szCs w:val="42"/>
        </w:rPr>
        <w:t>Communications and Computer Use Policy</w:t>
      </w:r>
    </w:p>
    <w:p>
      <w:pPr>
        <w:pStyle w:val="Normal"/>
        <w:spacing w:before="0" w:after="180"/>
        <w:rPr/>
      </w:pPr>
      <w:r>
        <w:rPr>
          <w:rFonts w:eastAsia="Calibri" w:cs="Calibri" w:ascii="Calibri" w:hAnsi="Calibri"/>
          <w:i/>
          <w:iCs/>
          <w:color w:val="404040"/>
          <w:sz w:val="19"/>
          <w:szCs w:val="19"/>
        </w:rPr>
        <w:t>NUMBER — Updated August 18, 2026</w:t>
      </w:r>
    </w:p>
    <w:p>
      <w:pPr>
        <w:pStyle w:val="Normal"/>
        <w:spacing w:lineRule="auto" w:line="336" w:before="0" w:after="120"/>
        <w:rPr/>
      </w:pPr>
      <w:r>
        <w:rPr>
          <w:rFonts w:eastAsia="Calibri" w:cs="Calibri" w:ascii="Calibri" w:hAnsi="Calibri"/>
          <w:i/>
          <w:iCs/>
          <w:color w:val="404040"/>
          <w:sz w:val="20"/>
          <w:szCs w:val="20"/>
        </w:rPr>
        <w:t>This policy governs the appropriate use of NUMBER’s computers, network, telephone, voice mail, email, and social media.</w:t>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Computer Systems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NUMBER’s computers and network are provided for purposes related to company operations and performance of an employee’s job responsibilities. Incidental personal use of computers is permitted as long as such use: 1) does not interfere with the job responsibilities and performance of the employee and/or co-workers; 2) does not interfere with system operations; and 3) does not violate this policy and/or any laws. "Incidental personal use" is defined as use by an individual employee for occasional personal communications.</w:t>
      </w:r>
    </w:p>
    <w:p>
      <w:pPr>
        <w:pStyle w:val="Normal"/>
        <w:spacing w:lineRule="auto" w:line="336" w:before="0" w:after="60"/>
        <w:rPr/>
      </w:pPr>
      <w:r>
        <w:rPr>
          <w:rFonts w:eastAsia="Calibri" w:cs="Calibri" w:ascii="Calibri" w:hAnsi="Calibri"/>
          <w:b w:val="false"/>
          <w:bCs w:val="false"/>
          <w:i w:val="false"/>
          <w:iCs w:val="false"/>
          <w:color w:val="404040"/>
          <w:sz w:val="20"/>
          <w:szCs w:val="20"/>
        </w:rPr>
        <w:t>Some examples of inappropriate uses of computers include but are not limited to the following:</w:t>
      </w:r>
    </w:p>
    <w:p>
      <w:pPr>
        <w:pStyle w:val="ListParagraph"/>
        <w:numPr>
          <w:ilvl w:val="0"/>
          <w:numId w:val="3"/>
        </w:numPr>
        <w:spacing w:lineRule="auto" w:line="336" w:before="0" w:after="60"/>
        <w:rPr/>
      </w:pPr>
      <w:r>
        <w:rPr>
          <w:rFonts w:eastAsia="Calibri" w:cs="Calibri" w:ascii="Calibri" w:hAnsi="Calibri"/>
          <w:b w:val="false"/>
          <w:bCs w:val="false"/>
          <w:i w:val="false"/>
          <w:iCs w:val="false"/>
          <w:color w:val="404040"/>
          <w:sz w:val="20"/>
          <w:szCs w:val="20"/>
        </w:rPr>
        <w:t>Transmitting or receiving sexually explicit comments or images;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Transmitting or receiving materials or images that may offend or harass someone based on their race, color, sex, religion, national origin, age, sexual orientation, genetic information or physical and/or mental disability;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Any use of computers prohibited by state or federal laws, including but not limited to, online gambling of any kind;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Using computers for profit-making purposes;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Accessing and/or sharing company files and materials without proper authorization;</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Unauthorized downloading of material from the internet for non-work use;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Unauthorized or illegal downloading or copying of software;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Disruptive acts, such as introducing viruses, malware or spyware into the computer system;</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Installation of unauthorized software;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Access of NUMBER’s network by unauthorized computers, tablets, smart phones or removable data;</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Using someone else’s password or providing others with your password;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Using computers for non-work-related activities such as shopping on the Internet, or personal emails or solicitations, except as specified in this policy.</w:t>
      </w:r>
    </w:p>
    <w:p>
      <w:pPr>
        <w:pStyle w:val="Normal"/>
        <w:spacing w:lineRule="auto" w:line="336" w:before="0" w:after="120"/>
        <w:rPr/>
      </w:pPr>
      <w:r>
        <w:rPr>
          <w:rFonts w:eastAsia="Calibri" w:cs="Calibri" w:ascii="Calibri" w:hAnsi="Calibri"/>
          <w:b w:val="false"/>
          <w:bCs w:val="false"/>
          <w:i w:val="false"/>
          <w:iCs w:val="false"/>
          <w:color w:val="404040"/>
          <w:sz w:val="20"/>
          <w:szCs w:val="20"/>
        </w:rPr>
        <w:t>For recreational purposes, NUMBER provides employees with time that can be used during lunch and breaks to access the internet for personal use. Personal use must be consistent with this policy and applicable state and federal law.</w:t>
      </w:r>
    </w:p>
    <w:p>
      <w:pPr>
        <w:pStyle w:val="Normal"/>
        <w:spacing w:lineRule="auto" w:line="336" w:before="0" w:after="120"/>
        <w:rPr/>
      </w:pPr>
      <w:r>
        <w:rPr>
          <w:rFonts w:eastAsia="Calibri" w:cs="Calibri" w:ascii="Calibri" w:hAnsi="Calibri"/>
          <w:b w:val="false"/>
          <w:bCs w:val="false"/>
          <w:i w:val="false"/>
          <w:iCs w:val="false"/>
          <w:color w:val="404040"/>
          <w:sz w:val="20"/>
          <w:szCs w:val="20"/>
        </w:rPr>
        <w:t>All computers and computer equipment remain under the control, custody, ownership, and supervision of NUMBER. NUMBER may conduct electronic monitoring of Company computers and Internet activity. Consistent with Maine’s electronic monitoring notice law (26 M.R.S. § 620-A) and other applicable law, NUMBER will provide written notice to employees before any such monitoring begins, and at least once per year thereafter, describing the types of electronic monitoring in use. Job applicants are notified that electronic monitoring is used as part of NUMBER’s hiring process. NUMBER will not require you to install monitoring software on a personal device without your consent, and you may decline such a request. Except where necessary to perform a specific job duty, NUMBER will not conduct electronic monitoring in your home, personal vehicle, or other personal property.</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Telephone and Voice Mail</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Employees are expected to conduct themselves in a professional manner at all times when using NUMBER’s telephone and voice mail systems. Company telephones and voice mail are provided to support business operations. Consistent with Maine’s electronic monitoring notice law (26 M.R.S. § 620-A) and other applicable law, NUMBER will provide written notice — before call monitoring or recording begins, and at least annually thereafter — describing NUMBER’s use of call monitoring or recording for quality assurance, security, or other reasonable business purposes. Any such recordings are the property of NUMBER.</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Email</w:t>
            </w:r>
          </w:p>
        </w:tc>
      </w:tr>
    </w:tbl>
    <w:p>
      <w:pPr>
        <w:pStyle w:val="Normal"/>
        <w:spacing w:before="0" w:after="80"/>
        <w:rPr/>
      </w:pPr>
      <w:r>
        <w:rPr/>
      </w:r>
    </w:p>
    <w:tbl>
      <w:tblPr>
        <w:tblW w:w="10080" w:type="dxa"/>
        <w:jc w:val="start"/>
        <w:tblInd w:w="0" w:type="dxa"/>
        <w:tblLayout w:type="fixed"/>
        <w:tblCellMar>
          <w:top w:w="140" w:type="dxa"/>
          <w:start w:w="180" w:type="dxa"/>
          <w:bottom w:w="140" w:type="dxa"/>
          <w:end w:w="180" w:type="dxa"/>
        </w:tblCellMar>
      </w:tblPr>
      <w:tblGrid>
        <w:gridCol w:w="10080"/>
      </w:tblGrid>
      <w:tr>
        <w:trPr/>
        <w:tc>
          <w:tcPr>
            <w:tcW w:w="10080" w:type="dxa"/>
            <w:tcBorders>
              <w:top w:val="single" w:sz="4" w:space="0" w:color="002B22"/>
              <w:start w:val="single" w:sz="4" w:space="0" w:color="002B22"/>
              <w:bottom w:val="single" w:sz="4" w:space="0" w:color="002B22"/>
              <w:end w:val="single" w:sz="4" w:space="0" w:color="002B22"/>
            </w:tcBorders>
            <w:shd w:color="auto" w:fill="EEF3EA" w:val="clear"/>
          </w:tcPr>
          <w:p>
            <w:pPr>
              <w:pStyle w:val="Normal"/>
              <w:spacing w:lineRule="auto" w:line="336" w:before="0" w:after="0"/>
              <w:rPr/>
            </w:pPr>
            <w:r>
              <w:rPr>
                <w:rFonts w:eastAsia="Calibri" w:cs="Calibri" w:ascii="Calibri" w:hAnsi="Calibri"/>
                <w:b w:val="false"/>
                <w:bCs w:val="false"/>
                <w:i w:val="false"/>
                <w:iCs w:val="false"/>
                <w:color w:val="404040"/>
                <w:sz w:val="20"/>
                <w:szCs w:val="20"/>
              </w:rPr>
              <w:t>All outgoing company email messages must contain the name of the employee, company address and phone, the company logo, and the following verbiage: "CONFIDENTIALITY NOTICE: This email message, including any attachments, is for the sole use of the intended recipient(s) and may contain confidential and privileged information. Any unauthorized review, use, disclosure or distribution is prohibited. If you are not the intended recipient, please contact the sender by reply email and destroy all copies of the original message."</w:t>
            </w:r>
          </w:p>
        </w:tc>
      </w:tr>
    </w:tbl>
    <w:p>
      <w:pPr>
        <w:pStyle w:val="Normal"/>
        <w:spacing w:before="0" w:after="12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Employees are required to use good judgment in their use of email to ensure that all messages and included content do not diminish the professional image of the employee, co-workers or NUMBER; do not violate NUMBER’s policies, including the harassment policy; and do not violate NUMBER’s Nondisclosure Agreement (NDA).</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Personal Calls &amp; Text Messages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In general, personal telephone calls and text messages should not be made or received during work hours. They may not only interfere with the work of that individual but also interfere with co-workers’ ability to perform their responsibilities. We understand that employees may occasionally have emergencies or personal matters that can only be handled during business hours, but whether the discussion occurs through a personal cell phone or NUMBER’s telephone system, employees are expected to limit personal calls and text messages to a minimum.</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Social Media</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For purposes of this policy, "social media" means online media and communication applications such as social networking sites, blogs, podcasts, forums and other online information sources.</w:t>
      </w:r>
    </w:p>
    <w:p>
      <w:pPr>
        <w:pStyle w:val="Normal"/>
        <w:spacing w:lineRule="auto" w:line="336" w:before="0" w:after="120"/>
        <w:rPr/>
      </w:pPr>
      <w:r>
        <w:rPr>
          <w:rFonts w:eastAsia="Calibri" w:cs="Calibri" w:ascii="Calibri" w:hAnsi="Calibri"/>
          <w:b w:val="false"/>
          <w:bCs w:val="false"/>
          <w:i w:val="false"/>
          <w:iCs w:val="false"/>
          <w:color w:val="404040"/>
          <w:sz w:val="20"/>
          <w:szCs w:val="20"/>
        </w:rPr>
        <w:t>NUMBER maintains an official presence on specific online media applications and websites in order to promote its image and business. Only authorized employees are allowed to create, modify or remove content in these applications, and department heads are responsible for monitoring content to ensure that it meets NUMBER’s professional standards. Copyrighted material may not be posted unless prior permission has been obtained by the copyright holder.</w:t>
      </w:r>
    </w:p>
    <w:p>
      <w:pPr>
        <w:pStyle w:val="Normal"/>
        <w:spacing w:lineRule="auto" w:line="336" w:before="0" w:after="120"/>
        <w:rPr/>
      </w:pPr>
      <w:r>
        <w:rPr>
          <w:rFonts w:eastAsia="Calibri" w:cs="Calibri" w:ascii="Calibri" w:hAnsi="Calibri"/>
          <w:b w:val="false"/>
          <w:bCs w:val="false"/>
          <w:i w:val="false"/>
          <w:iCs w:val="false"/>
          <w:color w:val="404040"/>
          <w:sz w:val="20"/>
          <w:szCs w:val="20"/>
        </w:rPr>
        <w:t>Individual employees may be authorized to utilize particular social media for business purposes. Any use of social media for authorized business purposes must be professional in tone and content, comply with all NUMBER policies and not disclose any confidential business information as described in NUMBER’s Nondisclosure Agreement (NDA). If an employee is unsure whether particular information may be discussed or disclosed, they are expected to consult with their manager.</w:t>
      </w:r>
    </w:p>
    <w:p>
      <w:pPr>
        <w:pStyle w:val="Normal"/>
        <w:spacing w:lineRule="auto" w:line="336" w:before="0" w:after="120"/>
        <w:rPr/>
      </w:pPr>
      <w:r>
        <w:rPr>
          <w:rFonts w:eastAsia="Calibri" w:cs="Calibri" w:ascii="Calibri" w:hAnsi="Calibri"/>
          <w:b w:val="false"/>
          <w:bCs w:val="false"/>
          <w:i w:val="false"/>
          <w:iCs w:val="false"/>
          <w:color w:val="404040"/>
          <w:sz w:val="20"/>
          <w:szCs w:val="20"/>
        </w:rPr>
        <w:t>Use of social media for personal purposes is not allowed during work time, except during lunch and breaks. Employees are required to use good judgment in their personal use of social media to ensure that posts, photographs, videos and other content do not diminish the professional image of the employee, co-workers or NUMBER; do not violate NUMBER’s policies, including the harassment policy; and do not violate NUMBER’s Nondisclosure Agreement (NDA).</w:t>
      </w:r>
    </w:p>
    <w:tbl>
      <w:tblPr>
        <w:tblW w:w="10080" w:type="dxa"/>
        <w:jc w:val="start"/>
        <w:tblInd w:w="0" w:type="dxa"/>
        <w:tblLayout w:type="fixed"/>
        <w:tblCellMar>
          <w:top w:w="140" w:type="dxa"/>
          <w:start w:w="180" w:type="dxa"/>
          <w:bottom w:w="140" w:type="dxa"/>
          <w:end w:w="180" w:type="dxa"/>
        </w:tblCellMar>
      </w:tblPr>
      <w:tblGrid>
        <w:gridCol w:w="10080"/>
      </w:tblGrid>
      <w:tr>
        <w:trPr/>
        <w:tc>
          <w:tcPr>
            <w:tcW w:w="10080" w:type="dxa"/>
            <w:tcBorders>
              <w:top w:val="single" w:sz="4" w:space="0" w:color="002B22"/>
              <w:start w:val="single" w:sz="4" w:space="0" w:color="002B22"/>
              <w:bottom w:val="single" w:sz="4" w:space="0" w:color="002B22"/>
              <w:end w:val="single" w:sz="4" w:space="0" w:color="002B22"/>
            </w:tcBorders>
            <w:shd w:color="auto" w:fill="EEF3EA" w:val="clear"/>
          </w:tcPr>
          <w:p>
            <w:pPr>
              <w:pStyle w:val="Normal"/>
              <w:spacing w:lineRule="auto" w:line="336" w:before="0" w:after="0"/>
              <w:rPr/>
            </w:pPr>
            <w:r>
              <w:rPr>
                <w:rFonts w:eastAsia="Calibri" w:cs="Calibri" w:ascii="Calibri" w:hAnsi="Calibri"/>
                <w:b w:val="false"/>
                <w:bCs w:val="false"/>
                <w:i w:val="false"/>
                <w:iCs w:val="false"/>
                <w:color w:val="404040"/>
                <w:sz w:val="20"/>
                <w:szCs w:val="20"/>
              </w:rPr>
              <w:t>Nothing in this policy limits an employee’s right under the National Labor Relations Act to discuss wages, hours, or other terms and conditions of employment, or to engage in other legally protected activity.</w:t>
            </w:r>
          </w:p>
        </w:tc>
      </w:tr>
    </w:tbl>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Policy Violations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If NUMBER becomes aware of any activity that violates this Communications and Computer Use Policy, the employee may be subject to discipline, up to and including termination, at NUMBER’s sole discretion. This policy does not prohibit employees from engaging in activity protected under the National Labor Relations Act.</w:t>
      </w:r>
    </w:p>
    <w:p>
      <w:pPr>
        <w:pStyle w:val="Normal"/>
        <w:spacing w:before="0" w:after="120"/>
        <w:rPr/>
      </w:pPr>
      <w:r>
        <w:rPr/>
      </w:r>
    </w:p>
    <w:p>
      <w:pPr>
        <w:pStyle w:val="Normal"/>
        <w:spacing w:lineRule="auto" w:line="336" w:before="160" w:after="200"/>
        <w:rPr/>
      </w:pPr>
      <w:r>
        <w:rPr>
          <w:rFonts w:eastAsia="Calibri" w:cs="Calibri" w:ascii="Calibri" w:hAnsi="Calibri"/>
          <w:b/>
          <w:bCs/>
          <w:color w:val="404040"/>
          <w:sz w:val="20"/>
          <w:szCs w:val="20"/>
        </w:rPr>
        <w:t>I understand and consent to all the terms and conditions of NUMBER’s Communications and Computer Use Policy.</w:t>
      </w:r>
    </w:p>
    <w:p>
      <w:pPr>
        <w:pStyle w:val="Normal"/>
        <w:spacing w:before="200" w:after="40"/>
        <w:rPr/>
      </w:pPr>
      <w:r>
        <w:rPr>
          <w:rFonts w:eastAsia="Calibri" w:cs="Calibri" w:ascii="Calibri" w:hAnsi="Calibri"/>
          <w:color w:val="404040"/>
          <w:sz w:val="20"/>
          <w:szCs w:val="20"/>
        </w:rPr>
        <w:t>Date: _________________________________________________</w:t>
      </w:r>
    </w:p>
    <w:p>
      <w:pPr>
        <w:pStyle w:val="Normal"/>
        <w:spacing w:before="200" w:after="40"/>
        <w:rPr/>
      </w:pPr>
      <w:r>
        <w:rPr>
          <w:rFonts w:eastAsia="Calibri" w:cs="Calibri" w:ascii="Calibri" w:hAnsi="Calibri"/>
          <w:color w:val="404040"/>
          <w:sz w:val="20"/>
          <w:szCs w:val="20"/>
        </w:rPr>
        <w:t>Print Name: _________________________________________________</w:t>
      </w:r>
    </w:p>
    <w:p>
      <w:pPr>
        <w:pStyle w:val="Normal"/>
        <w:spacing w:before="200" w:after="40"/>
        <w:rPr/>
      </w:pPr>
      <w:r>
        <w:rPr>
          <w:rFonts w:eastAsia="Calibri" w:cs="Calibri" w:ascii="Calibri" w:hAnsi="Calibri"/>
          <w:color w:val="404040"/>
          <w:sz w:val="20"/>
          <w:szCs w:val="20"/>
        </w:rPr>
        <w:t>Signature: _________________________________________________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aramond">
    <w:charset w:val="01" w:characterSet="utf-8"/>
    <w:family w:val="roman"/>
    <w:pitch w:val="variable"/>
  </w:font>
  <w:font w:name="Calibr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98C848"/>
      </w:pBdr>
      <w:jc w:val="center"/>
      <w:rPr/>
    </w:pPr>
    <w:r>
      <w:rPr/>
    </w:r>
  </w:p>
  <w:p>
    <w:pPr>
      <w:pStyle w:val="Normal"/>
      <w:pBdr>
        <w:top w:val="single" w:sz="30" w:space="0" w:color="000000"/>
      </w:pBdr>
      <w:spacing w:before="40" w:after="0"/>
      <w:jc w:val="center"/>
      <w:rPr/>
    </w:pPr>
    <w:r>
      <w:rPr>
        <w:rFonts w:eastAsia="Calibri" w:cs="Calibri" w:ascii="Calibri" w:hAnsi="Calibri"/>
        <w:color w:val="404040"/>
        <w:sz w:val="15"/>
        <w:szCs w:val="15"/>
      </w:rPr>
      <w:t>N U M B E R    •    P O   B O X   2 3 8 0 ,   S O U T H   P O R T L A N D ,   M E   0 4 1 1 6    •    N U M B E R . T E C 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160" w:type="dxa"/>
        <w:start w:w="200" w:type="dxa"/>
        <w:bottom w:w="160" w:type="dxa"/>
        <w:end w:w="200" w:type="dxa"/>
      </w:tblCellMar>
    </w:tblPr>
    <w:tblGrid>
      <w:gridCol w:w="10080"/>
    </w:tblGrid>
    <w:tr>
      <w:trPr/>
      <w:tc>
        <w:tcPr>
          <w:tcW w:w="10080" w:type="dxa"/>
          <w:tcBorders>
            <w:bottom w:val="single" w:sz="18" w:space="0" w:color="98C848"/>
          </w:tcBorders>
          <w:shd w:color="auto" w:fill="002B22" w:val="clear"/>
        </w:tcPr>
        <w:p>
          <w:pPr>
            <w:pStyle w:val="Normal"/>
            <w:jc w:val="start"/>
            <w:rPr/>
          </w:pPr>
          <w:r>
            <w:rPr/>
            <w:drawing>
              <wp:inline distT="0" distB="0" distL="0" distR="0">
                <wp:extent cx="1924050" cy="5238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tretch>
                          <a:fillRect/>
                        </a:stretch>
                      </pic:blipFill>
                      <pic:spPr bwMode="auto">
                        <a:xfrm>
                          <a:off x="0" y="0"/>
                          <a:ext cx="1924050" cy="523875"/>
                        </a:xfrm>
                        <a:prstGeom prst="rect">
                          <a:avLst/>
                        </a:prstGeom>
                      </pic:spPr>
                    </pic:pic>
                  </a:graphicData>
                </a:graphic>
              </wp:inline>
            </w:drawing>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2026-09-01T14:20:48Z</dcterms:created>
  <dc:creator>Un-named</dc:creator>
  <dc:description/>
  <dc:language>en-US</dc:language>
  <cp:lastModifiedBy>Un-named</cp:lastModifiedBy>
  <dcterms:modified xsi:type="dcterms:W3CDTF">2026-09-01T14:20:48Z</dcterms:modified>
  <cp:revision>1</cp:revision>
  <dc:subject/>
  <dc:title/>
</cp:coreProperties>
</file>