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80"/>
        <w:rPr/>
      </w:pPr>
      <w:r>
        <w:rPr>
          <w:rFonts w:eastAsia="Garamond" w:cs="Garamond" w:ascii="Garamond" w:hAnsi="Garamond"/>
          <w:b/>
          <w:bCs/>
          <w:color w:val="1F3A5F"/>
          <w:sz w:val="36"/>
          <w:szCs w:val="36"/>
        </w:rPr>
        <w:t>Maine Law &amp; AI Adoption in HR</w:t>
      </w:r>
    </w:p>
    <w:p>
      <w:pPr>
        <w:pStyle w:val="Normal"/>
        <w:spacing w:before="0" w:after="160"/>
        <w:rPr/>
      </w:pPr>
      <w:r>
        <w:rPr>
          <w:rFonts w:eastAsia="Calibri" w:cs="Calibri" w:ascii="Calibri" w:hAnsi="Calibri"/>
          <w:i/>
          <w:iCs/>
          <w:color w:val="595959"/>
          <w:sz w:val="20"/>
          <w:szCs w:val="20"/>
        </w:rPr>
        <w:t>Reference document supporting Service Line 3 — AI Adoption &amp; HR Tech Advisory</w:t>
      </w:r>
    </w:p>
    <w:tbl>
      <w:tblPr>
        <w:tblW w:w="5000" w:type="pct"/>
        <w:jc w:val="start"/>
        <w:tblInd w:w="0" w:type="dxa"/>
        <w:tblLayout w:type="fixed"/>
        <w:tblCellMar>
          <w:top w:w="160" w:type="dxa"/>
          <w:start w:w="200" w:type="dxa"/>
          <w:bottom w:w="160" w:type="dxa"/>
          <w:end w:w="200" w:type="dxa"/>
        </w:tblCellMar>
      </w:tblPr>
      <w:tblGrid>
        <w:gridCol w:w="10080"/>
      </w:tblGrid>
      <w:tr>
        <w:trPr/>
        <w:tc>
          <w:tcPr>
            <w:tcW w:w="10080" w:type="dxa"/>
            <w:tcBorders>
              <w:top w:val="single" w:sz="8" w:space="0" w:color="1F3A5F"/>
              <w:start w:val="single" w:sz="8" w:space="0" w:color="1F3A5F"/>
              <w:bottom w:val="single" w:sz="8" w:space="0" w:color="1F3A5F"/>
              <w:end w:val="single" w:sz="8" w:space="0" w:color="1F3A5F"/>
            </w:tcBorders>
            <w:shd w:fill="E8EEF5" w:val="clear"/>
          </w:tcPr>
          <w:p>
            <w:pPr>
              <w:pStyle w:val="Normal"/>
              <w:spacing w:before="0" w:after="80"/>
              <w:rPr/>
            </w:pPr>
            <w:r>
              <w:rPr>
                <w:rFonts w:eastAsia="Calibri" w:cs="Calibri" w:ascii="Calibri" w:hAnsi="Calibri"/>
                <w:b/>
                <w:bCs/>
                <w:color w:val="595959"/>
                <w:sz w:val="20"/>
                <w:szCs w:val="20"/>
              </w:rPr>
              <w:t>Not legal advice.</w:t>
            </w:r>
          </w:p>
          <w:p>
            <w:pPr>
              <w:pStyle w:val="Normal"/>
              <w:spacing w:before="0" w:after="0"/>
              <w:rPr/>
            </w:pPr>
            <w:r>
              <w:rPr>
                <w:rFonts w:eastAsia="Calibri" w:cs="Calibri" w:ascii="Calibri" w:hAnsi="Calibri"/>
                <w:b w:val="false"/>
                <w:bCs w:val="false"/>
                <w:color w:val="595959"/>
                <w:sz w:val="20"/>
                <w:szCs w:val="20"/>
              </w:rPr>
              <w:t>This document summarizes publicly available information as of August 2026 for internal planning purposes. This is a genuinely fast-moving area — confirm current status with Maine DOL guidance or employment counsel before finalizing any client-facing compliance claims.</w:t>
            </w:r>
          </w:p>
        </w:tc>
      </w:tr>
    </w:tbl>
    <w:p>
      <w:pPr>
        <w:pStyle w:val="Heading1"/>
        <w:pBdr>
          <w:bottom w:val="single" w:sz="6" w:space="4" w:color="2E75B6"/>
        </w:pBdr>
        <w:spacing w:before="280" w:after="80"/>
        <w:rPr/>
      </w:pPr>
      <w:r>
        <w:rPr>
          <w:rFonts w:eastAsia="Garamond" w:cs="Garamond" w:ascii="Garamond" w:hAnsi="Garamond"/>
          <w:b/>
          <w:bCs/>
          <w:color w:val="1F3A5F"/>
          <w:sz w:val="30"/>
          <w:szCs w:val="30"/>
        </w:rPr>
        <w:t>Correcting a Starting Assumption</w:t>
      </w:r>
    </w:p>
    <w:p>
      <w:pPr>
        <w:pStyle w:val="Normal"/>
        <w:spacing w:lineRule="exact" w:line="336" w:before="0" w:after="120"/>
        <w:rPr/>
      </w:pPr>
      <w:r>
        <w:rPr>
          <w:rFonts w:eastAsia="Calibri" w:cs="Calibri" w:ascii="Calibri" w:hAnsi="Calibri"/>
          <w:color w:val="595959"/>
          <w:sz w:val="20"/>
          <w:szCs w:val="20"/>
        </w:rPr>
        <w:t>The original planning notes assumed Maine already requires bias audits or disclosure for AI hiring tools. That's true in some states — New York City, Illinois, and Colorado all have enacted AI-hiring-specific statutes — but as of August 2026, Maine has not enacted a bias-audit or AI-hiring-disclosure law of its own. The client-facing pitch for this service line needs to be adjusted: it's not "Maine already requires this," it's "Maine hasn't regulated this yet, but the underlying discrimination laws already apply, and other states are moving fast."</w:t>
      </w:r>
    </w:p>
    <w:tbl>
      <w:tblPr>
        <w:tblW w:w="9360" w:type="dxa"/>
        <w:jc w:val="start"/>
        <w:tblInd w:w="0" w:type="dxa"/>
        <w:tblLayout w:type="fixed"/>
        <w:tblCellMar>
          <w:top w:w="100" w:type="dxa"/>
          <w:start w:w="120" w:type="dxa"/>
          <w:bottom w:w="100" w:type="dxa"/>
          <w:end w:w="120" w:type="dxa"/>
        </w:tblCellMar>
      </w:tblPr>
      <w:tblGrid>
        <w:gridCol w:w="2199"/>
        <w:gridCol w:w="2760"/>
        <w:gridCol w:w="4401"/>
      </w:tblGrid>
      <w:tr>
        <w:trPr>
          <w:tblHeader w:val="true"/>
        </w:trPr>
        <w:tc>
          <w:tcPr>
            <w:tcW w:w="2199" w:type="dxa"/>
            <w:tcBorders>
              <w:top w:val="single" w:sz="2" w:space="0" w:color="C9D6C7"/>
              <w:start w:val="single" w:sz="2" w:space="0" w:color="C9D6C7"/>
              <w:bottom w:val="single" w:sz="2" w:space="0" w:color="C9D6C7"/>
              <w:end w:val="single" w:sz="2" w:space="0" w:color="C9D6C7"/>
            </w:tcBorders>
            <w:shd w:fill="1F3A5F" w:val="clear"/>
            <w:vAlign w:val="center"/>
          </w:tcPr>
          <w:p>
            <w:pPr>
              <w:pStyle w:val="Normal"/>
              <w:rPr/>
            </w:pPr>
            <w:r>
              <w:rPr>
                <w:rFonts w:eastAsia="Calibri" w:cs="Calibri" w:ascii="Calibri" w:hAnsi="Calibri"/>
                <w:b/>
                <w:bCs/>
                <w:color w:val="FFFFFF"/>
                <w:sz w:val="20"/>
                <w:szCs w:val="20"/>
              </w:rPr>
              <w:t>Jurisdiction</w:t>
            </w:r>
          </w:p>
        </w:tc>
        <w:tc>
          <w:tcPr>
            <w:tcW w:w="2760" w:type="dxa"/>
            <w:tcBorders>
              <w:top w:val="single" w:sz="2" w:space="0" w:color="C9D6C7"/>
              <w:start w:val="single" w:sz="2" w:space="0" w:color="C9D6C7"/>
              <w:bottom w:val="single" w:sz="2" w:space="0" w:color="C9D6C7"/>
              <w:end w:val="single" w:sz="2" w:space="0" w:color="C9D6C7"/>
            </w:tcBorders>
            <w:shd w:fill="1F3A5F" w:val="clear"/>
            <w:vAlign w:val="center"/>
          </w:tcPr>
          <w:p>
            <w:pPr>
              <w:pStyle w:val="Normal"/>
              <w:rPr/>
            </w:pPr>
            <w:r>
              <w:rPr>
                <w:rFonts w:eastAsia="Calibri" w:cs="Calibri" w:ascii="Calibri" w:hAnsi="Calibri"/>
                <w:b/>
                <w:bCs/>
                <w:color w:val="FFFFFF"/>
                <w:sz w:val="20"/>
                <w:szCs w:val="20"/>
              </w:rPr>
              <w:t>AI-Hiring-Specific Law?</w:t>
            </w:r>
          </w:p>
        </w:tc>
        <w:tc>
          <w:tcPr>
            <w:tcW w:w="4401" w:type="dxa"/>
            <w:tcBorders>
              <w:top w:val="single" w:sz="2" w:space="0" w:color="C9D6C7"/>
              <w:start w:val="single" w:sz="2" w:space="0" w:color="C9D6C7"/>
              <w:bottom w:val="single" w:sz="2" w:space="0" w:color="C9D6C7"/>
              <w:end w:val="single" w:sz="2" w:space="0" w:color="C9D6C7"/>
            </w:tcBorders>
            <w:shd w:fill="1F3A5F" w:val="clear"/>
            <w:vAlign w:val="center"/>
          </w:tcPr>
          <w:p>
            <w:pPr>
              <w:pStyle w:val="Normal"/>
              <w:rPr/>
            </w:pPr>
            <w:r>
              <w:rPr>
                <w:rFonts w:eastAsia="Calibri" w:cs="Calibri" w:ascii="Calibri" w:hAnsi="Calibri"/>
                <w:b/>
                <w:bCs/>
                <w:color w:val="FFFFFF"/>
                <w:sz w:val="20"/>
                <w:szCs w:val="20"/>
              </w:rPr>
              <w:t>Core Requirement</w:t>
            </w:r>
          </w:p>
        </w:tc>
      </w:tr>
      <w:tr>
        <w:trPr/>
        <w:tc>
          <w:tcPr>
            <w:tcW w:w="2199" w:type="dxa"/>
            <w:tcBorders>
              <w:top w:val="single" w:sz="2" w:space="0" w:color="C9D6C7"/>
              <w:start w:val="single" w:sz="2" w:space="0" w:color="C9D6C7"/>
              <w:bottom w:val="single" w:sz="2" w:space="0" w:color="C9D6C7"/>
              <w:end w:val="single" w:sz="2" w:space="0" w:color="C9D6C7"/>
            </w:tcBorders>
            <w:shd w:fill="FFFFFF" w:val="clear"/>
            <w:vAlign w:val="center"/>
          </w:tcPr>
          <w:p>
            <w:pPr>
              <w:pStyle w:val="Normal"/>
              <w:rPr/>
            </w:pPr>
            <w:r>
              <w:rPr>
                <w:rFonts w:eastAsia="Calibri" w:cs="Calibri" w:ascii="Calibri" w:hAnsi="Calibri"/>
                <w:color w:val="595959"/>
                <w:sz w:val="20"/>
                <w:szCs w:val="20"/>
              </w:rPr>
              <w:t>New York City</w:t>
            </w:r>
          </w:p>
        </w:tc>
        <w:tc>
          <w:tcPr>
            <w:tcW w:w="2760" w:type="dxa"/>
            <w:tcBorders>
              <w:top w:val="single" w:sz="2" w:space="0" w:color="C9D6C7"/>
              <w:start w:val="single" w:sz="2" w:space="0" w:color="C9D6C7"/>
              <w:bottom w:val="single" w:sz="2" w:space="0" w:color="C9D6C7"/>
              <w:end w:val="single" w:sz="2" w:space="0" w:color="C9D6C7"/>
            </w:tcBorders>
            <w:shd w:fill="FFFFFF" w:val="clear"/>
            <w:vAlign w:val="center"/>
          </w:tcPr>
          <w:p>
            <w:pPr>
              <w:pStyle w:val="Normal"/>
              <w:rPr/>
            </w:pPr>
            <w:r>
              <w:rPr>
                <w:rFonts w:eastAsia="Calibri" w:cs="Calibri" w:ascii="Calibri" w:hAnsi="Calibri"/>
                <w:color w:val="595959"/>
                <w:sz w:val="20"/>
                <w:szCs w:val="20"/>
              </w:rPr>
              <w:t>Yes — Local Law 144</w:t>
            </w:r>
          </w:p>
        </w:tc>
        <w:tc>
          <w:tcPr>
            <w:tcW w:w="4401" w:type="dxa"/>
            <w:tcBorders>
              <w:top w:val="single" w:sz="2" w:space="0" w:color="C9D6C7"/>
              <w:start w:val="single" w:sz="2" w:space="0" w:color="C9D6C7"/>
              <w:bottom w:val="single" w:sz="2" w:space="0" w:color="C9D6C7"/>
              <w:end w:val="single" w:sz="2" w:space="0" w:color="C9D6C7"/>
            </w:tcBorders>
            <w:shd w:fill="FFFFFF" w:val="clear"/>
            <w:vAlign w:val="center"/>
          </w:tcPr>
          <w:p>
            <w:pPr>
              <w:pStyle w:val="Normal"/>
              <w:rPr/>
            </w:pPr>
            <w:r>
              <w:rPr>
                <w:rFonts w:eastAsia="Calibri" w:cs="Calibri" w:ascii="Calibri" w:hAnsi="Calibri"/>
                <w:color w:val="595959"/>
                <w:sz w:val="20"/>
                <w:szCs w:val="20"/>
              </w:rPr>
              <w:t>Annual independent bias audit, public posting of results, advance candidate notice</w:t>
            </w:r>
          </w:p>
        </w:tc>
      </w:tr>
      <w:tr>
        <w:trPr/>
        <w:tc>
          <w:tcPr>
            <w:tcW w:w="2199" w:type="dxa"/>
            <w:tcBorders>
              <w:top w:val="single" w:sz="2" w:space="0" w:color="C9D6C7"/>
              <w:start w:val="single" w:sz="2" w:space="0" w:color="C9D6C7"/>
              <w:bottom w:val="single" w:sz="2" w:space="0" w:color="C9D6C7"/>
              <w:end w:val="single" w:sz="2" w:space="0" w:color="C9D6C7"/>
            </w:tcBorders>
            <w:shd w:fill="E8EEF5" w:val="clear"/>
            <w:vAlign w:val="center"/>
          </w:tcPr>
          <w:p>
            <w:pPr>
              <w:pStyle w:val="Normal"/>
              <w:rPr/>
            </w:pPr>
            <w:r>
              <w:rPr>
                <w:rFonts w:eastAsia="Calibri" w:cs="Calibri" w:ascii="Calibri" w:hAnsi="Calibri"/>
                <w:color w:val="595959"/>
                <w:sz w:val="20"/>
                <w:szCs w:val="20"/>
              </w:rPr>
              <w:t>Illinois</w:t>
            </w:r>
          </w:p>
        </w:tc>
        <w:tc>
          <w:tcPr>
            <w:tcW w:w="2760" w:type="dxa"/>
            <w:tcBorders>
              <w:top w:val="single" w:sz="2" w:space="0" w:color="C9D6C7"/>
              <w:start w:val="single" w:sz="2" w:space="0" w:color="C9D6C7"/>
              <w:bottom w:val="single" w:sz="2" w:space="0" w:color="C9D6C7"/>
              <w:end w:val="single" w:sz="2" w:space="0" w:color="C9D6C7"/>
            </w:tcBorders>
            <w:shd w:fill="E8EEF5" w:val="clear"/>
            <w:vAlign w:val="center"/>
          </w:tcPr>
          <w:p>
            <w:pPr>
              <w:pStyle w:val="Normal"/>
              <w:rPr/>
            </w:pPr>
            <w:r>
              <w:rPr>
                <w:rFonts w:eastAsia="Calibri" w:cs="Calibri" w:ascii="Calibri" w:hAnsi="Calibri"/>
                <w:color w:val="595959"/>
                <w:sz w:val="20"/>
                <w:szCs w:val="20"/>
              </w:rPr>
              <w:t>Yes — Human Rights Act amendment</w:t>
            </w:r>
          </w:p>
        </w:tc>
        <w:tc>
          <w:tcPr>
            <w:tcW w:w="4401" w:type="dxa"/>
            <w:tcBorders>
              <w:top w:val="single" w:sz="2" w:space="0" w:color="C9D6C7"/>
              <w:start w:val="single" w:sz="2" w:space="0" w:color="C9D6C7"/>
              <w:bottom w:val="single" w:sz="2" w:space="0" w:color="C9D6C7"/>
              <w:end w:val="single" w:sz="2" w:space="0" w:color="C9D6C7"/>
            </w:tcBorders>
            <w:shd w:fill="E8EEF5" w:val="clear"/>
            <w:vAlign w:val="center"/>
          </w:tcPr>
          <w:p>
            <w:pPr>
              <w:pStyle w:val="Normal"/>
              <w:rPr/>
            </w:pPr>
            <w:r>
              <w:rPr>
                <w:rFonts w:eastAsia="Calibri" w:cs="Calibri" w:ascii="Calibri" w:hAnsi="Calibri"/>
                <w:color w:val="595959"/>
                <w:sz w:val="20"/>
                <w:szCs w:val="20"/>
              </w:rPr>
              <w:t>Notice requirement; bars using AI in ways that discriminate or use zip code as a protected-class proxy</w:t>
            </w:r>
          </w:p>
        </w:tc>
      </w:tr>
      <w:tr>
        <w:trPr/>
        <w:tc>
          <w:tcPr>
            <w:tcW w:w="2199" w:type="dxa"/>
            <w:tcBorders>
              <w:top w:val="single" w:sz="2" w:space="0" w:color="C9D6C7"/>
              <w:start w:val="single" w:sz="2" w:space="0" w:color="C9D6C7"/>
              <w:bottom w:val="single" w:sz="2" w:space="0" w:color="C9D6C7"/>
              <w:end w:val="single" w:sz="2" w:space="0" w:color="C9D6C7"/>
            </w:tcBorders>
            <w:shd w:fill="FFFFFF" w:val="clear"/>
            <w:vAlign w:val="center"/>
          </w:tcPr>
          <w:p>
            <w:pPr>
              <w:pStyle w:val="Normal"/>
              <w:rPr/>
            </w:pPr>
            <w:r>
              <w:rPr>
                <w:rFonts w:eastAsia="Calibri" w:cs="Calibri" w:ascii="Calibri" w:hAnsi="Calibri"/>
                <w:color w:val="595959"/>
                <w:sz w:val="20"/>
                <w:szCs w:val="20"/>
              </w:rPr>
              <w:t>Colorado</w:t>
            </w:r>
          </w:p>
        </w:tc>
        <w:tc>
          <w:tcPr>
            <w:tcW w:w="2760" w:type="dxa"/>
            <w:tcBorders>
              <w:top w:val="single" w:sz="2" w:space="0" w:color="C9D6C7"/>
              <w:start w:val="single" w:sz="2" w:space="0" w:color="C9D6C7"/>
              <w:bottom w:val="single" w:sz="2" w:space="0" w:color="C9D6C7"/>
              <w:end w:val="single" w:sz="2" w:space="0" w:color="C9D6C7"/>
            </w:tcBorders>
            <w:shd w:fill="FFFFFF" w:val="clear"/>
            <w:vAlign w:val="center"/>
          </w:tcPr>
          <w:p>
            <w:pPr>
              <w:pStyle w:val="Normal"/>
              <w:rPr/>
            </w:pPr>
            <w:r>
              <w:rPr>
                <w:rFonts w:eastAsia="Calibri" w:cs="Calibri" w:ascii="Calibri" w:hAnsi="Calibri"/>
                <w:color w:val="595959"/>
                <w:sz w:val="20"/>
                <w:szCs w:val="20"/>
              </w:rPr>
              <w:t>Yes — Colorado AI Act</w:t>
            </w:r>
          </w:p>
        </w:tc>
        <w:tc>
          <w:tcPr>
            <w:tcW w:w="4401" w:type="dxa"/>
            <w:tcBorders>
              <w:top w:val="single" w:sz="2" w:space="0" w:color="C9D6C7"/>
              <w:start w:val="single" w:sz="2" w:space="0" w:color="C9D6C7"/>
              <w:bottom w:val="single" w:sz="2" w:space="0" w:color="C9D6C7"/>
              <w:end w:val="single" w:sz="2" w:space="0" w:color="C9D6C7"/>
            </w:tcBorders>
            <w:shd w:fill="FFFFFF" w:val="clear"/>
            <w:vAlign w:val="center"/>
          </w:tcPr>
          <w:p>
            <w:pPr>
              <w:pStyle w:val="Normal"/>
              <w:rPr/>
            </w:pPr>
            <w:r>
              <w:rPr>
                <w:rFonts w:eastAsia="Calibri" w:cs="Calibri" w:ascii="Calibri" w:hAnsi="Calibri"/>
                <w:color w:val="595959"/>
                <w:sz w:val="20"/>
                <w:szCs w:val="20"/>
              </w:rPr>
              <w:t>Risk management, impact assessments, consumer disclosure for "high-risk" AI systems (effective mid-2026)</w:t>
            </w:r>
          </w:p>
        </w:tc>
      </w:tr>
      <w:tr>
        <w:trPr/>
        <w:tc>
          <w:tcPr>
            <w:tcW w:w="2199" w:type="dxa"/>
            <w:tcBorders>
              <w:top w:val="single" w:sz="2" w:space="0" w:color="C9D6C7"/>
              <w:start w:val="single" w:sz="2" w:space="0" w:color="C9D6C7"/>
              <w:bottom w:val="single" w:sz="2" w:space="0" w:color="C9D6C7"/>
              <w:end w:val="single" w:sz="2" w:space="0" w:color="C9D6C7"/>
            </w:tcBorders>
            <w:shd w:fill="E8EEF5" w:val="clear"/>
            <w:vAlign w:val="center"/>
          </w:tcPr>
          <w:p>
            <w:pPr>
              <w:pStyle w:val="Normal"/>
              <w:rPr/>
            </w:pPr>
            <w:r>
              <w:rPr>
                <w:rFonts w:eastAsia="Calibri" w:cs="Calibri" w:ascii="Calibri" w:hAnsi="Calibri"/>
                <w:color w:val="595959"/>
                <w:sz w:val="20"/>
                <w:szCs w:val="20"/>
              </w:rPr>
              <w:t>Maine</w:t>
            </w:r>
          </w:p>
        </w:tc>
        <w:tc>
          <w:tcPr>
            <w:tcW w:w="2760" w:type="dxa"/>
            <w:tcBorders>
              <w:top w:val="single" w:sz="2" w:space="0" w:color="C9D6C7"/>
              <w:start w:val="single" w:sz="2" w:space="0" w:color="C9D6C7"/>
              <w:bottom w:val="single" w:sz="2" w:space="0" w:color="C9D6C7"/>
              <w:end w:val="single" w:sz="2" w:space="0" w:color="C9D6C7"/>
            </w:tcBorders>
            <w:shd w:fill="E8EEF5" w:val="clear"/>
            <w:vAlign w:val="center"/>
          </w:tcPr>
          <w:p>
            <w:pPr>
              <w:pStyle w:val="Normal"/>
              <w:rPr/>
            </w:pPr>
            <w:r>
              <w:rPr>
                <w:rFonts w:eastAsia="Calibri" w:cs="Calibri" w:ascii="Calibri" w:hAnsi="Calibri"/>
                <w:color w:val="595959"/>
                <w:sz w:val="20"/>
                <w:szCs w:val="20"/>
              </w:rPr>
              <w:t>No AI-hiring-specific statute</w:t>
            </w:r>
          </w:p>
        </w:tc>
        <w:tc>
          <w:tcPr>
            <w:tcW w:w="4401" w:type="dxa"/>
            <w:tcBorders>
              <w:top w:val="single" w:sz="2" w:space="0" w:color="C9D6C7"/>
              <w:start w:val="single" w:sz="2" w:space="0" w:color="C9D6C7"/>
              <w:bottom w:val="single" w:sz="2" w:space="0" w:color="C9D6C7"/>
              <w:end w:val="single" w:sz="2" w:space="0" w:color="C9D6C7"/>
            </w:tcBorders>
            <w:shd w:fill="E8EEF5" w:val="clear"/>
            <w:vAlign w:val="center"/>
          </w:tcPr>
          <w:p>
            <w:pPr>
              <w:pStyle w:val="Normal"/>
              <w:rPr/>
            </w:pPr>
            <w:r>
              <w:rPr>
                <w:rFonts w:eastAsia="Calibri" w:cs="Calibri" w:ascii="Calibri" w:hAnsi="Calibri"/>
                <w:color w:val="595959"/>
                <w:sz w:val="20"/>
                <w:szCs w:val="20"/>
              </w:rPr>
              <w:t>General discrimination law (state and federal) applies regardless of the tool used — see below</w:t>
            </w:r>
          </w:p>
        </w:tc>
      </w:tr>
    </w:tbl>
    <w:p>
      <w:pPr>
        <w:pStyle w:val="Heading1"/>
        <w:pBdr>
          <w:bottom w:val="single" w:sz="6" w:space="4" w:color="2E75B6"/>
        </w:pBdr>
        <w:spacing w:before="280" w:after="80"/>
        <w:rPr/>
      </w:pPr>
      <w:r>
        <w:rPr>
          <w:rFonts w:eastAsia="Garamond" w:cs="Garamond" w:ascii="Garamond" w:hAnsi="Garamond"/>
          <w:b/>
          <w:bCs/>
          <w:color w:val="1F3A5F"/>
          <w:sz w:val="30"/>
          <w:szCs w:val="30"/>
        </w:rPr>
        <w:t>What Actually Applies in Maine</w:t>
      </w:r>
    </w:p>
    <w:p>
      <w:pPr>
        <w:pStyle w:val="Normal"/>
        <w:spacing w:before="200" w:after="60"/>
        <w:rPr/>
      </w:pPr>
      <w:r>
        <w:rPr>
          <w:rFonts w:eastAsia="Calibri" w:cs="Calibri" w:ascii="Calibri" w:hAnsi="Calibri"/>
          <w:b/>
          <w:bCs/>
          <w:color w:val="2E75B6"/>
          <w:sz w:val="22"/>
          <w:szCs w:val="22"/>
        </w:rPr>
        <w:t>1. Federal Title VII &amp; ADA — still fully in force</w:t>
      </w:r>
    </w:p>
    <w:p>
      <w:pPr>
        <w:pStyle w:val="Normal"/>
        <w:spacing w:lineRule="exact" w:line="336" w:before="0" w:after="120"/>
        <w:rPr/>
      </w:pPr>
      <w:r>
        <w:rPr>
          <w:rFonts w:eastAsia="Calibri" w:cs="Calibri" w:ascii="Calibri" w:hAnsi="Calibri"/>
          <w:color w:val="595959"/>
          <w:sz w:val="20"/>
          <w:szCs w:val="20"/>
        </w:rPr>
        <w:t>The EEOC issued technical guidance in 2022 (ADA) and 2023 (Title VII) stating that AI and algorithmic hiring tools are "selection procedures" subject to ordinary disparate-impact analysis, and that employers can be liable even when a third-party vendor built the tool — including when the vendor's own bias assessment was wrong. In 2025, the EEOC formally rescinded these technical assistance documents as part of a broader federal pullback on AI guidance. That rescission removed the published guidance, not the underlying law: Title VII and the ADA themselves are unchanged, and a disparate-impact claim over an AI hiring tool remains fully viable.</w:t>
      </w:r>
    </w:p>
    <w:p>
      <w:pPr>
        <w:pStyle w:val="Normal"/>
        <w:spacing w:before="200" w:after="60"/>
        <w:rPr/>
      </w:pPr>
      <w:r>
        <w:rPr>
          <w:rFonts w:eastAsia="Calibri" w:cs="Calibri" w:ascii="Calibri" w:hAnsi="Calibri"/>
          <w:b/>
          <w:bCs/>
          <w:color w:val="2E75B6"/>
          <w:sz w:val="22"/>
          <w:szCs w:val="22"/>
        </w:rPr>
        <w:t>2. Maine Human Rights Act — the state-level parallel</w:t>
      </w:r>
    </w:p>
    <w:p>
      <w:pPr>
        <w:pStyle w:val="Normal"/>
        <w:spacing w:lineRule="exact" w:line="336" w:before="0" w:after="120"/>
        <w:rPr/>
      </w:pPr>
      <w:r>
        <w:rPr>
          <w:rFonts w:eastAsia="Calibri" w:cs="Calibri" w:ascii="Calibri" w:hAnsi="Calibri"/>
          <w:color w:val="595959"/>
          <w:sz w:val="20"/>
          <w:szCs w:val="20"/>
        </w:rPr>
        <w:t>5 MRSA §4572 et seq. doesn't mention AI at all, but it doesn't need to — a hiring or promotion decision shaped by an algorithmic tool that disproportionately screens out a protected group is analyzed the same way any other selection procedure would be. The absence of a Maine AI statute doesn't create a safe harbor; it just means there's no separate audit-and-disclosure paperwork layered on top of the discrimination analysis that already applies.</w:t>
      </w:r>
    </w:p>
    <w:p>
      <w:pPr>
        <w:pStyle w:val="Normal"/>
        <w:spacing w:before="200" w:after="60"/>
        <w:rPr/>
      </w:pPr>
      <w:r>
        <w:rPr>
          <w:rFonts w:eastAsia="Calibri" w:cs="Calibri" w:ascii="Calibri" w:hAnsi="Calibri"/>
          <w:b/>
          <w:bCs/>
          <w:color w:val="2E75B6"/>
          <w:sz w:val="22"/>
          <w:szCs w:val="22"/>
        </w:rPr>
        <w:t>3. Employer Surveillance Act — 26 MRSA §620-A et seq. (LD 61)</w:t>
      </w:r>
    </w:p>
    <w:p>
      <w:pPr>
        <w:pStyle w:val="Normal"/>
        <w:spacing w:lineRule="exact" w:line="336" w:before="0" w:after="120"/>
        <w:rPr/>
      </w:pPr>
      <w:r>
        <w:rPr>
          <w:rFonts w:eastAsia="Calibri" w:cs="Calibri" w:ascii="Calibri" w:hAnsi="Calibri"/>
          <w:color w:val="595959"/>
          <w:sz w:val="20"/>
          <w:szCs w:val="20"/>
        </w:rPr>
        <w:t>Covered in detail in the Service Line 2 reference document, but it applies squarely here too: an AI-based monitoring tool (productivity scoring, keystroke analysis, video-based attention tracking, GPS-linked scheduling apps) is "employer surveillance" under Maine law regardless of the AI label. Effective July 29, 2026, applies to all employers regardless of size, and requires interview-stage notice to applicants plus annual written notice to current employees before this kind of tool is used.</w:t>
      </w:r>
    </w:p>
    <w:p>
      <w:pPr>
        <w:pStyle w:val="Normal"/>
        <w:spacing w:before="200" w:after="60"/>
        <w:rPr/>
      </w:pPr>
      <w:r>
        <w:rPr>
          <w:rFonts w:eastAsia="Calibri" w:cs="Calibri" w:ascii="Calibri" w:hAnsi="Calibri"/>
          <w:b/>
          <w:bCs/>
          <w:color w:val="2E75B6"/>
          <w:sz w:val="22"/>
          <w:szCs w:val="22"/>
        </w:rPr>
        <w:t>4. AI Chatbot Disclosure Law — 10 MRSA §1500-DD (LD 1727)</w:t>
      </w:r>
    </w:p>
    <w:p>
      <w:pPr>
        <w:pStyle w:val="Normal"/>
        <w:spacing w:lineRule="exact" w:line="336" w:before="0" w:after="120"/>
        <w:rPr/>
      </w:pPr>
      <w:r>
        <w:rPr>
          <w:rFonts w:eastAsia="Calibri" w:cs="Calibri" w:ascii="Calibri" w:hAnsi="Calibri"/>
          <w:color w:val="595959"/>
          <w:sz w:val="20"/>
          <w:szCs w:val="20"/>
        </w:rPr>
        <w:t>Signed June 12, 2025, effective September 2025. Prohibits using an AI chatbot to engage in "trade or commerce" with a "consumer" in a way that could mislead a reasonable person into thinking they're talking to a human, unless disclosed. It's enforced under the Maine Unfair Trade Practices Act by the Attorney General.</w:t>
      </w:r>
    </w:p>
    <w:p>
      <w:pPr>
        <w:pStyle w:val="ListParagraph"/>
        <w:numPr>
          <w:ilvl w:val="0"/>
          <w:numId w:val="3"/>
        </w:numPr>
        <w:spacing w:lineRule="exact" w:line="336" w:before="0" w:after="60"/>
        <w:ind w:hanging="360" w:start="360"/>
        <w:rPr/>
      </w:pPr>
      <w:r>
        <w:rPr>
          <w:rFonts w:eastAsia="Calibri" w:cs="Calibri" w:ascii="Calibri" w:hAnsi="Calibri"/>
          <w:color w:val="595959"/>
          <w:sz w:val="20"/>
          <w:szCs w:val="20"/>
        </w:rPr>
        <w:t>This law was written for consumer transactions — retail, customer service, sales — not employment. Whether a job applicant counts as a "consumer" and a hiring interaction counts as "trade or commerce" under this statute is an open question that hasn't been tested.</w:t>
      </w:r>
    </w:p>
    <w:p>
      <w:pPr>
        <w:pStyle w:val="ListParagraph"/>
        <w:numPr>
          <w:ilvl w:val="0"/>
          <w:numId w:val="1"/>
        </w:numPr>
        <w:spacing w:lineRule="exact" w:line="336" w:before="0" w:after="60"/>
        <w:ind w:hanging="360" w:start="360"/>
        <w:rPr/>
      </w:pPr>
      <w:r>
        <w:rPr>
          <w:rFonts w:eastAsia="Calibri" w:cs="Calibri" w:ascii="Calibri" w:hAnsi="Calibri"/>
          <w:color w:val="595959"/>
          <w:sz w:val="20"/>
          <w:szCs w:val="20"/>
        </w:rPr>
        <w:t>Given that ambiguity, the safer practice for any client using an AI chatbot or voice bot to screen or interview applicants is to disclose it's AI-driven regardless — the disclosure costs nothing and avoids betting on an untested legal question.</w:t>
      </w:r>
    </w:p>
    <w:p>
      <w:pPr>
        <w:pStyle w:val="Normal"/>
        <w:spacing w:before="200" w:after="60"/>
        <w:rPr/>
      </w:pPr>
      <w:r>
        <w:rPr>
          <w:rFonts w:eastAsia="Calibri" w:cs="Calibri" w:ascii="Calibri" w:hAnsi="Calibri"/>
          <w:b/>
          <w:bCs/>
          <w:color w:val="2E75B6"/>
          <w:sz w:val="22"/>
          <w:szCs w:val="22"/>
        </w:rPr>
        <w:t>5. Fair Credit Reporting Act — background-screening AI tools</w:t>
      </w:r>
    </w:p>
    <w:p>
      <w:pPr>
        <w:pStyle w:val="Normal"/>
        <w:spacing w:lineRule="exact" w:line="336" w:before="0" w:after="120"/>
        <w:rPr/>
      </w:pPr>
      <w:r>
        <w:rPr>
          <w:rFonts w:eastAsia="Calibri" w:cs="Calibri" w:ascii="Calibri" w:hAnsi="Calibri"/>
          <w:color w:val="595959"/>
          <w:sz w:val="20"/>
          <w:szCs w:val="20"/>
        </w:rPr>
        <w:t>Separately from bias-audit questions, some AI hiring tools work by aggregating third-party data (public records, social media, prior employment data) and scoring candidates. Courts and litigants have begun treating tools like this as functioning like a consumer reporting agency under the federal Fair Credit Reporting Act — which would trigger standard background-check obligations (disclosure, authorization, and adverse-action notices) regardless of how the vendor markets the product.</w:t>
      </w:r>
    </w:p>
    <w:p>
      <w:pPr>
        <w:pStyle w:val="Normal"/>
        <w:spacing w:before="200" w:after="60"/>
        <w:rPr/>
      </w:pPr>
      <w:r>
        <w:rPr>
          <w:rFonts w:eastAsia="Calibri" w:cs="Calibri" w:ascii="Calibri" w:hAnsi="Calibri"/>
          <w:b/>
          <w:bCs/>
          <w:color w:val="2E75B6"/>
          <w:sz w:val="22"/>
          <w:szCs w:val="22"/>
        </w:rPr>
        <w:t>6. Vendor Liability Doesn't Replace Employer Liability</w:t>
      </w:r>
    </w:p>
    <w:p>
      <w:pPr>
        <w:pStyle w:val="Normal"/>
        <w:spacing w:lineRule="exact" w:line="336" w:before="0" w:after="120"/>
        <w:rPr/>
      </w:pPr>
      <w:r>
        <w:rPr>
          <w:rFonts w:eastAsia="Calibri" w:cs="Calibri" w:ascii="Calibri" w:hAnsi="Calibri"/>
          <w:color w:val="595959"/>
          <w:sz w:val="20"/>
          <w:szCs w:val="20"/>
        </w:rPr>
        <w:t>A federal court allowed a discrimination case to proceed directly against an AI hiring vendor (Mobley v. Workday, Inc.), based on allegations that the vendor's own screening tool discriminated against applicants on the vendor's customers' behalf. That's a meaningful development for vendor accountability, but it doesn't reduce the employer's own exposure — a client that adopts a discriminatory tool remains liable for using it, whether or not the vendor is also sued.</w:t>
      </w:r>
    </w:p>
    <w:p>
      <w:pPr>
        <w:pStyle w:val="Heading1"/>
        <w:pBdr>
          <w:bottom w:val="single" w:sz="6" w:space="4" w:color="2E75B6"/>
        </w:pBdr>
        <w:spacing w:before="280" w:after="80"/>
        <w:rPr/>
      </w:pPr>
      <w:r>
        <w:rPr>
          <w:rFonts w:eastAsia="Garamond" w:cs="Garamond" w:ascii="Garamond" w:hAnsi="Garamond"/>
          <w:b/>
          <w:bCs/>
          <w:color w:val="1F3A5F"/>
          <w:sz w:val="30"/>
          <w:szCs w:val="30"/>
        </w:rPr>
        <w:t>Examples of Non-Compliance</w:t>
      </w:r>
    </w:p>
    <w:p>
      <w:pPr>
        <w:pStyle w:val="Normal"/>
        <w:spacing w:lineRule="exact" w:line="336" w:before="0" w:after="120"/>
        <w:rPr/>
      </w:pPr>
      <w:r>
        <w:rPr>
          <w:rFonts w:eastAsia="Calibri" w:cs="Calibri" w:ascii="Calibri" w:hAnsi="Calibri"/>
          <w:color w:val="595959"/>
          <w:sz w:val="20"/>
          <w:szCs w:val="20"/>
        </w:rPr>
        <w:t>Illustrative, not exhaustive — organized by the underlying legal concern.</w:t>
      </w:r>
    </w:p>
    <w:p>
      <w:pPr>
        <w:pStyle w:val="Normal"/>
        <w:spacing w:before="200" w:after="60"/>
        <w:rPr/>
      </w:pPr>
      <w:r>
        <w:rPr>
          <w:rFonts w:eastAsia="Calibri" w:cs="Calibri" w:ascii="Calibri" w:hAnsi="Calibri"/>
          <w:b/>
          <w:bCs/>
          <w:color w:val="2E75B6"/>
          <w:sz w:val="22"/>
          <w:szCs w:val="22"/>
        </w:rPr>
        <w:t>Disparate Impact (Title VII / ADA / Maine Human Rights Act)</w:t>
      </w:r>
    </w:p>
    <w:p>
      <w:pPr>
        <w:pStyle w:val="ListParagraph"/>
        <w:numPr>
          <w:ilvl w:val="0"/>
          <w:numId w:val="1"/>
        </w:numPr>
        <w:spacing w:lineRule="exact" w:line="336" w:before="0" w:after="60"/>
        <w:ind w:hanging="360" w:start="360"/>
        <w:rPr/>
      </w:pPr>
      <w:r>
        <w:rPr>
          <w:rFonts w:eastAsia="Calibri" w:cs="Calibri" w:ascii="Calibri" w:hAnsi="Calibri"/>
          <w:color w:val="595959"/>
          <w:sz w:val="20"/>
          <w:szCs w:val="20"/>
        </w:rPr>
        <w:t>A client adopts an AI resume screener that filters out candidates with employment gaps, which disproportionately screens out applicants who took parental or medical leave — and no one tests the tool for disparate impact before rollout.</w:t>
      </w:r>
    </w:p>
    <w:p>
      <w:pPr>
        <w:pStyle w:val="ListParagraph"/>
        <w:numPr>
          <w:ilvl w:val="0"/>
          <w:numId w:val="1"/>
        </w:numPr>
        <w:spacing w:lineRule="exact" w:line="336" w:before="0" w:after="60"/>
        <w:ind w:hanging="360" w:start="360"/>
        <w:rPr/>
      </w:pPr>
      <w:r>
        <w:rPr>
          <w:rFonts w:eastAsia="Calibri" w:cs="Calibri" w:ascii="Calibri" w:hAnsi="Calibri"/>
          <w:color w:val="595959"/>
          <w:sz w:val="20"/>
          <w:szCs w:val="20"/>
        </w:rPr>
        <w:t>An AI video-interview tool scores candidates partly on speech patterns and rates a candidate with a speech-related disability poorly, without anyone considering whether a reasonable accommodation in the interview process was needed.</w:t>
      </w:r>
    </w:p>
    <w:p>
      <w:pPr>
        <w:pStyle w:val="ListParagraph"/>
        <w:numPr>
          <w:ilvl w:val="0"/>
          <w:numId w:val="1"/>
        </w:numPr>
        <w:spacing w:lineRule="exact" w:line="336" w:before="0" w:after="60"/>
        <w:ind w:hanging="360" w:start="360"/>
        <w:rPr/>
      </w:pPr>
      <w:r>
        <w:rPr>
          <w:rFonts w:eastAsia="Calibri" w:cs="Calibri" w:ascii="Calibri" w:hAnsi="Calibri"/>
          <w:color w:val="595959"/>
          <w:sz w:val="20"/>
          <w:szCs w:val="20"/>
        </w:rPr>
        <w:t>A client relies entirely on a vendor's claim that "our tool has no bias" with no documentation to back it up, and never runs its own check — this is exactly the scenario the EEOC's guidance (still legally relevant even though rescinded as published guidance) warned isn't a defense.</w:t>
      </w:r>
    </w:p>
    <w:p>
      <w:pPr>
        <w:pStyle w:val="Normal"/>
        <w:spacing w:before="200" w:after="60"/>
        <w:rPr/>
      </w:pPr>
      <w:r>
        <w:rPr>
          <w:rFonts w:eastAsia="Calibri" w:cs="Calibri" w:ascii="Calibri" w:hAnsi="Calibri"/>
          <w:b/>
          <w:bCs/>
          <w:color w:val="2E75B6"/>
          <w:sz w:val="22"/>
          <w:szCs w:val="22"/>
        </w:rPr>
        <w:t>Employer Surveillance (LD 61) Applied to AI Tools</w:t>
      </w:r>
    </w:p>
    <w:p>
      <w:pPr>
        <w:pStyle w:val="ListParagraph"/>
        <w:numPr>
          <w:ilvl w:val="0"/>
          <w:numId w:val="1"/>
        </w:numPr>
        <w:spacing w:lineRule="exact" w:line="336" w:before="0" w:after="60"/>
        <w:ind w:hanging="360" w:start="360"/>
        <w:rPr/>
      </w:pPr>
      <w:r>
        <w:rPr>
          <w:rFonts w:eastAsia="Calibri" w:cs="Calibri" w:ascii="Calibri" w:hAnsi="Calibri"/>
          <w:color w:val="595959"/>
          <w:sz w:val="20"/>
          <w:szCs w:val="20"/>
        </w:rPr>
        <w:t>A client rolls out an AI-based productivity-monitoring tool that scores remote or hourly employees on keystroke activity or screen time, without giving the required annual written notice.</w:t>
      </w:r>
    </w:p>
    <w:p>
      <w:pPr>
        <w:pStyle w:val="ListParagraph"/>
        <w:numPr>
          <w:ilvl w:val="0"/>
          <w:numId w:val="1"/>
        </w:numPr>
        <w:spacing w:lineRule="exact" w:line="336" w:before="0" w:after="60"/>
        <w:ind w:hanging="360" w:start="360"/>
        <w:rPr/>
      </w:pPr>
      <w:r>
        <w:rPr>
          <w:rFonts w:eastAsia="Calibri" w:cs="Calibri" w:ascii="Calibri" w:hAnsi="Calibri"/>
          <w:color w:val="595959"/>
          <w:sz w:val="20"/>
          <w:szCs w:val="20"/>
        </w:rPr>
        <w:t>A scheduling app with AI-driven route optimization tracks delivery drivers' real-time location without the interview-stage or annual disclosure LD 61 requires.</w:t>
      </w:r>
    </w:p>
    <w:p>
      <w:pPr>
        <w:pStyle w:val="Normal"/>
        <w:spacing w:before="200" w:after="60"/>
        <w:rPr/>
      </w:pPr>
      <w:r>
        <w:rPr>
          <w:rFonts w:eastAsia="Calibri" w:cs="Calibri" w:ascii="Calibri" w:hAnsi="Calibri"/>
          <w:b/>
          <w:bCs/>
          <w:color w:val="2E75B6"/>
          <w:sz w:val="22"/>
          <w:szCs w:val="22"/>
        </w:rPr>
        <w:t>Chatbot Disclosure (LD 1727) — Precautionary Category</w:t>
      </w:r>
    </w:p>
    <w:p>
      <w:pPr>
        <w:pStyle w:val="ListParagraph"/>
        <w:numPr>
          <w:ilvl w:val="0"/>
          <w:numId w:val="1"/>
        </w:numPr>
        <w:spacing w:lineRule="exact" w:line="336" w:before="0" w:after="60"/>
        <w:ind w:hanging="360" w:start="360"/>
        <w:rPr/>
      </w:pPr>
      <w:r>
        <w:rPr>
          <w:rFonts w:eastAsia="Calibri" w:cs="Calibri" w:ascii="Calibri" w:hAnsi="Calibri"/>
          <w:color w:val="595959"/>
          <w:sz w:val="20"/>
          <w:szCs w:val="20"/>
        </w:rPr>
        <w:t>A client uses an AI chatbot to conduct first-round screening interviews with applicants and never discloses that it's AI-driven. Even though it's untested whether this specific law reaches employment interactions, the client is left with no disclosure at all if the question is ever raised — the cheaper move is disclosing upfront.</w:t>
      </w:r>
    </w:p>
    <w:p>
      <w:pPr>
        <w:pStyle w:val="Normal"/>
        <w:spacing w:before="200" w:after="60"/>
        <w:rPr/>
      </w:pPr>
      <w:r>
        <w:rPr>
          <w:rFonts w:eastAsia="Calibri" w:cs="Calibri" w:ascii="Calibri" w:hAnsi="Calibri"/>
          <w:b/>
          <w:bCs/>
          <w:color w:val="2E75B6"/>
          <w:sz w:val="22"/>
          <w:szCs w:val="22"/>
        </w:rPr>
        <w:t>Background-Screening-Style AI Tools (FCRA)</w:t>
      </w:r>
    </w:p>
    <w:p>
      <w:pPr>
        <w:pStyle w:val="ListParagraph"/>
        <w:numPr>
          <w:ilvl w:val="0"/>
          <w:numId w:val="1"/>
        </w:numPr>
        <w:spacing w:lineRule="exact" w:line="336" w:before="0" w:after="60"/>
        <w:ind w:hanging="360" w:start="360"/>
        <w:rPr/>
      </w:pPr>
      <w:r>
        <w:rPr>
          <w:rFonts w:eastAsia="Calibri" w:cs="Calibri" w:ascii="Calibri" w:hAnsi="Calibri"/>
          <w:color w:val="595959"/>
          <w:sz w:val="20"/>
          <w:szCs w:val="20"/>
        </w:rPr>
        <w:t>A client uses a third-party AI tool that pulls public records and social media activity to generate a candidate risk score, without providing the FCRA-required disclosure, written authorization, or adverse-action notice that would apply to a traditional background check.</w:t>
      </w:r>
    </w:p>
    <w:p>
      <w:pPr>
        <w:pStyle w:val="Normal"/>
        <w:spacing w:before="200" w:after="60"/>
        <w:rPr/>
      </w:pPr>
      <w:r>
        <w:rPr>
          <w:rFonts w:eastAsia="Calibri" w:cs="Calibri" w:ascii="Calibri" w:hAnsi="Calibri"/>
          <w:b/>
          <w:bCs/>
          <w:color w:val="2E75B6"/>
          <w:sz w:val="22"/>
          <w:szCs w:val="22"/>
        </w:rPr>
        <w:t>Vendor Vetting Gaps</w:t>
      </w:r>
    </w:p>
    <w:p>
      <w:pPr>
        <w:pStyle w:val="ListParagraph"/>
        <w:numPr>
          <w:ilvl w:val="0"/>
          <w:numId w:val="1"/>
        </w:numPr>
        <w:spacing w:lineRule="exact" w:line="336" w:before="0" w:after="60"/>
        <w:ind w:hanging="360" w:start="360"/>
        <w:rPr/>
      </w:pPr>
      <w:r>
        <w:rPr>
          <w:rFonts w:eastAsia="Calibri" w:cs="Calibri" w:ascii="Calibri" w:hAnsi="Calibri"/>
          <w:color w:val="595959"/>
          <w:sz w:val="20"/>
          <w:szCs w:val="20"/>
        </w:rPr>
        <w:t>A client selects an AI screening tool based on price and features alone, without asking the vendor for any documentation of bias testing or asking to see validation data — leaving the client with no record to point to if a claim arises later.</w:t>
      </w:r>
    </w:p>
    <w:p>
      <w:pPr>
        <w:pStyle w:val="Heading1"/>
        <w:pBdr>
          <w:bottom w:val="single" w:sz="6" w:space="4" w:color="2E75B6"/>
        </w:pBdr>
        <w:spacing w:before="280" w:after="80"/>
        <w:rPr/>
      </w:pPr>
      <w:r>
        <w:rPr>
          <w:rFonts w:eastAsia="Garamond" w:cs="Garamond" w:ascii="Garamond" w:hAnsi="Garamond"/>
          <w:b/>
          <w:bCs/>
          <w:color w:val="1F3A5F"/>
          <w:sz w:val="30"/>
          <w:szCs w:val="30"/>
        </w:rPr>
        <w:t>Implications for the AI &amp; HR Tech Advisory Service</w:t>
      </w:r>
    </w:p>
    <w:p>
      <w:pPr>
        <w:pStyle w:val="Normal"/>
        <w:spacing w:lineRule="exact" w:line="336" w:before="0" w:after="120"/>
        <w:rPr/>
      </w:pPr>
      <w:r>
        <w:rPr>
          <w:rFonts w:eastAsia="Calibri" w:cs="Calibri" w:ascii="Calibri" w:hAnsi="Calibri"/>
          <w:color w:val="595959"/>
          <w:sz w:val="20"/>
          <w:szCs w:val="20"/>
        </w:rPr>
        <w:t>Given Maine hasn't legislated this the way NYC, Illinois, and Colorado have, the value UMG adds is less about "complying with the Maine AI law" (there isn't one yet) and more about building the same protections voluntarily, before they become mandatory:</w:t>
      </w:r>
    </w:p>
    <w:p>
      <w:pPr>
        <w:pStyle w:val="ListParagraph"/>
        <w:numPr>
          <w:ilvl w:val="0"/>
          <w:numId w:val="1"/>
        </w:numPr>
        <w:spacing w:lineRule="exact" w:line="336" w:before="0" w:after="60"/>
        <w:ind w:hanging="360" w:start="360"/>
        <w:rPr/>
      </w:pPr>
      <w:r>
        <w:rPr>
          <w:rFonts w:eastAsia="Calibri" w:cs="Calibri" w:ascii="Calibri" w:hAnsi="Calibri"/>
          <w:color w:val="595959"/>
          <w:sz w:val="20"/>
          <w:szCs w:val="20"/>
        </w:rPr>
        <w:t>Vendor vetting: for any AI/ATS tool shortlisted, request documentation of the vendor's own bias testing — don't accept a verbal assurance, and don't assume the vendor bears the liability if it's wrong.</w:t>
      </w:r>
    </w:p>
    <w:p>
      <w:pPr>
        <w:pStyle w:val="ListParagraph"/>
        <w:numPr>
          <w:ilvl w:val="0"/>
          <w:numId w:val="1"/>
        </w:numPr>
        <w:spacing w:lineRule="exact" w:line="336" w:before="0" w:after="60"/>
        <w:ind w:hanging="360" w:start="360"/>
        <w:rPr/>
      </w:pPr>
      <w:r>
        <w:rPr>
          <w:rFonts w:eastAsia="Calibri" w:cs="Calibri" w:ascii="Calibri" w:hAnsi="Calibri"/>
          <w:color w:val="595959"/>
          <w:sz w:val="20"/>
          <w:szCs w:val="20"/>
        </w:rPr>
        <w:t>Voluntary bias review: build a periodic (e.g., semi-annual) review of tool outcomes by protected characteristic into the advisory retainer, even though Maine doesn't require publishing results — this creates the documentation trail that matters if a claim arises.</w:t>
      </w:r>
    </w:p>
    <w:p>
      <w:pPr>
        <w:pStyle w:val="ListParagraph"/>
        <w:numPr>
          <w:ilvl w:val="0"/>
          <w:numId w:val="1"/>
        </w:numPr>
        <w:spacing w:lineRule="exact" w:line="336" w:before="0" w:after="60"/>
        <w:ind w:hanging="360" w:start="360"/>
        <w:rPr/>
      </w:pPr>
      <w:r>
        <w:rPr>
          <w:rFonts w:eastAsia="Calibri" w:cs="Calibri" w:ascii="Calibri" w:hAnsi="Calibri"/>
          <w:color w:val="595959"/>
          <w:sz w:val="20"/>
          <w:szCs w:val="20"/>
        </w:rPr>
        <w:t>Human-in-the-loop policy: the internal usage policy should require a documented human review step before any AI-influenced adverse action (rejection, discipline, termination) is finalized.</w:t>
      </w:r>
    </w:p>
    <w:p>
      <w:pPr>
        <w:pStyle w:val="ListParagraph"/>
        <w:numPr>
          <w:ilvl w:val="0"/>
          <w:numId w:val="1"/>
        </w:numPr>
        <w:spacing w:lineRule="exact" w:line="336" w:before="0" w:after="60"/>
        <w:ind w:hanging="360" w:start="360"/>
        <w:rPr/>
      </w:pPr>
      <w:r>
        <w:rPr>
          <w:rFonts w:eastAsia="Calibri" w:cs="Calibri" w:ascii="Calibri" w:hAnsi="Calibri"/>
          <w:color w:val="595959"/>
          <w:sz w:val="20"/>
          <w:szCs w:val="20"/>
        </w:rPr>
        <w:t>Cross-check against LD 61: any AI tool that monitors employees electronically (not just candidate-facing tools) needs the same notice treatment covered in the Service Line 2 document — this is a natural overlap point between the two service lines.</w:t>
      </w:r>
    </w:p>
    <w:p>
      <w:pPr>
        <w:pStyle w:val="ListParagraph"/>
        <w:numPr>
          <w:ilvl w:val="0"/>
          <w:numId w:val="1"/>
        </w:numPr>
        <w:spacing w:lineRule="exact" w:line="336" w:before="0" w:after="60"/>
        <w:ind w:hanging="360" w:start="360"/>
        <w:rPr/>
      </w:pPr>
      <w:r>
        <w:rPr>
          <w:rFonts w:eastAsia="Calibri" w:cs="Calibri" w:ascii="Calibri" w:hAnsi="Calibri"/>
          <w:color w:val="595959"/>
          <w:sz w:val="20"/>
          <w:szCs w:val="20"/>
        </w:rPr>
        <w:t>Default to disclosure for chatbots/voice bots: given the untested scope of LD 1727, recommend clients disclose AI use to applicants regardless of whether the statute technically reaches employment interactions.</w:t>
      </w:r>
    </w:p>
    <w:p>
      <w:pPr>
        <w:pStyle w:val="ListParagraph"/>
        <w:numPr>
          <w:ilvl w:val="0"/>
          <w:numId w:val="1"/>
        </w:numPr>
        <w:spacing w:lineRule="exact" w:line="336" w:before="0" w:after="60"/>
        <w:ind w:hanging="360" w:start="360"/>
        <w:rPr/>
      </w:pPr>
      <w:r>
        <w:rPr>
          <w:rFonts w:eastAsia="Calibri" w:cs="Calibri" w:ascii="Calibri" w:hAnsi="Calibri"/>
          <w:color w:val="595959"/>
          <w:sz w:val="20"/>
          <w:szCs w:val="20"/>
        </w:rPr>
        <w:t>Flag background-screening-style tools separately: if a shortlisted tool aggregates third-party data to score candidates, treat it as a background check for compliance purposes and build in FCRA-standard disclosures and adverse-action notices.</w:t>
      </w:r>
    </w:p>
    <w:sectPr>
      <w:footerReference w:type="even" r:id="rId2"/>
      <w:footerReference w:type="default" r:id="rId3"/>
      <w:footerReference w:type="first" r:id="rId4"/>
      <w:type w:val="nextPage"/>
      <w:pgSz w:w="12240" w:h="15840"/>
      <w:pgMar w:left="1080" w:right="1080" w:gutter="0" w:header="0" w:top="1080"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aramond">
    <w:charset w:val="01" w:characterSet="utf-8"/>
    <w:family w:val="roman"/>
    <w:pitch w:val="variable"/>
  </w:font>
  <w:font w:name="Calibri">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ascii="Calibri" w:hAnsi="Calibri"/>
        <w:color w:val="808080"/>
        <w:sz w:val="16"/>
        <w:szCs w:val="16"/>
      </w:rPr>
      <w:t xml:space="preserve">Upward Management Group  |  hr@upmgt.org  |  Page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ascii="Calibri" w:hAnsi="Calibri"/>
        <w:color w:val="808080"/>
        <w:sz w:val="16"/>
        <w:szCs w:val="16"/>
      </w:rPr>
      <w:t xml:space="preserve">Upward Management Group  |  hr@upmgt.org  |  Page </w:t>
    </w:r>
    <w:r>
      <w:rPr/>
      <w:fldChar w:fldCharType="begin"/>
    </w:r>
    <w:r>
      <w:rPr/>
      <w:instrText xml:space="preserve">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2026-08-23T19:30:08Z</dcterms:created>
  <dc:creator>Un-named</dc:creator>
  <dc:description/>
  <dc:language>en-US</dc:language>
  <cp:lastModifiedBy>Un-named</cp:lastModifiedBy>
  <dcterms:modified xsi:type="dcterms:W3CDTF">2026-08-23T19:30:08Z</dcterms:modified>
  <cp:revision>1</cp:revision>
  <dc:subject/>
  <dc:title/>
</cp:coreProperties>
</file>