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46AEA" w14:textId="77777777" w:rsidR="00E20CE5" w:rsidRDefault="00000000">
      <w:pPr>
        <w:pStyle w:val="Title"/>
        <w:spacing w:before="0" w:after="80"/>
      </w:pPr>
      <w:r>
        <w:rPr>
          <w:rFonts w:ascii="Garamond" w:eastAsia="Garamond" w:hAnsi="Garamond" w:cs="Garamond"/>
          <w:b/>
          <w:bCs/>
          <w:color w:val="1F3A5F"/>
          <w:sz w:val="36"/>
          <w:szCs w:val="36"/>
        </w:rPr>
        <w:t>Maine Law &amp; the Quarterly Workforce Health Check</w:t>
      </w:r>
    </w:p>
    <w:p w14:paraId="31F46AEB" w14:textId="77777777" w:rsidR="00E20CE5" w:rsidRDefault="00000000">
      <w:pPr>
        <w:spacing w:after="160"/>
      </w:pPr>
      <w:r>
        <w:rPr>
          <w:rFonts w:ascii="Calibri" w:eastAsia="Calibri" w:hAnsi="Calibri" w:cs="Calibri"/>
          <w:i/>
          <w:iCs/>
          <w:color w:val="595959"/>
        </w:rPr>
        <w:t>Reference document supporting Service Line 2 — People Analytics / HR Data &amp; Reporting</w:t>
      </w:r>
    </w:p>
    <w:tbl>
      <w:tblPr>
        <w:tblW w:w="5000" w:type="pct"/>
        <w:tblLayout w:type="fixed"/>
        <w:tblCellMar>
          <w:top w:w="160" w:type="dxa"/>
          <w:left w:w="200" w:type="dxa"/>
          <w:bottom w:w="160" w:type="dxa"/>
          <w:right w:w="200" w:type="dxa"/>
        </w:tblCellMar>
        <w:tblLook w:val="04A0" w:firstRow="1" w:lastRow="0" w:firstColumn="1" w:lastColumn="0" w:noHBand="0" w:noVBand="1"/>
      </w:tblPr>
      <w:tblGrid>
        <w:gridCol w:w="10060"/>
      </w:tblGrid>
      <w:tr w:rsidR="00E20CE5" w14:paraId="31F46AEE" w14:textId="77777777">
        <w:tc>
          <w:tcPr>
            <w:tcW w:w="10080" w:type="dxa"/>
            <w:tcBorders>
              <w:top w:val="single" w:sz="8" w:space="0" w:color="1F3A5F"/>
              <w:left w:val="single" w:sz="8" w:space="0" w:color="1F3A5F"/>
              <w:bottom w:val="single" w:sz="8" w:space="0" w:color="1F3A5F"/>
              <w:right w:val="single" w:sz="8" w:space="0" w:color="1F3A5F"/>
            </w:tcBorders>
            <w:shd w:val="clear" w:color="auto" w:fill="E8EEF5"/>
          </w:tcPr>
          <w:p w14:paraId="31F46AEC" w14:textId="77777777" w:rsidR="00E20CE5" w:rsidRDefault="00000000">
            <w:pPr>
              <w:spacing w:after="80"/>
            </w:pPr>
            <w:r>
              <w:rPr>
                <w:rFonts w:ascii="Calibri" w:eastAsia="Calibri" w:hAnsi="Calibri" w:cs="Calibri"/>
                <w:b/>
                <w:bCs/>
                <w:color w:val="595959"/>
              </w:rPr>
              <w:t>Not legal advice.</w:t>
            </w:r>
          </w:p>
          <w:p w14:paraId="31F46AED" w14:textId="77777777" w:rsidR="00E20CE5" w:rsidRDefault="00000000">
            <w:r>
              <w:rPr>
                <w:rFonts w:ascii="Calibri" w:eastAsia="Calibri" w:hAnsi="Calibri" w:cs="Calibri"/>
                <w:color w:val="595959"/>
              </w:rPr>
              <w:t>This document summarizes publicly available information on Maine statutes as of August 2026 for internal planning purposes. Confirm current effective dates and enforcement details with Maine DOL guidance or employment counsel before finalizing any client-facing compliance claims.</w:t>
            </w:r>
          </w:p>
        </w:tc>
      </w:tr>
    </w:tbl>
    <w:p w14:paraId="31F46AEF" w14:textId="77777777" w:rsidR="00E20CE5" w:rsidRDefault="00000000">
      <w:pPr>
        <w:pStyle w:val="Heading1"/>
        <w:pBdr>
          <w:bottom w:val="single" w:sz="6" w:space="4" w:color="2E75B6"/>
        </w:pBdr>
        <w:spacing w:before="280" w:after="80"/>
      </w:pPr>
      <w:r>
        <w:rPr>
          <w:rFonts w:ascii="Garamond" w:eastAsia="Garamond" w:hAnsi="Garamond" w:cs="Garamond"/>
          <w:b/>
          <w:bCs/>
          <w:color w:val="1F3A5F"/>
          <w:sz w:val="30"/>
          <w:szCs w:val="30"/>
        </w:rPr>
        <w:t>Why This Is Different From Service Line 1</w:t>
      </w:r>
    </w:p>
    <w:p w14:paraId="31F46AF0" w14:textId="77777777" w:rsidR="00E20CE5" w:rsidRDefault="00000000">
      <w:pPr>
        <w:spacing w:after="120" w:line="336" w:lineRule="exact"/>
      </w:pPr>
      <w:r>
        <w:rPr>
          <w:rFonts w:ascii="Calibri" w:eastAsia="Calibri" w:hAnsi="Calibri" w:cs="Calibri"/>
          <w:color w:val="595959"/>
        </w:rPr>
        <w:t>Service Line 1 (Pay Equity &amp; Market Check) is about compliance with disclosure and pay-equity statutes. Service Line 2 is different in kind: the Quarterly Workforce Health Check aggregates data the client already collects — turnover, absenteeism, time-to-hire, engagement pulse — into a readout. The legal exposure here isn't about a single statute requiring the report; it's about how the underlying employee data was collected, how individual records are handled when requested, and how the resulting patterns are used once they're visible.</w:t>
      </w:r>
    </w:p>
    <w:tbl>
      <w:tblPr>
        <w:tblW w:w="9360" w:type="dxa"/>
        <w:tblLayout w:type="fixed"/>
        <w:tblCellMar>
          <w:top w:w="100" w:type="dxa"/>
          <w:left w:w="120" w:type="dxa"/>
          <w:bottom w:w="100" w:type="dxa"/>
          <w:right w:w="120" w:type="dxa"/>
        </w:tblCellMar>
        <w:tblLook w:val="04A0" w:firstRow="1" w:lastRow="0" w:firstColumn="1" w:lastColumn="0" w:noHBand="0" w:noVBand="1"/>
      </w:tblPr>
      <w:tblGrid>
        <w:gridCol w:w="3000"/>
        <w:gridCol w:w="1800"/>
        <w:gridCol w:w="1700"/>
        <w:gridCol w:w="2860"/>
      </w:tblGrid>
      <w:tr w:rsidR="00E20CE5" w14:paraId="31F46AF5" w14:textId="77777777">
        <w:trPr>
          <w:tblHeader/>
        </w:trPr>
        <w:tc>
          <w:tcPr>
            <w:tcW w:w="2999" w:type="dxa"/>
            <w:tcBorders>
              <w:top w:val="single" w:sz="2" w:space="0" w:color="C9D6C7"/>
              <w:left w:val="single" w:sz="2" w:space="0" w:color="C9D6C7"/>
              <w:bottom w:val="single" w:sz="2" w:space="0" w:color="C9D6C7"/>
              <w:right w:val="single" w:sz="2" w:space="0" w:color="C9D6C7"/>
            </w:tcBorders>
            <w:shd w:val="clear" w:color="auto" w:fill="1F3A5F"/>
            <w:vAlign w:val="center"/>
          </w:tcPr>
          <w:p w14:paraId="31F46AF1" w14:textId="77777777" w:rsidR="00E20CE5" w:rsidRDefault="00000000">
            <w:r>
              <w:rPr>
                <w:rFonts w:ascii="Calibri" w:eastAsia="Calibri" w:hAnsi="Calibri" w:cs="Calibri"/>
                <w:b/>
                <w:bCs/>
                <w:color w:val="FFFFFF"/>
              </w:rPr>
              <w:t>Law</w:t>
            </w:r>
          </w:p>
        </w:tc>
        <w:tc>
          <w:tcPr>
            <w:tcW w:w="1800" w:type="dxa"/>
            <w:tcBorders>
              <w:top w:val="single" w:sz="2" w:space="0" w:color="C9D6C7"/>
              <w:left w:val="single" w:sz="2" w:space="0" w:color="C9D6C7"/>
              <w:bottom w:val="single" w:sz="2" w:space="0" w:color="C9D6C7"/>
              <w:right w:val="single" w:sz="2" w:space="0" w:color="C9D6C7"/>
            </w:tcBorders>
            <w:shd w:val="clear" w:color="auto" w:fill="1F3A5F"/>
            <w:vAlign w:val="center"/>
          </w:tcPr>
          <w:p w14:paraId="31F46AF2" w14:textId="77777777" w:rsidR="00E20CE5" w:rsidRDefault="00000000">
            <w:r>
              <w:rPr>
                <w:rFonts w:ascii="Calibri" w:eastAsia="Calibri" w:hAnsi="Calibri" w:cs="Calibri"/>
                <w:b/>
                <w:bCs/>
                <w:color w:val="FFFFFF"/>
              </w:rPr>
              <w:t>Citation</w:t>
            </w:r>
          </w:p>
        </w:tc>
        <w:tc>
          <w:tcPr>
            <w:tcW w:w="1700" w:type="dxa"/>
            <w:tcBorders>
              <w:top w:val="single" w:sz="2" w:space="0" w:color="C9D6C7"/>
              <w:left w:val="single" w:sz="2" w:space="0" w:color="C9D6C7"/>
              <w:bottom w:val="single" w:sz="2" w:space="0" w:color="C9D6C7"/>
              <w:right w:val="single" w:sz="2" w:space="0" w:color="C9D6C7"/>
            </w:tcBorders>
            <w:shd w:val="clear" w:color="auto" w:fill="1F3A5F"/>
            <w:vAlign w:val="center"/>
          </w:tcPr>
          <w:p w14:paraId="31F46AF3" w14:textId="77777777" w:rsidR="00E20CE5" w:rsidRDefault="00000000">
            <w:r>
              <w:rPr>
                <w:rFonts w:ascii="Calibri" w:eastAsia="Calibri" w:hAnsi="Calibri" w:cs="Calibri"/>
                <w:b/>
                <w:bCs/>
                <w:color w:val="FFFFFF"/>
              </w:rPr>
              <w:t>Applies To</w:t>
            </w:r>
          </w:p>
        </w:tc>
        <w:tc>
          <w:tcPr>
            <w:tcW w:w="2860" w:type="dxa"/>
            <w:tcBorders>
              <w:top w:val="single" w:sz="2" w:space="0" w:color="C9D6C7"/>
              <w:left w:val="single" w:sz="2" w:space="0" w:color="C9D6C7"/>
              <w:bottom w:val="single" w:sz="2" w:space="0" w:color="C9D6C7"/>
              <w:right w:val="single" w:sz="2" w:space="0" w:color="C9D6C7"/>
            </w:tcBorders>
            <w:shd w:val="clear" w:color="auto" w:fill="1F3A5F"/>
            <w:vAlign w:val="center"/>
          </w:tcPr>
          <w:p w14:paraId="31F46AF4" w14:textId="77777777" w:rsidR="00E20CE5" w:rsidRDefault="00000000">
            <w:r>
              <w:rPr>
                <w:rFonts w:ascii="Calibri" w:eastAsia="Calibri" w:hAnsi="Calibri" w:cs="Calibri"/>
                <w:b/>
                <w:bCs/>
                <w:color w:val="FFFFFF"/>
              </w:rPr>
              <w:t>Relevance to the Health Check</w:t>
            </w:r>
          </w:p>
        </w:tc>
      </w:tr>
      <w:tr w:rsidR="00E20CE5" w14:paraId="31F46AFA" w14:textId="77777777">
        <w:tc>
          <w:tcPr>
            <w:tcW w:w="2999" w:type="dxa"/>
            <w:tcBorders>
              <w:top w:val="single" w:sz="2" w:space="0" w:color="C9D6C7"/>
              <w:left w:val="single" w:sz="2" w:space="0" w:color="C9D6C7"/>
              <w:bottom w:val="single" w:sz="2" w:space="0" w:color="C9D6C7"/>
              <w:right w:val="single" w:sz="2" w:space="0" w:color="C9D6C7"/>
            </w:tcBorders>
            <w:shd w:val="clear" w:color="auto" w:fill="FFFFFF"/>
            <w:vAlign w:val="center"/>
          </w:tcPr>
          <w:p w14:paraId="31F46AF6" w14:textId="77777777" w:rsidR="00E20CE5" w:rsidRDefault="00000000">
            <w:r>
              <w:rPr>
                <w:rFonts w:ascii="Calibri" w:eastAsia="Calibri" w:hAnsi="Calibri" w:cs="Calibri"/>
                <w:color w:val="595959"/>
              </w:rPr>
              <w:t>Employer Surveillance Act (LD 61)</w:t>
            </w:r>
          </w:p>
        </w:tc>
        <w:tc>
          <w:tcPr>
            <w:tcW w:w="1800" w:type="dxa"/>
            <w:tcBorders>
              <w:top w:val="single" w:sz="2" w:space="0" w:color="C9D6C7"/>
              <w:left w:val="single" w:sz="2" w:space="0" w:color="C9D6C7"/>
              <w:bottom w:val="single" w:sz="2" w:space="0" w:color="C9D6C7"/>
              <w:right w:val="single" w:sz="2" w:space="0" w:color="C9D6C7"/>
            </w:tcBorders>
            <w:shd w:val="clear" w:color="auto" w:fill="FFFFFF"/>
            <w:vAlign w:val="center"/>
          </w:tcPr>
          <w:p w14:paraId="31F46AF7" w14:textId="77777777" w:rsidR="00E20CE5" w:rsidRDefault="00000000">
            <w:r>
              <w:rPr>
                <w:rFonts w:ascii="Calibri" w:eastAsia="Calibri" w:hAnsi="Calibri" w:cs="Calibri"/>
                <w:color w:val="595959"/>
              </w:rPr>
              <w:t>26 MRSA §620-A et seq.</w:t>
            </w:r>
          </w:p>
        </w:tc>
        <w:tc>
          <w:tcPr>
            <w:tcW w:w="1700" w:type="dxa"/>
            <w:tcBorders>
              <w:top w:val="single" w:sz="2" w:space="0" w:color="C9D6C7"/>
              <w:left w:val="single" w:sz="2" w:space="0" w:color="C9D6C7"/>
              <w:bottom w:val="single" w:sz="2" w:space="0" w:color="C9D6C7"/>
              <w:right w:val="single" w:sz="2" w:space="0" w:color="C9D6C7"/>
            </w:tcBorders>
            <w:shd w:val="clear" w:color="auto" w:fill="FFFFFF"/>
            <w:vAlign w:val="center"/>
          </w:tcPr>
          <w:p w14:paraId="31F46AF8" w14:textId="77777777" w:rsidR="00E20CE5" w:rsidRDefault="00000000">
            <w:r>
              <w:rPr>
                <w:rFonts w:ascii="Calibri" w:eastAsia="Calibri" w:hAnsi="Calibri" w:cs="Calibri"/>
                <w:color w:val="595959"/>
              </w:rPr>
              <w:t>All employers, any size</w:t>
            </w:r>
          </w:p>
        </w:tc>
        <w:tc>
          <w:tcPr>
            <w:tcW w:w="2860" w:type="dxa"/>
            <w:tcBorders>
              <w:top w:val="single" w:sz="2" w:space="0" w:color="C9D6C7"/>
              <w:left w:val="single" w:sz="2" w:space="0" w:color="C9D6C7"/>
              <w:bottom w:val="single" w:sz="2" w:space="0" w:color="C9D6C7"/>
              <w:right w:val="single" w:sz="2" w:space="0" w:color="C9D6C7"/>
            </w:tcBorders>
            <w:shd w:val="clear" w:color="auto" w:fill="FFFFFF"/>
            <w:vAlign w:val="center"/>
          </w:tcPr>
          <w:p w14:paraId="31F46AF9" w14:textId="77777777" w:rsidR="00E20CE5" w:rsidRDefault="00000000">
            <w:r>
              <w:rPr>
                <w:rFonts w:ascii="Calibri" w:eastAsia="Calibri" w:hAnsi="Calibri" w:cs="Calibri"/>
                <w:color w:val="595959"/>
              </w:rPr>
              <w:t>Governs the electronic monitoring (time clocks, apps, devices) that often feeds turnover/absenteeism data</w:t>
            </w:r>
          </w:p>
        </w:tc>
      </w:tr>
      <w:tr w:rsidR="00E20CE5" w14:paraId="31F46AFF" w14:textId="77777777">
        <w:tc>
          <w:tcPr>
            <w:tcW w:w="2999" w:type="dxa"/>
            <w:tcBorders>
              <w:top w:val="single" w:sz="2" w:space="0" w:color="C9D6C7"/>
              <w:left w:val="single" w:sz="2" w:space="0" w:color="C9D6C7"/>
              <w:bottom w:val="single" w:sz="2" w:space="0" w:color="C9D6C7"/>
              <w:right w:val="single" w:sz="2" w:space="0" w:color="C9D6C7"/>
            </w:tcBorders>
            <w:shd w:val="clear" w:color="auto" w:fill="E8EEF5"/>
            <w:vAlign w:val="center"/>
          </w:tcPr>
          <w:p w14:paraId="31F46AFB" w14:textId="77777777" w:rsidR="00E20CE5" w:rsidRDefault="00000000">
            <w:r>
              <w:rPr>
                <w:rFonts w:ascii="Calibri" w:eastAsia="Calibri" w:hAnsi="Calibri" w:cs="Calibri"/>
                <w:color w:val="595959"/>
              </w:rPr>
              <w:t>Employee Right to Review Personnel File</w:t>
            </w:r>
          </w:p>
        </w:tc>
        <w:tc>
          <w:tcPr>
            <w:tcW w:w="1800" w:type="dxa"/>
            <w:tcBorders>
              <w:top w:val="single" w:sz="2" w:space="0" w:color="C9D6C7"/>
              <w:left w:val="single" w:sz="2" w:space="0" w:color="C9D6C7"/>
              <w:bottom w:val="single" w:sz="2" w:space="0" w:color="C9D6C7"/>
              <w:right w:val="single" w:sz="2" w:space="0" w:color="C9D6C7"/>
            </w:tcBorders>
            <w:shd w:val="clear" w:color="auto" w:fill="E8EEF5"/>
            <w:vAlign w:val="center"/>
          </w:tcPr>
          <w:p w14:paraId="31F46AFC" w14:textId="77777777" w:rsidR="00E20CE5" w:rsidRDefault="00000000">
            <w:r>
              <w:rPr>
                <w:rFonts w:ascii="Calibri" w:eastAsia="Calibri" w:hAnsi="Calibri" w:cs="Calibri"/>
                <w:color w:val="595959"/>
              </w:rPr>
              <w:t>26 MRSA §631</w:t>
            </w:r>
          </w:p>
        </w:tc>
        <w:tc>
          <w:tcPr>
            <w:tcW w:w="1700" w:type="dxa"/>
            <w:tcBorders>
              <w:top w:val="single" w:sz="2" w:space="0" w:color="C9D6C7"/>
              <w:left w:val="single" w:sz="2" w:space="0" w:color="C9D6C7"/>
              <w:bottom w:val="single" w:sz="2" w:space="0" w:color="C9D6C7"/>
              <w:right w:val="single" w:sz="2" w:space="0" w:color="C9D6C7"/>
            </w:tcBorders>
            <w:shd w:val="clear" w:color="auto" w:fill="E8EEF5"/>
            <w:vAlign w:val="center"/>
          </w:tcPr>
          <w:p w14:paraId="31F46AFD" w14:textId="77777777" w:rsidR="00E20CE5" w:rsidRDefault="00000000">
            <w:r>
              <w:rPr>
                <w:rFonts w:ascii="Calibri" w:eastAsia="Calibri" w:hAnsi="Calibri" w:cs="Calibri"/>
                <w:color w:val="595959"/>
              </w:rPr>
              <w:t>All employers, any size</w:t>
            </w:r>
          </w:p>
        </w:tc>
        <w:tc>
          <w:tcPr>
            <w:tcW w:w="2860" w:type="dxa"/>
            <w:tcBorders>
              <w:top w:val="single" w:sz="2" w:space="0" w:color="C9D6C7"/>
              <w:left w:val="single" w:sz="2" w:space="0" w:color="C9D6C7"/>
              <w:bottom w:val="single" w:sz="2" w:space="0" w:color="C9D6C7"/>
              <w:right w:val="single" w:sz="2" w:space="0" w:color="C9D6C7"/>
            </w:tcBorders>
            <w:shd w:val="clear" w:color="auto" w:fill="E8EEF5"/>
            <w:vAlign w:val="center"/>
          </w:tcPr>
          <w:p w14:paraId="31F46AFE" w14:textId="77777777" w:rsidR="00E20CE5" w:rsidRDefault="00000000">
            <w:r>
              <w:rPr>
                <w:rFonts w:ascii="Calibri" w:eastAsia="Calibri" w:hAnsi="Calibri" w:cs="Calibri"/>
                <w:color w:val="595959"/>
              </w:rPr>
              <w:t>Individual-level analytics extracts may count as records the employer must produce on request</w:t>
            </w:r>
          </w:p>
        </w:tc>
      </w:tr>
      <w:tr w:rsidR="00E20CE5" w14:paraId="31F46B04" w14:textId="77777777">
        <w:tc>
          <w:tcPr>
            <w:tcW w:w="2999" w:type="dxa"/>
            <w:tcBorders>
              <w:top w:val="single" w:sz="2" w:space="0" w:color="C9D6C7"/>
              <w:left w:val="single" w:sz="2" w:space="0" w:color="C9D6C7"/>
              <w:bottom w:val="single" w:sz="2" w:space="0" w:color="C9D6C7"/>
              <w:right w:val="single" w:sz="2" w:space="0" w:color="C9D6C7"/>
            </w:tcBorders>
            <w:shd w:val="clear" w:color="auto" w:fill="FFFFFF"/>
            <w:vAlign w:val="center"/>
          </w:tcPr>
          <w:p w14:paraId="31F46B00" w14:textId="77777777" w:rsidR="00E20CE5" w:rsidRDefault="00000000">
            <w:r>
              <w:rPr>
                <w:rFonts w:ascii="Calibri" w:eastAsia="Calibri" w:hAnsi="Calibri" w:cs="Calibri"/>
                <w:color w:val="595959"/>
              </w:rPr>
              <w:t>Wage &amp; Hour Recordkeeping</w:t>
            </w:r>
          </w:p>
        </w:tc>
        <w:tc>
          <w:tcPr>
            <w:tcW w:w="1800" w:type="dxa"/>
            <w:tcBorders>
              <w:top w:val="single" w:sz="2" w:space="0" w:color="C9D6C7"/>
              <w:left w:val="single" w:sz="2" w:space="0" w:color="C9D6C7"/>
              <w:bottom w:val="single" w:sz="2" w:space="0" w:color="C9D6C7"/>
              <w:right w:val="single" w:sz="2" w:space="0" w:color="C9D6C7"/>
            </w:tcBorders>
            <w:shd w:val="clear" w:color="auto" w:fill="FFFFFF"/>
            <w:vAlign w:val="center"/>
          </w:tcPr>
          <w:p w14:paraId="31F46B01" w14:textId="77777777" w:rsidR="00E20CE5" w:rsidRDefault="00000000">
            <w:r>
              <w:rPr>
                <w:rFonts w:ascii="Calibri" w:eastAsia="Calibri" w:hAnsi="Calibri" w:cs="Calibri"/>
                <w:color w:val="595959"/>
              </w:rPr>
              <w:t>26 MRSA §622, §665</w:t>
            </w:r>
          </w:p>
        </w:tc>
        <w:tc>
          <w:tcPr>
            <w:tcW w:w="1700" w:type="dxa"/>
            <w:tcBorders>
              <w:top w:val="single" w:sz="2" w:space="0" w:color="C9D6C7"/>
              <w:left w:val="single" w:sz="2" w:space="0" w:color="C9D6C7"/>
              <w:bottom w:val="single" w:sz="2" w:space="0" w:color="C9D6C7"/>
              <w:right w:val="single" w:sz="2" w:space="0" w:color="C9D6C7"/>
            </w:tcBorders>
            <w:shd w:val="clear" w:color="auto" w:fill="FFFFFF"/>
            <w:vAlign w:val="center"/>
          </w:tcPr>
          <w:p w14:paraId="31F46B02" w14:textId="77777777" w:rsidR="00E20CE5" w:rsidRDefault="00000000">
            <w:r>
              <w:rPr>
                <w:rFonts w:ascii="Calibri" w:eastAsia="Calibri" w:hAnsi="Calibri" w:cs="Calibri"/>
                <w:color w:val="595959"/>
              </w:rPr>
              <w:t>All employers, any size</w:t>
            </w:r>
          </w:p>
        </w:tc>
        <w:tc>
          <w:tcPr>
            <w:tcW w:w="2860" w:type="dxa"/>
            <w:tcBorders>
              <w:top w:val="single" w:sz="2" w:space="0" w:color="C9D6C7"/>
              <w:left w:val="single" w:sz="2" w:space="0" w:color="C9D6C7"/>
              <w:bottom w:val="single" w:sz="2" w:space="0" w:color="C9D6C7"/>
              <w:right w:val="single" w:sz="2" w:space="0" w:color="C9D6C7"/>
            </w:tcBorders>
            <w:shd w:val="clear" w:color="auto" w:fill="FFFFFF"/>
            <w:vAlign w:val="center"/>
          </w:tcPr>
          <w:p w14:paraId="31F46B03" w14:textId="77777777" w:rsidR="00E20CE5" w:rsidRDefault="00000000">
            <w:r>
              <w:rPr>
                <w:rFonts w:ascii="Calibri" w:eastAsia="Calibri" w:hAnsi="Calibri" w:cs="Calibri"/>
                <w:color w:val="595959"/>
              </w:rPr>
              <w:t>Baseline accuracy/retention requirement underlying time-to-hire and absenteeism metrics</w:t>
            </w:r>
          </w:p>
        </w:tc>
      </w:tr>
      <w:tr w:rsidR="00E20CE5" w14:paraId="31F46B09" w14:textId="77777777">
        <w:tc>
          <w:tcPr>
            <w:tcW w:w="2999" w:type="dxa"/>
            <w:tcBorders>
              <w:top w:val="single" w:sz="2" w:space="0" w:color="C9D6C7"/>
              <w:left w:val="single" w:sz="2" w:space="0" w:color="C9D6C7"/>
              <w:bottom w:val="single" w:sz="2" w:space="0" w:color="C9D6C7"/>
              <w:right w:val="single" w:sz="2" w:space="0" w:color="C9D6C7"/>
            </w:tcBorders>
            <w:shd w:val="clear" w:color="auto" w:fill="E8EEF5"/>
            <w:vAlign w:val="center"/>
          </w:tcPr>
          <w:p w14:paraId="31F46B05" w14:textId="77777777" w:rsidR="00E20CE5" w:rsidRDefault="00000000">
            <w:r>
              <w:rPr>
                <w:rFonts w:ascii="Calibri" w:eastAsia="Calibri" w:hAnsi="Calibri" w:cs="Calibri"/>
                <w:color w:val="595959"/>
              </w:rPr>
              <w:t>Protected Leave Confidentiality (ADA / FMLA / Maine PFML / workers' comp)</w:t>
            </w:r>
          </w:p>
        </w:tc>
        <w:tc>
          <w:tcPr>
            <w:tcW w:w="1800" w:type="dxa"/>
            <w:tcBorders>
              <w:top w:val="single" w:sz="2" w:space="0" w:color="C9D6C7"/>
              <w:left w:val="single" w:sz="2" w:space="0" w:color="C9D6C7"/>
              <w:bottom w:val="single" w:sz="2" w:space="0" w:color="C9D6C7"/>
              <w:right w:val="single" w:sz="2" w:space="0" w:color="C9D6C7"/>
            </w:tcBorders>
            <w:shd w:val="clear" w:color="auto" w:fill="E8EEF5"/>
            <w:vAlign w:val="center"/>
          </w:tcPr>
          <w:p w14:paraId="31F46B06" w14:textId="77777777" w:rsidR="00E20CE5" w:rsidRDefault="00000000">
            <w:r>
              <w:rPr>
                <w:rFonts w:ascii="Calibri" w:eastAsia="Calibri" w:hAnsi="Calibri" w:cs="Calibri"/>
                <w:color w:val="595959"/>
              </w:rPr>
              <w:t>Federal + state</w:t>
            </w:r>
          </w:p>
        </w:tc>
        <w:tc>
          <w:tcPr>
            <w:tcW w:w="1700" w:type="dxa"/>
            <w:tcBorders>
              <w:top w:val="single" w:sz="2" w:space="0" w:color="C9D6C7"/>
              <w:left w:val="single" w:sz="2" w:space="0" w:color="C9D6C7"/>
              <w:bottom w:val="single" w:sz="2" w:space="0" w:color="C9D6C7"/>
              <w:right w:val="single" w:sz="2" w:space="0" w:color="C9D6C7"/>
            </w:tcBorders>
            <w:shd w:val="clear" w:color="auto" w:fill="E8EEF5"/>
            <w:vAlign w:val="center"/>
          </w:tcPr>
          <w:p w14:paraId="31F46B07" w14:textId="77777777" w:rsidR="00E20CE5" w:rsidRDefault="00000000">
            <w:r>
              <w:rPr>
                <w:rFonts w:ascii="Calibri" w:eastAsia="Calibri" w:hAnsi="Calibri" w:cs="Calibri"/>
                <w:color w:val="595959"/>
              </w:rPr>
              <w:t>All employers, any size</w:t>
            </w:r>
          </w:p>
        </w:tc>
        <w:tc>
          <w:tcPr>
            <w:tcW w:w="2860" w:type="dxa"/>
            <w:tcBorders>
              <w:top w:val="single" w:sz="2" w:space="0" w:color="C9D6C7"/>
              <w:left w:val="single" w:sz="2" w:space="0" w:color="C9D6C7"/>
              <w:bottom w:val="single" w:sz="2" w:space="0" w:color="C9D6C7"/>
              <w:right w:val="single" w:sz="2" w:space="0" w:color="C9D6C7"/>
            </w:tcBorders>
            <w:shd w:val="clear" w:color="auto" w:fill="E8EEF5"/>
            <w:vAlign w:val="center"/>
          </w:tcPr>
          <w:p w14:paraId="31F46B08" w14:textId="77777777" w:rsidR="00E20CE5" w:rsidRDefault="00000000">
            <w:r>
              <w:rPr>
                <w:rFonts w:ascii="Calibri" w:eastAsia="Calibri" w:hAnsi="Calibri" w:cs="Calibri"/>
                <w:color w:val="595959"/>
              </w:rPr>
              <w:t>Absence data tied to protected leave must stay confidential and can't drive adverse action</w:t>
            </w:r>
          </w:p>
        </w:tc>
      </w:tr>
      <w:tr w:rsidR="00E20CE5" w14:paraId="31F46B0E" w14:textId="77777777">
        <w:tc>
          <w:tcPr>
            <w:tcW w:w="2999" w:type="dxa"/>
            <w:tcBorders>
              <w:top w:val="single" w:sz="2" w:space="0" w:color="C9D6C7"/>
              <w:left w:val="single" w:sz="2" w:space="0" w:color="C9D6C7"/>
              <w:bottom w:val="single" w:sz="2" w:space="0" w:color="C9D6C7"/>
              <w:right w:val="single" w:sz="2" w:space="0" w:color="C9D6C7"/>
            </w:tcBorders>
            <w:shd w:val="clear" w:color="auto" w:fill="FFFFFF"/>
            <w:vAlign w:val="center"/>
          </w:tcPr>
          <w:p w14:paraId="31F46B0A" w14:textId="77777777" w:rsidR="00E20CE5" w:rsidRDefault="00000000">
            <w:r>
              <w:rPr>
                <w:rFonts w:ascii="Calibri" w:eastAsia="Calibri" w:hAnsi="Calibri" w:cs="Calibri"/>
                <w:color w:val="595959"/>
              </w:rPr>
              <w:t>Maine Human Rights Act</w:t>
            </w:r>
          </w:p>
        </w:tc>
        <w:tc>
          <w:tcPr>
            <w:tcW w:w="1800" w:type="dxa"/>
            <w:tcBorders>
              <w:top w:val="single" w:sz="2" w:space="0" w:color="C9D6C7"/>
              <w:left w:val="single" w:sz="2" w:space="0" w:color="C9D6C7"/>
              <w:bottom w:val="single" w:sz="2" w:space="0" w:color="C9D6C7"/>
              <w:right w:val="single" w:sz="2" w:space="0" w:color="C9D6C7"/>
            </w:tcBorders>
            <w:shd w:val="clear" w:color="auto" w:fill="FFFFFF"/>
            <w:vAlign w:val="center"/>
          </w:tcPr>
          <w:p w14:paraId="31F46B0B" w14:textId="77777777" w:rsidR="00E20CE5" w:rsidRDefault="00000000">
            <w:r>
              <w:rPr>
                <w:rFonts w:ascii="Calibri" w:eastAsia="Calibri" w:hAnsi="Calibri" w:cs="Calibri"/>
                <w:color w:val="595959"/>
              </w:rPr>
              <w:t>5 MRSA §4572 et seq.</w:t>
            </w:r>
          </w:p>
        </w:tc>
        <w:tc>
          <w:tcPr>
            <w:tcW w:w="1700" w:type="dxa"/>
            <w:tcBorders>
              <w:top w:val="single" w:sz="2" w:space="0" w:color="C9D6C7"/>
              <w:left w:val="single" w:sz="2" w:space="0" w:color="C9D6C7"/>
              <w:bottom w:val="single" w:sz="2" w:space="0" w:color="C9D6C7"/>
              <w:right w:val="single" w:sz="2" w:space="0" w:color="C9D6C7"/>
            </w:tcBorders>
            <w:shd w:val="clear" w:color="auto" w:fill="FFFFFF"/>
            <w:vAlign w:val="center"/>
          </w:tcPr>
          <w:p w14:paraId="31F46B0C" w14:textId="77777777" w:rsidR="00E20CE5" w:rsidRDefault="00000000">
            <w:r>
              <w:rPr>
                <w:rFonts w:ascii="Calibri" w:eastAsia="Calibri" w:hAnsi="Calibri" w:cs="Calibri"/>
                <w:color w:val="595959"/>
              </w:rPr>
              <w:t>All employers, any size</w:t>
            </w:r>
          </w:p>
        </w:tc>
        <w:tc>
          <w:tcPr>
            <w:tcW w:w="2860" w:type="dxa"/>
            <w:tcBorders>
              <w:top w:val="single" w:sz="2" w:space="0" w:color="C9D6C7"/>
              <w:left w:val="single" w:sz="2" w:space="0" w:color="C9D6C7"/>
              <w:bottom w:val="single" w:sz="2" w:space="0" w:color="C9D6C7"/>
              <w:right w:val="single" w:sz="2" w:space="0" w:color="C9D6C7"/>
            </w:tcBorders>
            <w:shd w:val="clear" w:color="auto" w:fill="FFFFFF"/>
            <w:vAlign w:val="center"/>
          </w:tcPr>
          <w:p w14:paraId="31F46B0D" w14:textId="77777777" w:rsidR="00E20CE5" w:rsidRDefault="00000000">
            <w:r>
              <w:rPr>
                <w:rFonts w:ascii="Calibri" w:eastAsia="Calibri" w:hAnsi="Calibri" w:cs="Calibri"/>
                <w:color w:val="595959"/>
              </w:rPr>
              <w:t>Disparate-impact exposure if analytics patterns correlate with protected characteristics and go unexamined</w:t>
            </w:r>
          </w:p>
        </w:tc>
      </w:tr>
    </w:tbl>
    <w:p w14:paraId="31F46B0F" w14:textId="77777777" w:rsidR="00E20CE5" w:rsidRDefault="00000000">
      <w:pPr>
        <w:pStyle w:val="Heading1"/>
        <w:pBdr>
          <w:bottom w:val="single" w:sz="6" w:space="4" w:color="2E75B6"/>
        </w:pBdr>
        <w:spacing w:before="280" w:after="80"/>
      </w:pPr>
      <w:r>
        <w:rPr>
          <w:rFonts w:ascii="Garamond" w:eastAsia="Garamond" w:hAnsi="Garamond" w:cs="Garamond"/>
          <w:b/>
          <w:bCs/>
          <w:color w:val="1F3A5F"/>
          <w:sz w:val="30"/>
          <w:szCs w:val="30"/>
        </w:rPr>
        <w:t>1. Employer Surveillance Act — 26 MRSA §620-A et seq. (LD 61)</w:t>
      </w:r>
    </w:p>
    <w:p w14:paraId="31F46B10" w14:textId="77777777" w:rsidR="00E20CE5" w:rsidRDefault="00000000">
      <w:pPr>
        <w:spacing w:after="120" w:line="336" w:lineRule="exact"/>
      </w:pPr>
      <w:r>
        <w:rPr>
          <w:rFonts w:ascii="Calibri" w:eastAsia="Calibri" w:hAnsi="Calibri" w:cs="Calibri"/>
          <w:color w:val="595959"/>
        </w:rPr>
        <w:t>Became law January 11, 2026 without the Governor's signature; effective July 29, 2026 per the Maine Department of Labor. Applies to all Maine employers, public and private, regardless of size.</w:t>
      </w:r>
    </w:p>
    <w:p w14:paraId="31F46B11" w14:textId="77777777" w:rsidR="00E20CE5" w:rsidRDefault="00000000">
      <w:pPr>
        <w:spacing w:before="200" w:after="60"/>
      </w:pPr>
      <w:r>
        <w:rPr>
          <w:rFonts w:ascii="Calibri" w:eastAsia="Calibri" w:hAnsi="Calibri" w:cs="Calibri"/>
          <w:b/>
          <w:bCs/>
          <w:color w:val="2E75B6"/>
          <w:sz w:val="22"/>
          <w:szCs w:val="22"/>
        </w:rPr>
        <w:t>What it requires</w:t>
      </w:r>
    </w:p>
    <w:p w14:paraId="31F46B12" w14:textId="77777777" w:rsidR="00E20CE5" w:rsidRDefault="00000000">
      <w:pPr>
        <w:pStyle w:val="ListParagraph"/>
        <w:numPr>
          <w:ilvl w:val="0"/>
          <w:numId w:val="3"/>
        </w:numPr>
        <w:spacing w:after="60" w:line="336" w:lineRule="exact"/>
        <w:ind w:left="360"/>
      </w:pPr>
      <w:r>
        <w:rPr>
          <w:rFonts w:ascii="Calibri" w:eastAsia="Calibri" w:hAnsi="Calibri" w:cs="Calibri"/>
          <w:color w:val="595959"/>
        </w:rPr>
        <w:lastRenderedPageBreak/>
        <w:t>An employer may not use "employer surveillance" — monitoring an employee through an electronic device or system (computers, phones, wearables, keystroke or productivity-tracking software, GPS-enabled apps) — without first telling people about it.</w:t>
      </w:r>
    </w:p>
    <w:p w14:paraId="31F46B13" w14:textId="77777777" w:rsidR="00E20CE5" w:rsidRDefault="00000000">
      <w:pPr>
        <w:pStyle w:val="ListParagraph"/>
        <w:numPr>
          <w:ilvl w:val="0"/>
          <w:numId w:val="1"/>
        </w:numPr>
        <w:spacing w:after="60" w:line="336" w:lineRule="exact"/>
        <w:ind w:left="360"/>
      </w:pPr>
      <w:r>
        <w:rPr>
          <w:rFonts w:ascii="Calibri" w:eastAsia="Calibri" w:hAnsi="Calibri" w:cs="Calibri"/>
          <w:color w:val="595959"/>
        </w:rPr>
        <w:t>Prospective employees must be told during the interview process that the employer engages in surveillance.</w:t>
      </w:r>
    </w:p>
    <w:p w14:paraId="31F46B14" w14:textId="77777777" w:rsidR="00E20CE5" w:rsidRDefault="00000000">
      <w:pPr>
        <w:pStyle w:val="ListParagraph"/>
        <w:numPr>
          <w:ilvl w:val="0"/>
          <w:numId w:val="1"/>
        </w:numPr>
        <w:spacing w:after="60" w:line="336" w:lineRule="exact"/>
        <w:ind w:left="360"/>
      </w:pPr>
      <w:r>
        <w:rPr>
          <w:rFonts w:ascii="Calibri" w:eastAsia="Calibri" w:hAnsi="Calibri" w:cs="Calibri"/>
          <w:color w:val="595959"/>
        </w:rPr>
        <w:t>Current employees must receive written notice at least once every calendar year.</w:t>
      </w:r>
    </w:p>
    <w:p w14:paraId="31F46B15" w14:textId="77777777" w:rsidR="00E20CE5" w:rsidRDefault="00000000">
      <w:pPr>
        <w:pStyle w:val="ListParagraph"/>
        <w:numPr>
          <w:ilvl w:val="0"/>
          <w:numId w:val="1"/>
        </w:numPr>
        <w:spacing w:after="60" w:line="336" w:lineRule="exact"/>
        <w:ind w:left="360"/>
      </w:pPr>
      <w:r>
        <w:rPr>
          <w:rFonts w:ascii="Calibri" w:eastAsia="Calibri" w:hAnsi="Calibri" w:cs="Calibri"/>
          <w:color w:val="595959"/>
        </w:rPr>
        <w:t>Audiovisual monitoring of an employee's residence, personal vehicle, or personal property is prohibited unless required by the employee's actual job duties.</w:t>
      </w:r>
    </w:p>
    <w:p w14:paraId="31F46B16" w14:textId="77777777" w:rsidR="00E20CE5" w:rsidRDefault="00000000">
      <w:pPr>
        <w:pStyle w:val="ListParagraph"/>
        <w:numPr>
          <w:ilvl w:val="0"/>
          <w:numId w:val="1"/>
        </w:numPr>
        <w:spacing w:after="60" w:line="336" w:lineRule="exact"/>
        <w:ind w:left="360"/>
      </w:pPr>
      <w:r>
        <w:rPr>
          <w:rFonts w:ascii="Calibri" w:eastAsia="Calibri" w:hAnsi="Calibri" w:cs="Calibri"/>
          <w:color w:val="595959"/>
        </w:rPr>
        <w:t>Employees may decline requests to install employer data-collection or monitoring apps on their own personal devices.</w:t>
      </w:r>
    </w:p>
    <w:p w14:paraId="31F46B17" w14:textId="77777777" w:rsidR="00E20CE5" w:rsidRDefault="00000000">
      <w:pPr>
        <w:spacing w:before="200" w:after="60"/>
      </w:pPr>
      <w:r>
        <w:rPr>
          <w:rFonts w:ascii="Calibri" w:eastAsia="Calibri" w:hAnsi="Calibri" w:cs="Calibri"/>
          <w:b/>
          <w:bCs/>
          <w:color w:val="2E75B6"/>
          <w:sz w:val="22"/>
          <w:szCs w:val="22"/>
        </w:rPr>
        <w:t>What's excluded</w:t>
      </w:r>
    </w:p>
    <w:p w14:paraId="31F46B18" w14:textId="77777777" w:rsidR="00E20CE5" w:rsidRDefault="00000000">
      <w:pPr>
        <w:pStyle w:val="ListParagraph"/>
        <w:numPr>
          <w:ilvl w:val="0"/>
          <w:numId w:val="1"/>
        </w:numPr>
        <w:spacing w:after="60" w:line="336" w:lineRule="exact"/>
        <w:ind w:left="360"/>
      </w:pPr>
      <w:r>
        <w:rPr>
          <w:rFonts w:ascii="Calibri" w:eastAsia="Calibri" w:hAnsi="Calibri" w:cs="Calibri"/>
          <w:color w:val="595959"/>
        </w:rPr>
        <w:t>Security cameras used for safety/security purposes, and GPS tracking on employer-owned vehicles for safety, are not "employer surveillance" under the law.</w:t>
      </w:r>
    </w:p>
    <w:p w14:paraId="31F46B19" w14:textId="77777777" w:rsidR="00E20CE5" w:rsidRDefault="00000000">
      <w:pPr>
        <w:spacing w:before="200" w:after="60"/>
      </w:pPr>
      <w:r>
        <w:rPr>
          <w:rFonts w:ascii="Calibri" w:eastAsia="Calibri" w:hAnsi="Calibri" w:cs="Calibri"/>
          <w:b/>
          <w:bCs/>
          <w:color w:val="2E75B6"/>
          <w:sz w:val="22"/>
          <w:szCs w:val="22"/>
        </w:rPr>
        <w:t>Why it matters for the Health Check</w:t>
      </w:r>
    </w:p>
    <w:p w14:paraId="31F46B1A" w14:textId="77777777" w:rsidR="00E20CE5" w:rsidRDefault="00000000">
      <w:pPr>
        <w:spacing w:after="120" w:line="336" w:lineRule="exact"/>
      </w:pPr>
      <w:r>
        <w:rPr>
          <w:rFonts w:ascii="Calibri" w:eastAsia="Calibri" w:hAnsi="Calibri" w:cs="Calibri"/>
          <w:color w:val="595959"/>
        </w:rPr>
        <w:t>Turnover, absenteeism, and time-to-hire metrics are frequently built from data that originates in monitored systems — POS clock-ins, scheduling apps, delivery-tracking GPS, or productivity software. If the client hasn't given the required notice for a data source, the underlying collection itself is non-compliant before the analytics ever touch it.</w:t>
      </w:r>
    </w:p>
    <w:p w14:paraId="31F46B1B" w14:textId="77777777" w:rsidR="00E20CE5" w:rsidRDefault="00000000">
      <w:pPr>
        <w:pStyle w:val="Heading1"/>
        <w:pBdr>
          <w:bottom w:val="single" w:sz="6" w:space="4" w:color="2E75B6"/>
        </w:pBdr>
        <w:spacing w:before="280" w:after="80"/>
      </w:pPr>
      <w:r>
        <w:rPr>
          <w:rFonts w:ascii="Garamond" w:eastAsia="Garamond" w:hAnsi="Garamond" w:cs="Garamond"/>
          <w:b/>
          <w:bCs/>
          <w:color w:val="1F3A5F"/>
          <w:sz w:val="30"/>
          <w:szCs w:val="30"/>
        </w:rPr>
        <w:t>2. Employee Right to Review Personnel File — 26 MRSA §631</w:t>
      </w:r>
    </w:p>
    <w:p w14:paraId="31F46B1C" w14:textId="77777777" w:rsidR="00E20CE5" w:rsidRDefault="00000000">
      <w:pPr>
        <w:spacing w:after="120" w:line="336" w:lineRule="exact"/>
      </w:pPr>
      <w:r>
        <w:rPr>
          <w:rFonts w:ascii="Calibri" w:eastAsia="Calibri" w:hAnsi="Calibri" w:cs="Calibri"/>
          <w:color w:val="595959"/>
        </w:rPr>
        <w:t>In effect since well before 2026; applies to every Maine employer regardless of size, if the employer maintains a personnel file at all.</w:t>
      </w:r>
    </w:p>
    <w:p w14:paraId="31F46B1D" w14:textId="77777777" w:rsidR="00E20CE5" w:rsidRDefault="00000000">
      <w:pPr>
        <w:spacing w:before="200" w:after="60"/>
      </w:pPr>
      <w:r>
        <w:rPr>
          <w:rFonts w:ascii="Calibri" w:eastAsia="Calibri" w:hAnsi="Calibri" w:cs="Calibri"/>
          <w:b/>
          <w:bCs/>
          <w:color w:val="2E75B6"/>
          <w:sz w:val="22"/>
          <w:szCs w:val="22"/>
        </w:rPr>
        <w:t>What it requires</w:t>
      </w:r>
    </w:p>
    <w:p w14:paraId="31F46B1E" w14:textId="77777777" w:rsidR="00E20CE5" w:rsidRDefault="00000000">
      <w:pPr>
        <w:pStyle w:val="ListParagraph"/>
        <w:numPr>
          <w:ilvl w:val="0"/>
          <w:numId w:val="1"/>
        </w:numPr>
        <w:spacing w:after="60" w:line="336" w:lineRule="exact"/>
        <w:ind w:left="360"/>
      </w:pPr>
      <w:r>
        <w:rPr>
          <w:rFonts w:ascii="Calibri" w:eastAsia="Calibri" w:hAnsi="Calibri" w:cs="Calibri"/>
          <w:color w:val="595959"/>
        </w:rPr>
        <w:t>On written request, an employer must let a current or former employee review and copy their personnel file within 10 days.</w:t>
      </w:r>
    </w:p>
    <w:p w14:paraId="31F46B1F" w14:textId="77777777" w:rsidR="00E20CE5" w:rsidRDefault="00000000">
      <w:pPr>
        <w:pStyle w:val="ListParagraph"/>
        <w:numPr>
          <w:ilvl w:val="0"/>
          <w:numId w:val="1"/>
        </w:numPr>
        <w:spacing w:after="60" w:line="336" w:lineRule="exact"/>
        <w:ind w:left="360"/>
      </w:pPr>
      <w:r>
        <w:rPr>
          <w:rFonts w:ascii="Calibri" w:eastAsia="Calibri" w:hAnsi="Calibri" w:cs="Calibri"/>
          <w:color w:val="595959"/>
        </w:rPr>
        <w:t>One free copy of the full file (plus anything added that year) must be provided per calendar year, on request.</w:t>
      </w:r>
    </w:p>
    <w:p w14:paraId="31F46B20" w14:textId="77777777" w:rsidR="00E20CE5" w:rsidRDefault="00000000">
      <w:pPr>
        <w:pStyle w:val="ListParagraph"/>
        <w:numPr>
          <w:ilvl w:val="0"/>
          <w:numId w:val="1"/>
        </w:numPr>
        <w:spacing w:after="60" w:line="336" w:lineRule="exact"/>
        <w:ind w:left="360"/>
      </w:pPr>
      <w:r>
        <w:rPr>
          <w:rFonts w:ascii="Calibri" w:eastAsia="Calibri" w:hAnsi="Calibri" w:cs="Calibri"/>
          <w:color w:val="595959"/>
        </w:rPr>
        <w:t>The Maine Supreme Judicial Court (Harding v. Wal-Mart Stores, 2001 ME 13) read this broadly: a former employee's right isn't limited to whatever sits in a physical personnel folder — it extends to any records the employer has in its possession touching on that person's employment.</w:t>
      </w:r>
    </w:p>
    <w:p w14:paraId="31F46B21" w14:textId="77777777" w:rsidR="00E20CE5" w:rsidRDefault="00000000">
      <w:pPr>
        <w:spacing w:before="200" w:after="60"/>
      </w:pPr>
      <w:r>
        <w:rPr>
          <w:rFonts w:ascii="Calibri" w:eastAsia="Calibri" w:hAnsi="Calibri" w:cs="Calibri"/>
          <w:b/>
          <w:bCs/>
          <w:color w:val="2E75B6"/>
          <w:sz w:val="22"/>
          <w:szCs w:val="22"/>
        </w:rPr>
        <w:t>Why it matters for the Health Check</w:t>
      </w:r>
    </w:p>
    <w:p w14:paraId="31F46B22" w14:textId="77777777" w:rsidR="00E20CE5" w:rsidRDefault="00000000">
      <w:pPr>
        <w:spacing w:after="120" w:line="336" w:lineRule="exact"/>
      </w:pPr>
      <w:r>
        <w:rPr>
          <w:rFonts w:ascii="Calibri" w:eastAsia="Calibri" w:hAnsi="Calibri" w:cs="Calibri"/>
          <w:color w:val="595959"/>
        </w:rPr>
        <w:t>A quarterly analytics extract that flags an individual employee's absenteeism pattern, or a turnover-risk score tied to a named employee, is arguably a record "touching on" their employment under the Harding standard — meaning it may need to be produced alongside the personnel file itself if that employee (or a former employee) requests their records.</w:t>
      </w:r>
    </w:p>
    <w:p w14:paraId="31F46B23" w14:textId="77777777" w:rsidR="00E20CE5" w:rsidRDefault="00000000">
      <w:pPr>
        <w:pStyle w:val="Heading1"/>
        <w:pBdr>
          <w:bottom w:val="single" w:sz="6" w:space="4" w:color="2E75B6"/>
        </w:pBdr>
        <w:spacing w:before="280" w:after="80"/>
      </w:pPr>
      <w:r>
        <w:rPr>
          <w:rFonts w:ascii="Garamond" w:eastAsia="Garamond" w:hAnsi="Garamond" w:cs="Garamond"/>
          <w:b/>
          <w:bCs/>
          <w:color w:val="1F3A5F"/>
          <w:sz w:val="30"/>
          <w:szCs w:val="30"/>
        </w:rPr>
        <w:t>3. Wage &amp; Hour Recordkeeping — 26 MRSA §622 and §665</w:t>
      </w:r>
    </w:p>
    <w:p w14:paraId="31F46B24" w14:textId="77777777" w:rsidR="00E20CE5" w:rsidRDefault="00000000">
      <w:pPr>
        <w:spacing w:after="120" w:line="336" w:lineRule="exact"/>
      </w:pPr>
      <w:r>
        <w:rPr>
          <w:rFonts w:ascii="Calibri" w:eastAsia="Calibri" w:hAnsi="Calibri" w:cs="Calibri"/>
          <w:color w:val="595959"/>
        </w:rPr>
        <w:t>Baseline requirements in effect for all Maine employers, regardless of size.</w:t>
      </w:r>
    </w:p>
    <w:p w14:paraId="31F46B25" w14:textId="77777777" w:rsidR="00E20CE5" w:rsidRDefault="00000000">
      <w:pPr>
        <w:spacing w:before="200" w:after="60"/>
      </w:pPr>
      <w:r>
        <w:rPr>
          <w:rFonts w:ascii="Calibri" w:eastAsia="Calibri" w:hAnsi="Calibri" w:cs="Calibri"/>
          <w:b/>
          <w:bCs/>
          <w:color w:val="2E75B6"/>
          <w:sz w:val="22"/>
          <w:szCs w:val="22"/>
        </w:rPr>
        <w:t>What it requires</w:t>
      </w:r>
    </w:p>
    <w:p w14:paraId="31F46B26" w14:textId="77777777" w:rsidR="00E20CE5" w:rsidRDefault="00000000">
      <w:pPr>
        <w:pStyle w:val="ListParagraph"/>
        <w:numPr>
          <w:ilvl w:val="0"/>
          <w:numId w:val="1"/>
        </w:numPr>
        <w:spacing w:after="60" w:line="336" w:lineRule="exact"/>
        <w:ind w:left="360"/>
      </w:pPr>
      <w:r>
        <w:rPr>
          <w:rFonts w:ascii="Calibri" w:eastAsia="Calibri" w:hAnsi="Calibri" w:cs="Calibri"/>
          <w:color w:val="595959"/>
        </w:rPr>
        <w:t>Employers must keep a true, accurate daily record of hours worked and wages paid for each non-salaried employee.</w:t>
      </w:r>
    </w:p>
    <w:p w14:paraId="31F46B27" w14:textId="77777777" w:rsidR="00E20CE5" w:rsidRDefault="00000000">
      <w:pPr>
        <w:pStyle w:val="ListParagraph"/>
        <w:numPr>
          <w:ilvl w:val="0"/>
          <w:numId w:val="1"/>
        </w:numPr>
        <w:spacing w:after="60" w:line="336" w:lineRule="exact"/>
        <w:ind w:left="360"/>
      </w:pPr>
      <w:r>
        <w:rPr>
          <w:rFonts w:ascii="Calibri" w:eastAsia="Calibri" w:hAnsi="Calibri" w:cs="Calibri"/>
          <w:color w:val="595959"/>
        </w:rPr>
        <w:lastRenderedPageBreak/>
        <w:t>Records must be preserved for at least 3 years and made available to the Department of Labor on request.</w:t>
      </w:r>
    </w:p>
    <w:p w14:paraId="31F46B28" w14:textId="77777777" w:rsidR="00E20CE5" w:rsidRDefault="00000000">
      <w:pPr>
        <w:spacing w:before="200" w:after="60"/>
      </w:pPr>
      <w:r>
        <w:rPr>
          <w:rFonts w:ascii="Calibri" w:eastAsia="Calibri" w:hAnsi="Calibri" w:cs="Calibri"/>
          <w:b/>
          <w:bCs/>
          <w:color w:val="2E75B6"/>
          <w:sz w:val="22"/>
          <w:szCs w:val="22"/>
        </w:rPr>
        <w:t>Why it matters for the Health Check</w:t>
      </w:r>
    </w:p>
    <w:p w14:paraId="31F46B29" w14:textId="77777777" w:rsidR="00E20CE5" w:rsidRDefault="00000000">
      <w:pPr>
        <w:spacing w:after="120" w:line="336" w:lineRule="exact"/>
      </w:pPr>
      <w:r>
        <w:rPr>
          <w:rFonts w:ascii="Calibri" w:eastAsia="Calibri" w:hAnsi="Calibri" w:cs="Calibri"/>
          <w:color w:val="595959"/>
        </w:rPr>
        <w:t>Time-to-hire and absenteeism metrics are only as reliable as the underlying time records. If the analytics workflow pulls from a scheduling export that doesn't reconcile with the official daily time record — or if raw data is discarded once the quarterly dashboard is built — the client may not be able to produce the required 3-year record if the Department of Labor or an employee ever asks for it.</w:t>
      </w:r>
    </w:p>
    <w:p w14:paraId="31F46B2A" w14:textId="77777777" w:rsidR="00E20CE5" w:rsidRDefault="00000000">
      <w:pPr>
        <w:pStyle w:val="Heading1"/>
        <w:pBdr>
          <w:bottom w:val="single" w:sz="6" w:space="4" w:color="2E75B6"/>
        </w:pBdr>
        <w:spacing w:before="280" w:after="80"/>
      </w:pPr>
      <w:r>
        <w:rPr>
          <w:rFonts w:ascii="Garamond" w:eastAsia="Garamond" w:hAnsi="Garamond" w:cs="Garamond"/>
          <w:b/>
          <w:bCs/>
          <w:color w:val="1F3A5F"/>
          <w:sz w:val="30"/>
          <w:szCs w:val="30"/>
        </w:rPr>
        <w:t>4. Confidentiality of Protected Leave (ADA, FMLA, Maine PFML, Workers' Comp)</w:t>
      </w:r>
    </w:p>
    <w:p w14:paraId="31F46B2B" w14:textId="77777777" w:rsidR="00E20CE5" w:rsidRDefault="00000000">
      <w:pPr>
        <w:spacing w:after="120" w:line="336" w:lineRule="exact"/>
      </w:pPr>
      <w:r>
        <w:rPr>
          <w:rFonts w:ascii="Calibri" w:eastAsia="Calibri" w:hAnsi="Calibri" w:cs="Calibri"/>
          <w:color w:val="595959"/>
        </w:rPr>
        <w:t>A mix of federal and state requirements govern absence data tied to protected leave. This isn't a single statute, but a consistent theme across several: medical and leave-related information must be walled off from general personnel data and can't be the basis for adverse treatment.</w:t>
      </w:r>
    </w:p>
    <w:p w14:paraId="31F46B2C" w14:textId="77777777" w:rsidR="00E20CE5" w:rsidRDefault="00000000">
      <w:pPr>
        <w:spacing w:before="200" w:after="60"/>
      </w:pPr>
      <w:r>
        <w:rPr>
          <w:rFonts w:ascii="Calibri" w:eastAsia="Calibri" w:hAnsi="Calibri" w:cs="Calibri"/>
          <w:b/>
          <w:bCs/>
          <w:color w:val="2E75B6"/>
          <w:sz w:val="22"/>
          <w:szCs w:val="22"/>
        </w:rPr>
        <w:t>What it requires</w:t>
      </w:r>
    </w:p>
    <w:p w14:paraId="31F46B2D" w14:textId="77777777" w:rsidR="00E20CE5" w:rsidRDefault="00000000">
      <w:pPr>
        <w:pStyle w:val="ListParagraph"/>
        <w:numPr>
          <w:ilvl w:val="0"/>
          <w:numId w:val="1"/>
        </w:numPr>
        <w:spacing w:after="60" w:line="336" w:lineRule="exact"/>
        <w:ind w:left="360"/>
      </w:pPr>
      <w:r>
        <w:rPr>
          <w:rFonts w:ascii="Calibri" w:eastAsia="Calibri" w:hAnsi="Calibri" w:cs="Calibri"/>
          <w:color w:val="595959"/>
        </w:rPr>
        <w:t>Under the ADA, medical information (including documentation supporting an accommodation) must be kept in a separate, confidential file — not merged into general HR data.</w:t>
      </w:r>
    </w:p>
    <w:p w14:paraId="31F46B2E" w14:textId="77777777" w:rsidR="00E20CE5" w:rsidRDefault="00000000">
      <w:pPr>
        <w:pStyle w:val="ListParagraph"/>
        <w:numPr>
          <w:ilvl w:val="0"/>
          <w:numId w:val="1"/>
        </w:numPr>
        <w:spacing w:after="60" w:line="336" w:lineRule="exact"/>
        <w:ind w:left="360"/>
      </w:pPr>
      <w:r>
        <w:rPr>
          <w:rFonts w:ascii="Calibri" w:eastAsia="Calibri" w:hAnsi="Calibri" w:cs="Calibri"/>
          <w:color w:val="595959"/>
        </w:rPr>
        <w:t>FMLA medical certifications are confidential and can only be shared on a strict need-to-know basis.</w:t>
      </w:r>
    </w:p>
    <w:p w14:paraId="31F46B2F" w14:textId="77777777" w:rsidR="00E20CE5" w:rsidRDefault="00000000">
      <w:pPr>
        <w:pStyle w:val="ListParagraph"/>
        <w:numPr>
          <w:ilvl w:val="0"/>
          <w:numId w:val="1"/>
        </w:numPr>
        <w:spacing w:after="60" w:line="336" w:lineRule="exact"/>
        <w:ind w:left="360"/>
      </w:pPr>
      <w:r>
        <w:rPr>
          <w:rFonts w:ascii="Calibri" w:eastAsia="Calibri" w:hAnsi="Calibri" w:cs="Calibri"/>
          <w:color w:val="595959"/>
        </w:rPr>
        <w:t>Maine's Paid Family and Medical Leave program (phasing in through 2026) similarly protects the confidentiality of leave applications and related medical information.</w:t>
      </w:r>
    </w:p>
    <w:p w14:paraId="31F46B30" w14:textId="77777777" w:rsidR="00E20CE5" w:rsidRDefault="00000000">
      <w:pPr>
        <w:pStyle w:val="ListParagraph"/>
        <w:numPr>
          <w:ilvl w:val="0"/>
          <w:numId w:val="1"/>
        </w:numPr>
        <w:spacing w:after="60" w:line="336" w:lineRule="exact"/>
        <w:ind w:left="360"/>
      </w:pPr>
      <w:r>
        <w:rPr>
          <w:rFonts w:ascii="Calibri" w:eastAsia="Calibri" w:hAnsi="Calibri" w:cs="Calibri"/>
          <w:color w:val="595959"/>
        </w:rPr>
        <w:t>Workers' compensation claim information carries its own confidentiality expectations under Maine law.</w:t>
      </w:r>
    </w:p>
    <w:p w14:paraId="31F46B31" w14:textId="77777777" w:rsidR="00E20CE5" w:rsidRDefault="00000000">
      <w:pPr>
        <w:spacing w:before="200" w:after="60"/>
      </w:pPr>
      <w:r>
        <w:rPr>
          <w:rFonts w:ascii="Calibri" w:eastAsia="Calibri" w:hAnsi="Calibri" w:cs="Calibri"/>
          <w:b/>
          <w:bCs/>
          <w:color w:val="2E75B6"/>
          <w:sz w:val="22"/>
          <w:szCs w:val="22"/>
        </w:rPr>
        <w:t>Why it matters for the Health Check</w:t>
      </w:r>
    </w:p>
    <w:p w14:paraId="31F46B32" w14:textId="77777777" w:rsidR="00E20CE5" w:rsidRDefault="00000000">
      <w:pPr>
        <w:spacing w:after="120" w:line="336" w:lineRule="exact"/>
      </w:pPr>
      <w:r>
        <w:rPr>
          <w:rFonts w:ascii="Calibri" w:eastAsia="Calibri" w:hAnsi="Calibri" w:cs="Calibri"/>
          <w:color w:val="595959"/>
        </w:rPr>
        <w:t>A raw "absence days" or "attendance points" metric that blends protected leave (FMLA, PFML, ADA accommodations, workers' comp) with ordinary call-outs — and hands that blended number to a location manager — creates real interference and retaliation exposure, independent of whether any single statute names quarterly analytics reports specifically.</w:t>
      </w:r>
    </w:p>
    <w:p w14:paraId="31F46B33" w14:textId="77777777" w:rsidR="00E20CE5" w:rsidRDefault="00000000">
      <w:pPr>
        <w:pStyle w:val="Heading1"/>
        <w:pBdr>
          <w:bottom w:val="single" w:sz="6" w:space="4" w:color="2E75B6"/>
        </w:pBdr>
        <w:spacing w:before="280" w:after="80"/>
      </w:pPr>
      <w:r>
        <w:rPr>
          <w:rFonts w:ascii="Garamond" w:eastAsia="Garamond" w:hAnsi="Garamond" w:cs="Garamond"/>
          <w:b/>
          <w:bCs/>
          <w:color w:val="1F3A5F"/>
          <w:sz w:val="30"/>
          <w:szCs w:val="30"/>
        </w:rPr>
        <w:t>5. Maine Human Rights Act — 5 MRSA §4572 et seq.</w:t>
      </w:r>
    </w:p>
    <w:p w14:paraId="31F46B34" w14:textId="77777777" w:rsidR="00E20CE5" w:rsidRDefault="00000000">
      <w:pPr>
        <w:spacing w:after="120" w:line="336" w:lineRule="exact"/>
      </w:pPr>
      <w:r>
        <w:rPr>
          <w:rFonts w:ascii="Calibri" w:eastAsia="Calibri" w:hAnsi="Calibri" w:cs="Calibri"/>
          <w:color w:val="595959"/>
        </w:rPr>
        <w:t>General anti-discrimination law; applies to all Maine employers.</w:t>
      </w:r>
    </w:p>
    <w:p w14:paraId="31F46B35" w14:textId="77777777" w:rsidR="00E20CE5" w:rsidRDefault="00000000">
      <w:pPr>
        <w:spacing w:before="200" w:after="60"/>
      </w:pPr>
      <w:r>
        <w:rPr>
          <w:rFonts w:ascii="Calibri" w:eastAsia="Calibri" w:hAnsi="Calibri" w:cs="Calibri"/>
          <w:b/>
          <w:bCs/>
          <w:color w:val="2E75B6"/>
          <w:sz w:val="22"/>
          <w:szCs w:val="22"/>
        </w:rPr>
        <w:t>Why it matters for the Health Check</w:t>
      </w:r>
    </w:p>
    <w:p w14:paraId="31F46B36" w14:textId="77777777" w:rsidR="00E20CE5" w:rsidRDefault="00000000">
      <w:pPr>
        <w:spacing w:after="120" w:line="336" w:lineRule="exact"/>
      </w:pPr>
      <w:r>
        <w:rPr>
          <w:rFonts w:ascii="Calibri" w:eastAsia="Calibri" w:hAnsi="Calibri" w:cs="Calibri"/>
          <w:color w:val="595959"/>
        </w:rPr>
        <w:t>The Act doesn't regulate analytics directly, but a quarterly report that surfaces a turnover, absenteeism, or hiring-delay pattern correlated with a protected characteristic (age, sex, race, disability, national origin, etc.) creates exposure if the pattern goes unexamined and unaddressed, or if a manager acts on a "risk flag" from the data without documented, job-related reasoning. The absence of a document trail showing the pattern was reviewed can itself become evidence in a later claim.</w:t>
      </w:r>
    </w:p>
    <w:p w14:paraId="31F46B37" w14:textId="77777777" w:rsidR="00E20CE5" w:rsidRDefault="00000000">
      <w:pPr>
        <w:pStyle w:val="Heading1"/>
        <w:pBdr>
          <w:bottom w:val="single" w:sz="6" w:space="4" w:color="2E75B6"/>
        </w:pBdr>
        <w:spacing w:before="280" w:after="80"/>
      </w:pPr>
      <w:r>
        <w:rPr>
          <w:rFonts w:ascii="Garamond" w:eastAsia="Garamond" w:hAnsi="Garamond" w:cs="Garamond"/>
          <w:b/>
          <w:bCs/>
          <w:color w:val="1F3A5F"/>
          <w:sz w:val="30"/>
          <w:szCs w:val="30"/>
        </w:rPr>
        <w:t>Examples of Non-Compliance</w:t>
      </w:r>
    </w:p>
    <w:p w14:paraId="31F46B38" w14:textId="77777777" w:rsidR="00E20CE5" w:rsidRDefault="00000000">
      <w:pPr>
        <w:spacing w:after="120" w:line="336" w:lineRule="exact"/>
      </w:pPr>
      <w:r>
        <w:rPr>
          <w:rFonts w:ascii="Calibri" w:eastAsia="Calibri" w:hAnsi="Calibri" w:cs="Calibri"/>
          <w:color w:val="595959"/>
        </w:rPr>
        <w:t>Illustrative, not exhaustive — organized by the underlying legal concern rather than by metric.</w:t>
      </w:r>
    </w:p>
    <w:p w14:paraId="31F46B39" w14:textId="77777777" w:rsidR="00E20CE5" w:rsidRDefault="00000000">
      <w:pPr>
        <w:spacing w:before="200" w:after="60"/>
      </w:pPr>
      <w:r>
        <w:rPr>
          <w:rFonts w:ascii="Calibri" w:eastAsia="Calibri" w:hAnsi="Calibri" w:cs="Calibri"/>
          <w:b/>
          <w:bCs/>
          <w:color w:val="2E75B6"/>
          <w:sz w:val="22"/>
          <w:szCs w:val="22"/>
        </w:rPr>
        <w:lastRenderedPageBreak/>
        <w:t>Employer Surveillance (LD 61)</w:t>
      </w:r>
    </w:p>
    <w:p w14:paraId="31F46B3A" w14:textId="77777777" w:rsidR="00E20CE5" w:rsidRDefault="00000000">
      <w:pPr>
        <w:pStyle w:val="ListParagraph"/>
        <w:numPr>
          <w:ilvl w:val="0"/>
          <w:numId w:val="1"/>
        </w:numPr>
        <w:spacing w:after="60" w:line="336" w:lineRule="exact"/>
        <w:ind w:left="360"/>
      </w:pPr>
      <w:r>
        <w:rPr>
          <w:rFonts w:ascii="Calibri" w:eastAsia="Calibri" w:hAnsi="Calibri" w:cs="Calibri"/>
          <w:color w:val="595959"/>
        </w:rPr>
        <w:t>A client rolls out a new scheduling app with GPS check-in for delivery drivers and never provides the required interview-stage or annual written notice.</w:t>
      </w:r>
    </w:p>
    <w:p w14:paraId="31F46B3B" w14:textId="77777777" w:rsidR="00E20CE5" w:rsidRDefault="00000000">
      <w:pPr>
        <w:pStyle w:val="ListParagraph"/>
        <w:numPr>
          <w:ilvl w:val="0"/>
          <w:numId w:val="1"/>
        </w:numPr>
        <w:spacing w:after="60" w:line="336" w:lineRule="exact"/>
        <w:ind w:left="360"/>
      </w:pPr>
      <w:r>
        <w:rPr>
          <w:rFonts w:ascii="Calibri" w:eastAsia="Calibri" w:hAnsi="Calibri" w:cs="Calibri"/>
          <w:color w:val="595959"/>
        </w:rPr>
        <w:t>A manager asks servers to install a shift-tracking app on their personal phones, with no option to decline.</w:t>
      </w:r>
    </w:p>
    <w:p w14:paraId="31F46B3C" w14:textId="77777777" w:rsidR="00E20CE5" w:rsidRDefault="00000000">
      <w:pPr>
        <w:pStyle w:val="ListParagraph"/>
        <w:numPr>
          <w:ilvl w:val="0"/>
          <w:numId w:val="1"/>
        </w:numPr>
        <w:spacing w:after="60" w:line="336" w:lineRule="exact"/>
        <w:ind w:left="360"/>
      </w:pPr>
      <w:r>
        <w:rPr>
          <w:rFonts w:ascii="Calibri" w:eastAsia="Calibri" w:hAnsi="Calibri" w:cs="Calibri"/>
          <w:color w:val="595959"/>
        </w:rPr>
        <w:t>A restaurant group starts using keystroke or screen-monitoring software on back-office computers without telling the employees who use them.</w:t>
      </w:r>
    </w:p>
    <w:p w14:paraId="31F46B3D" w14:textId="77777777" w:rsidR="00E20CE5" w:rsidRDefault="00000000">
      <w:pPr>
        <w:spacing w:before="200" w:after="60"/>
      </w:pPr>
      <w:r>
        <w:rPr>
          <w:rFonts w:ascii="Calibri" w:eastAsia="Calibri" w:hAnsi="Calibri" w:cs="Calibri"/>
          <w:b/>
          <w:bCs/>
          <w:color w:val="2E75B6"/>
          <w:sz w:val="22"/>
          <w:szCs w:val="22"/>
        </w:rPr>
        <w:t>Personnel File Requests (§631)</w:t>
      </w:r>
    </w:p>
    <w:p w14:paraId="31F46B3E" w14:textId="77777777" w:rsidR="00E20CE5" w:rsidRDefault="00000000">
      <w:pPr>
        <w:pStyle w:val="ListParagraph"/>
        <w:numPr>
          <w:ilvl w:val="0"/>
          <w:numId w:val="1"/>
        </w:numPr>
        <w:spacing w:after="60" w:line="336" w:lineRule="exact"/>
        <w:ind w:left="360"/>
      </w:pPr>
      <w:r>
        <w:rPr>
          <w:rFonts w:ascii="Calibri" w:eastAsia="Calibri" w:hAnsi="Calibri" w:cs="Calibri"/>
          <w:color w:val="595959"/>
        </w:rPr>
        <w:t>A former employee requests "all records related to my employment," and the employer produces only the physical personnel folder — omitting the quarterly analytics extract that flagged them for high absenteeism shortly before termination.</w:t>
      </w:r>
    </w:p>
    <w:p w14:paraId="31F46B3F" w14:textId="77777777" w:rsidR="00E20CE5" w:rsidRDefault="00000000">
      <w:pPr>
        <w:pStyle w:val="ListParagraph"/>
        <w:numPr>
          <w:ilvl w:val="0"/>
          <w:numId w:val="1"/>
        </w:numPr>
        <w:spacing w:after="60" w:line="336" w:lineRule="exact"/>
        <w:ind w:left="360"/>
      </w:pPr>
      <w:r>
        <w:rPr>
          <w:rFonts w:ascii="Calibri" w:eastAsia="Calibri" w:hAnsi="Calibri" w:cs="Calibri"/>
          <w:color w:val="595959"/>
        </w:rPr>
        <w:t>An employee's written request for their file sits unanswered for three weeks, past the 10-day statutory window.</w:t>
      </w:r>
    </w:p>
    <w:p w14:paraId="31F46B40" w14:textId="77777777" w:rsidR="00E20CE5" w:rsidRDefault="00000000">
      <w:pPr>
        <w:spacing w:before="200" w:after="60"/>
      </w:pPr>
      <w:r>
        <w:rPr>
          <w:rFonts w:ascii="Calibri" w:eastAsia="Calibri" w:hAnsi="Calibri" w:cs="Calibri"/>
          <w:b/>
          <w:bCs/>
          <w:color w:val="2E75B6"/>
          <w:sz w:val="22"/>
          <w:szCs w:val="22"/>
        </w:rPr>
        <w:t>Recordkeeping (§622, §665)</w:t>
      </w:r>
    </w:p>
    <w:p w14:paraId="31F46B41" w14:textId="77777777" w:rsidR="00E20CE5" w:rsidRDefault="00000000">
      <w:pPr>
        <w:pStyle w:val="ListParagraph"/>
        <w:numPr>
          <w:ilvl w:val="0"/>
          <w:numId w:val="1"/>
        </w:numPr>
        <w:spacing w:after="60" w:line="336" w:lineRule="exact"/>
        <w:ind w:left="360"/>
      </w:pPr>
      <w:r>
        <w:rPr>
          <w:rFonts w:ascii="Calibri" w:eastAsia="Calibri" w:hAnsi="Calibri" w:cs="Calibri"/>
          <w:color w:val="595959"/>
        </w:rPr>
        <w:t>The quarterly time-to-hire metric is built from a spreadsheet manually maintained by a manager, with no link back to the official daily time and wage records — and the spreadsheet itself isn't retained.</w:t>
      </w:r>
    </w:p>
    <w:p w14:paraId="31F46B42" w14:textId="77777777" w:rsidR="00E20CE5" w:rsidRDefault="00000000">
      <w:pPr>
        <w:pStyle w:val="ListParagraph"/>
        <w:numPr>
          <w:ilvl w:val="0"/>
          <w:numId w:val="1"/>
        </w:numPr>
        <w:spacing w:after="60" w:line="336" w:lineRule="exact"/>
        <w:ind w:left="360"/>
      </w:pPr>
      <w:r>
        <w:rPr>
          <w:rFonts w:ascii="Calibri" w:eastAsia="Calibri" w:hAnsi="Calibri" w:cs="Calibri"/>
          <w:color w:val="595959"/>
        </w:rPr>
        <w:t>Raw POS/time-clock exports used to build a quarter's dashboard are deleted once the readout is delivered, leaving no 3-year record if the Department of Labor requests it later.</w:t>
      </w:r>
    </w:p>
    <w:p w14:paraId="31F46B43" w14:textId="77777777" w:rsidR="00E20CE5" w:rsidRDefault="00000000">
      <w:pPr>
        <w:spacing w:before="200" w:after="60"/>
      </w:pPr>
      <w:r>
        <w:rPr>
          <w:rFonts w:ascii="Calibri" w:eastAsia="Calibri" w:hAnsi="Calibri" w:cs="Calibri"/>
          <w:b/>
          <w:bCs/>
          <w:color w:val="2E75B6"/>
          <w:sz w:val="22"/>
          <w:szCs w:val="22"/>
        </w:rPr>
        <w:t>Protected Leave Confidentiality (ADA / FMLA / PFML / Workers' Comp)</w:t>
      </w:r>
    </w:p>
    <w:p w14:paraId="31F46B44" w14:textId="77777777" w:rsidR="00E20CE5" w:rsidRDefault="00000000">
      <w:pPr>
        <w:pStyle w:val="ListParagraph"/>
        <w:numPr>
          <w:ilvl w:val="0"/>
          <w:numId w:val="1"/>
        </w:numPr>
        <w:spacing w:after="60" w:line="336" w:lineRule="exact"/>
        <w:ind w:left="360"/>
      </w:pPr>
      <w:r>
        <w:rPr>
          <w:rFonts w:ascii="Calibri" w:eastAsia="Calibri" w:hAnsi="Calibri" w:cs="Calibri"/>
          <w:color w:val="595959"/>
        </w:rPr>
        <w:t>A quarterly absenteeism report shows a single "total absence days" figure per employee that blends FMLA leave, PFML leave, and ordinary no-call/no-shows — and a location manager uses that combined number to justify a write-up.</w:t>
      </w:r>
    </w:p>
    <w:p w14:paraId="31F46B45" w14:textId="77777777" w:rsidR="00E20CE5" w:rsidRDefault="00000000">
      <w:pPr>
        <w:pStyle w:val="ListParagraph"/>
        <w:numPr>
          <w:ilvl w:val="0"/>
          <w:numId w:val="1"/>
        </w:numPr>
        <w:spacing w:after="60" w:line="336" w:lineRule="exact"/>
        <w:ind w:left="360"/>
      </w:pPr>
      <w:r>
        <w:rPr>
          <w:rFonts w:ascii="Calibri" w:eastAsia="Calibri" w:hAnsi="Calibri" w:cs="Calibri"/>
          <w:color w:val="595959"/>
        </w:rPr>
        <w:t>ADA accommodation documentation is stored in the same shared drive folder as general attendance data, accessible to non-HR managers.</w:t>
      </w:r>
    </w:p>
    <w:p w14:paraId="31F46B46" w14:textId="77777777" w:rsidR="00E20CE5" w:rsidRDefault="00000000">
      <w:pPr>
        <w:spacing w:before="200" w:after="60"/>
      </w:pPr>
      <w:r>
        <w:rPr>
          <w:rFonts w:ascii="Calibri" w:eastAsia="Calibri" w:hAnsi="Calibri" w:cs="Calibri"/>
          <w:b/>
          <w:bCs/>
          <w:color w:val="2E75B6"/>
          <w:sz w:val="22"/>
          <w:szCs w:val="22"/>
        </w:rPr>
        <w:t>Disparate Impact (Maine Human Rights Act)</w:t>
      </w:r>
    </w:p>
    <w:p w14:paraId="31F46B47" w14:textId="77777777" w:rsidR="00E20CE5" w:rsidRDefault="00000000">
      <w:pPr>
        <w:pStyle w:val="ListParagraph"/>
        <w:numPr>
          <w:ilvl w:val="0"/>
          <w:numId w:val="1"/>
        </w:numPr>
        <w:spacing w:after="60" w:line="336" w:lineRule="exact"/>
        <w:ind w:left="360"/>
      </w:pPr>
      <w:r>
        <w:rPr>
          <w:rFonts w:ascii="Calibri" w:eastAsia="Calibri" w:hAnsi="Calibri" w:cs="Calibri"/>
          <w:color w:val="595959"/>
        </w:rPr>
        <w:t>A turnover analysis shows meaningfully higher attrition among employees over 50 at one location, and no one documents a review of the pattern or a business explanation.</w:t>
      </w:r>
    </w:p>
    <w:p w14:paraId="31F46B48" w14:textId="77777777" w:rsidR="00E20CE5" w:rsidRDefault="00000000">
      <w:pPr>
        <w:pStyle w:val="ListParagraph"/>
        <w:numPr>
          <w:ilvl w:val="0"/>
          <w:numId w:val="1"/>
        </w:numPr>
        <w:spacing w:after="60" w:line="336" w:lineRule="exact"/>
        <w:ind w:left="360"/>
      </w:pPr>
      <w:r>
        <w:rPr>
          <w:rFonts w:ascii="Calibri" w:eastAsia="Calibri" w:hAnsi="Calibri" w:cs="Calibri"/>
          <w:color w:val="595959"/>
        </w:rPr>
        <w:t>A "turnover risk" flag generated from the analytics is used to deprioritize a group of employees for additional shifts or promotion consideration, without documented, job-related criteria behind the decision.</w:t>
      </w:r>
    </w:p>
    <w:p w14:paraId="31F46B49" w14:textId="77777777" w:rsidR="00E20CE5" w:rsidRDefault="00000000">
      <w:pPr>
        <w:pStyle w:val="Heading1"/>
        <w:pBdr>
          <w:bottom w:val="single" w:sz="6" w:space="4" w:color="2E75B6"/>
        </w:pBdr>
        <w:spacing w:before="280" w:after="80"/>
      </w:pPr>
      <w:r>
        <w:rPr>
          <w:rFonts w:ascii="Garamond" w:eastAsia="Garamond" w:hAnsi="Garamond" w:cs="Garamond"/>
          <w:b/>
          <w:bCs/>
          <w:color w:val="1F3A5F"/>
          <w:sz w:val="30"/>
          <w:szCs w:val="30"/>
        </w:rPr>
        <w:t>Implications for the Quarterly Workforce Health Check Service</w:t>
      </w:r>
    </w:p>
    <w:p w14:paraId="31F46B4A" w14:textId="77777777" w:rsidR="00E20CE5" w:rsidRDefault="00000000">
      <w:pPr>
        <w:spacing w:after="120" w:line="336" w:lineRule="exact"/>
      </w:pPr>
      <w:r>
        <w:rPr>
          <w:rFonts w:ascii="Calibri" w:eastAsia="Calibri" w:hAnsi="Calibri" w:cs="Calibri"/>
          <w:color w:val="595959"/>
        </w:rPr>
        <w:t>These considerations point to a few concrete build-outs before this becomes a scaled offering:</w:t>
      </w:r>
    </w:p>
    <w:p w14:paraId="31F46B4B" w14:textId="2CFD8657" w:rsidR="00E20CE5" w:rsidRDefault="00000000">
      <w:pPr>
        <w:pStyle w:val="ListParagraph"/>
        <w:numPr>
          <w:ilvl w:val="0"/>
          <w:numId w:val="1"/>
        </w:numPr>
        <w:spacing w:after="60" w:line="336" w:lineRule="exact"/>
        <w:ind w:left="360"/>
      </w:pPr>
      <w:r>
        <w:rPr>
          <w:rFonts w:ascii="Calibri" w:eastAsia="Calibri" w:hAnsi="Calibri" w:cs="Calibri"/>
          <w:color w:val="595959"/>
        </w:rPr>
        <w:t>Data-source audit: for each client, identify which systems feed the quarterly metrics (time clocks, scheduling apps, POS, wearables) and confirm LD 61</w:t>
      </w:r>
      <w:r w:rsidR="00327EE6">
        <w:rPr>
          <w:rFonts w:ascii="Calibri" w:eastAsia="Calibri" w:hAnsi="Calibri" w:cs="Calibri"/>
          <w:color w:val="595959"/>
        </w:rPr>
        <w:t xml:space="preserve"> (surveillance)</w:t>
      </w:r>
      <w:r>
        <w:rPr>
          <w:rFonts w:ascii="Calibri" w:eastAsia="Calibri" w:hAnsi="Calibri" w:cs="Calibri"/>
          <w:color w:val="595959"/>
        </w:rPr>
        <w:t xml:space="preserve"> notice requirements have been met for each.</w:t>
      </w:r>
    </w:p>
    <w:p w14:paraId="31F46B4C" w14:textId="77777777" w:rsidR="00E20CE5" w:rsidRDefault="00000000">
      <w:pPr>
        <w:pStyle w:val="ListParagraph"/>
        <w:numPr>
          <w:ilvl w:val="0"/>
          <w:numId w:val="1"/>
        </w:numPr>
        <w:spacing w:after="60" w:line="336" w:lineRule="exact"/>
        <w:ind w:left="360"/>
      </w:pPr>
      <w:r>
        <w:rPr>
          <w:rFonts w:ascii="Calibri" w:eastAsia="Calibri" w:hAnsi="Calibri" w:cs="Calibri"/>
          <w:color w:val="595959"/>
        </w:rPr>
        <w:t>Aggregation-first design: default reports to store/department-level aggregates; individual-level data should stay with HR and not flow to frontline managers unless there's a specific, documented need.</w:t>
      </w:r>
    </w:p>
    <w:p w14:paraId="31F46B4D" w14:textId="77777777" w:rsidR="00E20CE5" w:rsidRDefault="00000000">
      <w:pPr>
        <w:pStyle w:val="ListParagraph"/>
        <w:numPr>
          <w:ilvl w:val="0"/>
          <w:numId w:val="1"/>
        </w:numPr>
        <w:spacing w:after="60" w:line="336" w:lineRule="exact"/>
        <w:ind w:left="360"/>
      </w:pPr>
      <w:r>
        <w:rPr>
          <w:rFonts w:ascii="Calibri" w:eastAsia="Calibri" w:hAnsi="Calibri" w:cs="Calibri"/>
          <w:color w:val="595959"/>
        </w:rPr>
        <w:t>Leave-data firewall: exclude ADA-, FMLA-, PFML-, and workers' comp-protected absences from general attendance metrics, or clearly separate them so they can never be read as ordinary absenteeism.</w:t>
      </w:r>
    </w:p>
    <w:p w14:paraId="31F46B4E" w14:textId="77777777" w:rsidR="00E20CE5" w:rsidRDefault="00000000">
      <w:pPr>
        <w:pStyle w:val="ListParagraph"/>
        <w:numPr>
          <w:ilvl w:val="0"/>
          <w:numId w:val="1"/>
        </w:numPr>
        <w:spacing w:after="60" w:line="336" w:lineRule="exact"/>
        <w:ind w:left="360"/>
      </w:pPr>
      <w:r>
        <w:rPr>
          <w:rFonts w:ascii="Calibri" w:eastAsia="Calibri" w:hAnsi="Calibri" w:cs="Calibri"/>
          <w:color w:val="595959"/>
        </w:rPr>
        <w:lastRenderedPageBreak/>
        <w:t>Recordkeeping reconciliation: confirm the data feeding time-to-hire and absenteeism metrics reconciles with the client's official §622 time/wage records, and that source data is retained for at least 3 years — not just the summarized dashboard.</w:t>
      </w:r>
    </w:p>
    <w:p w14:paraId="31F46B4F" w14:textId="77777777" w:rsidR="00E20CE5" w:rsidRDefault="00000000">
      <w:pPr>
        <w:pStyle w:val="ListParagraph"/>
        <w:numPr>
          <w:ilvl w:val="0"/>
          <w:numId w:val="1"/>
        </w:numPr>
        <w:spacing w:after="60" w:line="336" w:lineRule="exact"/>
        <w:ind w:left="360"/>
      </w:pPr>
      <w:r>
        <w:rPr>
          <w:rFonts w:ascii="Calibri" w:eastAsia="Calibri" w:hAnsi="Calibri" w:cs="Calibri"/>
          <w:color w:val="595959"/>
        </w:rPr>
        <w:t>Pattern-review step: when a quarterly report surfaces a turnover or absenteeism pattern that could correlate with a protected characteristic, document that it was reviewed and note any business explanation, rather than leaving the raw pattern to speak for itself.</w:t>
      </w:r>
    </w:p>
    <w:p w14:paraId="31F46B50" w14:textId="77777777" w:rsidR="00E20CE5" w:rsidRDefault="00000000">
      <w:pPr>
        <w:pStyle w:val="ListParagraph"/>
        <w:numPr>
          <w:ilvl w:val="0"/>
          <w:numId w:val="1"/>
        </w:numPr>
        <w:spacing w:after="60" w:line="336" w:lineRule="exact"/>
        <w:ind w:left="360"/>
      </w:pPr>
      <w:r>
        <w:rPr>
          <w:rFonts w:ascii="Calibri" w:eastAsia="Calibri" w:hAnsi="Calibri" w:cs="Calibri"/>
          <w:color w:val="595959"/>
        </w:rPr>
        <w:t>Records-request protocol: confirm the client's process for personnel file requests includes a check for related analytics extracts, not just the physical/digital personnel folder.</w:t>
      </w:r>
    </w:p>
    <w:sectPr w:rsidR="00E20CE5">
      <w:footerReference w:type="even" r:id="rId7"/>
      <w:footerReference w:type="default" r:id="rId8"/>
      <w:footerReference w:type="first" r:id="rId9"/>
      <w:pgSz w:w="12240" w:h="15840"/>
      <w:pgMar w:top="1080" w:right="1080" w:bottom="1080" w:left="1080" w:header="0" w:footer="708"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E443E" w14:textId="77777777" w:rsidR="0017455D" w:rsidRDefault="0017455D">
      <w:r>
        <w:separator/>
      </w:r>
    </w:p>
  </w:endnote>
  <w:endnote w:type="continuationSeparator" w:id="0">
    <w:p w14:paraId="191EA02B" w14:textId="77777777" w:rsidR="0017455D" w:rsidRDefault="001745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1"/>
    <w:family w:val="auto"/>
    <w:pitch w:val="default"/>
  </w:font>
  <w:font w:name="Noto Serif CJK SC">
    <w:panose1 w:val="00000000000000000000"/>
    <w:charset w:val="00"/>
    <w:family w:val="roman"/>
    <w:notTrueType/>
    <w:pitch w:val="default"/>
  </w:font>
  <w:font w:name="FreeSan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46B51" w14:textId="77777777" w:rsidR="00E20CE5" w:rsidRDefault="00E20C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46B52" w14:textId="77777777" w:rsidR="00E20CE5" w:rsidRDefault="00000000">
    <w:pPr>
      <w:jc w:val="right"/>
    </w:pPr>
    <w:r>
      <w:rPr>
        <w:rFonts w:ascii="Calibri" w:eastAsia="Calibri" w:hAnsi="Calibri" w:cs="Calibri"/>
        <w:color w:val="808080"/>
        <w:sz w:val="16"/>
        <w:szCs w:val="16"/>
      </w:rPr>
      <w:t xml:space="preserve">Upward Management Group  |  hr@upmgt.org  |  Page </w:t>
    </w:r>
    <w:r>
      <w:fldChar w:fldCharType="begin"/>
    </w:r>
    <w:r>
      <w:instrText xml:space="preserve"> PAGE </w:instrText>
    </w:r>
    <w:r>
      <w:fldChar w:fldCharType="separate"/>
    </w:r>
    <w: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46B53" w14:textId="77777777" w:rsidR="00E20CE5" w:rsidRDefault="00000000">
    <w:pPr>
      <w:jc w:val="right"/>
    </w:pPr>
    <w:r>
      <w:rPr>
        <w:rFonts w:ascii="Calibri" w:eastAsia="Calibri" w:hAnsi="Calibri" w:cs="Calibri"/>
        <w:color w:val="808080"/>
        <w:sz w:val="16"/>
        <w:szCs w:val="16"/>
      </w:rPr>
      <w:t xml:space="preserve">Upward Management Group  |  hr@upmgt.org  |  Page </w:t>
    </w:r>
    <w:r>
      <w:fldChar w:fldCharType="begin"/>
    </w:r>
    <w:r>
      <w:instrText xml:space="preserve"> PAGE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80C31" w14:textId="77777777" w:rsidR="0017455D" w:rsidRDefault="0017455D">
      <w:r>
        <w:separator/>
      </w:r>
    </w:p>
  </w:footnote>
  <w:footnote w:type="continuationSeparator" w:id="0">
    <w:p w14:paraId="59AAC59F" w14:textId="77777777" w:rsidR="0017455D" w:rsidRDefault="001745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657AB"/>
    <w:multiLevelType w:val="multilevel"/>
    <w:tmpl w:val="E812AD4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3D0A586D"/>
    <w:multiLevelType w:val="multilevel"/>
    <w:tmpl w:val="4E8814A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504326604">
    <w:abstractNumId w:val="0"/>
  </w:num>
  <w:num w:numId="2" w16cid:durableId="884562656">
    <w:abstractNumId w:val="1"/>
  </w:num>
  <w:num w:numId="3" w16cid:durableId="18917246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CE5"/>
    <w:rsid w:val="0017455D"/>
    <w:rsid w:val="00327EE6"/>
    <w:rsid w:val="00470EB0"/>
    <w:rsid w:val="00E20CE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46AEA"/>
  <w15:docId w15:val="{9DF21F52-6F30-4116-9323-344EA5DE1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oto Serif CJK SC" w:hAnsi="Times New Roman" w:cs="FreeSans"/>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semiHidden/>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HeaderandFooter">
    <w:name w:val="Header and Footer"/>
    <w:basedOn w:val="Normal"/>
    <w:qFormat/>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1645</Words>
  <Characters>9379</Characters>
  <Application>Microsoft Office Word</Application>
  <DocSecurity>0</DocSecurity>
  <Lines>78</Lines>
  <Paragraphs>22</Paragraphs>
  <ScaleCrop>false</ScaleCrop>
  <Company/>
  <LinksUpToDate>false</LinksUpToDate>
  <CharactersWithSpaces>11002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Cody Martel</cp:lastModifiedBy>
  <cp:revision>2</cp:revision>
  <dcterms:created xsi:type="dcterms:W3CDTF">2026-08-24T14:22:00Z</dcterms:created>
  <dcterms:modified xsi:type="dcterms:W3CDTF">2026-08-24T14:22:00Z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2026-08-23T19:23:27Z</dcterms:created>
  <dc:creator>Un-named</dc:creator>
  <dc:description/>
  <dc:language>en-US</dc:language>
  <cp:lastModifiedBy>Un-named</cp:lastModifiedBy>
  <dcterms:modified xsi:type="dcterms:W3CDTF">2026-08-23T19:23:27Z</dcterms:modified>
  <cp:revision>1</cp:revision>
  <dc:subject/>
  <dc:title/>
</cp:coreProperties>
</file>