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rasporeda"/>
        <w:tblW w:w="5000" w:type="pct"/>
        <w:tblBorders>
          <w:bottom w:val="single" w:sz="8" w:space="0" w:color="F79595" w:themeColor="accent1" w:themeTint="99"/>
        </w:tblBorders>
        <w:tblCellMar>
          <w:bottom w:w="360" w:type="dxa"/>
        </w:tblCellMar>
        <w:tblLook w:val="04A0" w:firstRow="1" w:lastRow="0" w:firstColumn="1" w:lastColumn="0" w:noHBand="0" w:noVBand="1"/>
        <w:tblDescription w:val="Informacije o preduzeću"/>
      </w:tblPr>
      <w:tblGrid>
        <w:gridCol w:w="6933"/>
        <w:gridCol w:w="1733"/>
      </w:tblGrid>
      <w:tr w:rsidR="00620791" w:rsidRPr="002A1C8F" w14:paraId="4C0BDEDE" w14:textId="77777777">
        <w:tc>
          <w:tcPr>
            <w:tcW w:w="4000" w:type="pct"/>
            <w:vAlign w:val="bottom"/>
          </w:tcPr>
          <w:p w14:paraId="4C0BDEDB" w14:textId="51E479EF" w:rsidR="00620791" w:rsidRPr="002A1C8F" w:rsidRDefault="007A2D6F">
            <w:pPr>
              <w:pStyle w:val="Ime"/>
              <w:ind w:left="0" w:right="0"/>
              <w:rPr>
                <w:noProof/>
              </w:rPr>
            </w:pPr>
            <w:r>
              <w:rPr>
                <w:noProof/>
              </w:rPr>
              <w:t>IMITech</w:t>
            </w:r>
          </w:p>
          <w:p w14:paraId="4C0BDEDC" w14:textId="65D0833A" w:rsidR="00620791" w:rsidRPr="002A1C8F" w:rsidRDefault="00463AB8">
            <w:pPr>
              <w:pStyle w:val="NoSpacing"/>
              <w:ind w:left="0" w:right="0"/>
              <w:rPr>
                <w:noProof/>
              </w:rPr>
            </w:pPr>
            <w:r>
              <w:rPr>
                <w:noProof/>
                <w:lang w:bidi="sr-Latn-RS"/>
              </w:rPr>
              <w:t>Radoja Domanovića 12</w:t>
            </w:r>
            <w:r w:rsidR="004D4884" w:rsidRPr="002A1C8F">
              <w:rPr>
                <w:noProof/>
                <w:lang w:bidi="sr-Latn-RS"/>
              </w:rPr>
              <w:br/>
            </w:r>
            <w:r w:rsidR="00B44F65">
              <w:rPr>
                <w:noProof/>
                <w:lang w:bidi="sr-Latn-RS"/>
              </w:rPr>
              <w:t>Kragujevac, Srbija, 34 000</w:t>
            </w:r>
          </w:p>
        </w:tc>
        <w:tc>
          <w:tcPr>
            <w:tcW w:w="1000" w:type="pct"/>
            <w:vAlign w:val="center"/>
          </w:tcPr>
          <w:p w14:paraId="3DFCF913" w14:textId="77777777" w:rsidR="00965A86" w:rsidRDefault="00965A86">
            <w:pPr>
              <w:pStyle w:val="NoSpacing"/>
              <w:ind w:left="0" w:right="0"/>
              <w:jc w:val="center"/>
              <w:rPr>
                <w:noProof/>
                <w:lang w:bidi="sr-Latn-RS"/>
              </w:rPr>
            </w:pPr>
          </w:p>
          <w:p w14:paraId="4C0BDEDD" w14:textId="0E85CC58" w:rsidR="00620791" w:rsidRPr="002A1C8F" w:rsidRDefault="0006006C">
            <w:pPr>
              <w:pStyle w:val="NoSpacing"/>
              <w:ind w:left="0" w:right="0"/>
              <w:jc w:val="center"/>
              <w:rPr>
                <w:noProof/>
              </w:rPr>
            </w:pPr>
            <w:r w:rsidRPr="002A1C8F">
              <w:rPr>
                <w:noProof/>
                <w:lang w:bidi="sr-Latn-RS"/>
              </w:rPr>
              <w:drawing>
                <wp:inline distT="0" distB="0" distL="0" distR="0" wp14:anchorId="4C0BDF5C" wp14:editId="4C45C7FB">
                  <wp:extent cx="1078826" cy="923090"/>
                  <wp:effectExtent l="0" t="0" r="762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pic:cNvPicPr/>
                        </pic:nvPicPr>
                        <pic:blipFill>
                          <a:blip r:embed="rId11"/>
                          <a:stretch>
                            <a:fillRect/>
                          </a:stretch>
                        </pic:blipFill>
                        <pic:spPr>
                          <a:xfrm>
                            <a:off x="0" y="0"/>
                            <a:ext cx="1089169" cy="931940"/>
                          </a:xfrm>
                          <a:prstGeom prst="rect">
                            <a:avLst/>
                          </a:prstGeom>
                        </pic:spPr>
                      </pic:pic>
                    </a:graphicData>
                  </a:graphic>
                </wp:inline>
              </w:drawing>
            </w:r>
          </w:p>
        </w:tc>
      </w:tr>
    </w:tbl>
    <w:p w14:paraId="4C0BDEDF" w14:textId="100BC20B" w:rsidR="00620791" w:rsidRPr="002A1C8F" w:rsidRDefault="0006006C">
      <w:pPr>
        <w:pStyle w:val="Subtitle"/>
        <w:rPr>
          <w:noProof/>
        </w:rPr>
      </w:pPr>
      <w:r w:rsidRPr="002A1C8F">
        <w:rPr>
          <w:noProof/>
          <w:lang w:bidi="sr-Latn-RS"/>
        </w:rPr>
        <w:t xml:space="preserve">SOW </w:t>
      </w:r>
      <w:r w:rsidR="000E202A">
        <w:rPr>
          <w:rStyle w:val="PlaceholderText"/>
          <w:noProof/>
          <w:lang w:bidi="sr-Latn-RS"/>
        </w:rPr>
        <w:t>001</w:t>
      </w:r>
      <w:r w:rsidRPr="002A1C8F">
        <w:rPr>
          <w:noProof/>
          <w:lang w:bidi="sr-Latn-RS"/>
        </w:rPr>
        <w:t xml:space="preserve"> za Sporazum o pružanju savetodavnih usluga klijentu </w:t>
      </w:r>
      <w:r w:rsidR="00C574B6">
        <w:rPr>
          <w:rStyle w:val="PlaceholderText"/>
          <w:noProof/>
          <w:lang w:bidi="sr-Latn-RS"/>
        </w:rPr>
        <w:t>Tehno Živanović DOO</w:t>
      </w:r>
    </w:p>
    <w:tbl>
      <w:tblPr>
        <w:tblStyle w:val="Tabelarasporeda"/>
        <w:tblW w:w="5000" w:type="pct"/>
        <w:tblBorders>
          <w:bottom w:val="single" w:sz="4" w:space="0" w:color="F79595" w:themeColor="accent1" w:themeTint="99"/>
        </w:tblBorders>
        <w:tblLook w:val="04A0" w:firstRow="1" w:lastRow="0" w:firstColumn="1" w:lastColumn="0" w:noHBand="0" w:noVBand="1"/>
        <w:tblDescription w:val="Izvršilac usluga i klijent za koga se izvršavaju usluge"/>
      </w:tblPr>
      <w:tblGrid>
        <w:gridCol w:w="2889"/>
        <w:gridCol w:w="2889"/>
        <w:gridCol w:w="2888"/>
      </w:tblGrid>
      <w:tr w:rsidR="00620791" w:rsidRPr="000E202A" w14:paraId="4C0BDEE3" w14:textId="77777777">
        <w:tc>
          <w:tcPr>
            <w:tcW w:w="1667" w:type="pct"/>
            <w:vAlign w:val="bottom"/>
          </w:tcPr>
          <w:p w14:paraId="4C0BDEE0" w14:textId="22580980" w:rsidR="00620791" w:rsidRPr="000E202A" w:rsidRDefault="0006006C">
            <w:pPr>
              <w:pStyle w:val="Naslovobrasca"/>
              <w:ind w:left="0" w:right="0"/>
              <w:rPr>
                <w:b/>
                <w:bCs/>
                <w:noProof/>
              </w:rPr>
            </w:pPr>
            <w:r w:rsidRPr="000E202A">
              <w:rPr>
                <w:b/>
                <w:bCs/>
                <w:noProof/>
                <w:lang w:bidi="sr-Latn-RS"/>
              </w:rPr>
              <w:t>Datum</w:t>
            </w:r>
          </w:p>
        </w:tc>
        <w:tc>
          <w:tcPr>
            <w:tcW w:w="1667" w:type="pct"/>
            <w:vAlign w:val="bottom"/>
          </w:tcPr>
          <w:p w14:paraId="4C0BDEE1" w14:textId="77777777" w:rsidR="00620791" w:rsidRPr="000E202A" w:rsidRDefault="0006006C">
            <w:pPr>
              <w:pStyle w:val="Naslovobrasca"/>
              <w:ind w:left="0" w:right="0"/>
              <w:rPr>
                <w:b/>
                <w:bCs/>
                <w:noProof/>
              </w:rPr>
            </w:pPr>
            <w:r w:rsidRPr="000E202A">
              <w:rPr>
                <w:b/>
                <w:bCs/>
                <w:noProof/>
                <w:lang w:bidi="sr-Latn-RS"/>
              </w:rPr>
              <w:t>Usluge obavlja:</w:t>
            </w:r>
          </w:p>
        </w:tc>
        <w:tc>
          <w:tcPr>
            <w:tcW w:w="1666" w:type="pct"/>
            <w:vAlign w:val="bottom"/>
          </w:tcPr>
          <w:p w14:paraId="4C0BDEE2" w14:textId="77777777" w:rsidR="00620791" w:rsidRPr="000E202A" w:rsidRDefault="0006006C">
            <w:pPr>
              <w:pStyle w:val="Naslovobrasca"/>
              <w:ind w:left="0" w:right="0"/>
              <w:rPr>
                <w:b/>
                <w:bCs/>
                <w:noProof/>
              </w:rPr>
            </w:pPr>
            <w:r w:rsidRPr="000E202A">
              <w:rPr>
                <w:b/>
                <w:bCs/>
                <w:noProof/>
                <w:lang w:bidi="sr-Latn-RS"/>
              </w:rPr>
              <w:t>Usluge obavljene za:</w:t>
            </w:r>
          </w:p>
        </w:tc>
      </w:tr>
      <w:tr w:rsidR="00620791" w:rsidRPr="002A1C8F" w14:paraId="4C0BDEE9" w14:textId="77777777">
        <w:tc>
          <w:tcPr>
            <w:tcW w:w="1667" w:type="pct"/>
            <w:tcBorders>
              <w:bottom w:val="single" w:sz="4" w:space="0" w:color="F79595" w:themeColor="accent1" w:themeTint="99"/>
            </w:tcBorders>
            <w:tcMar>
              <w:bottom w:w="360" w:type="dxa"/>
            </w:tcMar>
          </w:tcPr>
          <w:p w14:paraId="4C0BDEE4" w14:textId="3B08EC2B" w:rsidR="00620791" w:rsidRPr="002A1C8F" w:rsidRDefault="009C2838">
            <w:pPr>
              <w:pStyle w:val="NoSpacing"/>
              <w:ind w:left="0" w:right="0"/>
              <w:rPr>
                <w:noProof/>
              </w:rPr>
            </w:pPr>
            <w:r>
              <w:rPr>
                <w:noProof/>
                <w:lang w:bidi="sr-Latn-RS"/>
              </w:rPr>
              <w:t>11.07.2022.</w:t>
            </w:r>
          </w:p>
        </w:tc>
        <w:tc>
          <w:tcPr>
            <w:tcW w:w="1667" w:type="pct"/>
            <w:tcBorders>
              <w:bottom w:val="single" w:sz="4" w:space="0" w:color="F79595" w:themeColor="accent1" w:themeTint="99"/>
            </w:tcBorders>
            <w:tcMar>
              <w:bottom w:w="360" w:type="dxa"/>
            </w:tcMar>
          </w:tcPr>
          <w:p w14:paraId="4C0BDEE5" w14:textId="37ED97A3" w:rsidR="00620791" w:rsidRPr="00EE4C04" w:rsidRDefault="00D52BE6">
            <w:pPr>
              <w:pStyle w:val="NoSpacing"/>
              <w:ind w:left="0" w:right="0"/>
              <w:rPr>
                <w:noProof/>
                <w:color w:val="F24F4F" w:themeColor="accent1"/>
              </w:rPr>
            </w:pPr>
            <w:r w:rsidRPr="00EE4C04">
              <w:rPr>
                <w:noProof/>
                <w:color w:val="F24F4F" w:themeColor="accent1"/>
              </w:rPr>
              <w:t>IMITech</w:t>
            </w:r>
          </w:p>
          <w:p w14:paraId="42534D34" w14:textId="2D0A78E3" w:rsidR="0069116E" w:rsidRPr="002A1C8F" w:rsidRDefault="0069116E">
            <w:pPr>
              <w:pStyle w:val="NoSpacing"/>
              <w:ind w:left="0" w:right="0"/>
              <w:rPr>
                <w:noProof/>
              </w:rPr>
            </w:pPr>
            <w:r>
              <w:rPr>
                <w:noProof/>
              </w:rPr>
              <w:t>Odgovorno lice: Sonja Galović</w:t>
            </w:r>
          </w:p>
          <w:p w14:paraId="4C0BDEE6" w14:textId="40ED92F9" w:rsidR="00620791" w:rsidRPr="002A1C8F" w:rsidRDefault="006539B8">
            <w:pPr>
              <w:pStyle w:val="NoSpacing"/>
              <w:ind w:left="0" w:right="0"/>
              <w:rPr>
                <w:noProof/>
              </w:rPr>
            </w:pPr>
            <w:r>
              <w:rPr>
                <w:noProof/>
                <w:lang w:bidi="sr-Latn-RS"/>
              </w:rPr>
              <w:t>Radoja Domanovića 12</w:t>
            </w:r>
            <w:r w:rsidR="00875A8C" w:rsidRPr="002A1C8F">
              <w:rPr>
                <w:noProof/>
                <w:lang w:bidi="sr-Latn-RS"/>
              </w:rPr>
              <w:br/>
            </w:r>
            <w:r>
              <w:rPr>
                <w:noProof/>
                <w:lang w:bidi="sr-Latn-RS"/>
              </w:rPr>
              <w:t>Kragujevac, Srbija, 34 000</w:t>
            </w:r>
          </w:p>
        </w:tc>
        <w:tc>
          <w:tcPr>
            <w:tcW w:w="1666" w:type="pct"/>
            <w:tcBorders>
              <w:bottom w:val="single" w:sz="4" w:space="0" w:color="F79595" w:themeColor="accent1" w:themeTint="99"/>
            </w:tcBorders>
            <w:tcMar>
              <w:bottom w:w="360" w:type="dxa"/>
            </w:tcMar>
          </w:tcPr>
          <w:p w14:paraId="355FBFF2" w14:textId="77777777" w:rsidR="00C574B6" w:rsidRDefault="00C574B6">
            <w:pPr>
              <w:pStyle w:val="NoSpacing"/>
              <w:ind w:left="0" w:right="0"/>
              <w:rPr>
                <w:noProof/>
                <w:lang w:bidi="sr-Latn-RS"/>
              </w:rPr>
            </w:pPr>
            <w:r>
              <w:rPr>
                <w:rStyle w:val="PlaceholderText"/>
                <w:noProof/>
                <w:lang w:bidi="sr-Latn-RS"/>
              </w:rPr>
              <w:t>Tehno Živanović DOO</w:t>
            </w:r>
            <w:r w:rsidRPr="002A1C8F">
              <w:rPr>
                <w:noProof/>
                <w:lang w:bidi="sr-Latn-RS"/>
              </w:rPr>
              <w:t xml:space="preserve"> </w:t>
            </w:r>
          </w:p>
          <w:p w14:paraId="4812A915" w14:textId="6CF76970" w:rsidR="001334C0" w:rsidRPr="001334C0" w:rsidRDefault="001334C0">
            <w:pPr>
              <w:pStyle w:val="NoSpacing"/>
              <w:ind w:left="0" w:right="0"/>
              <w:rPr>
                <w:noProof/>
                <w:lang w:val="en-US" w:bidi="sr-Latn-RS"/>
              </w:rPr>
            </w:pPr>
            <w:r>
              <w:rPr>
                <w:noProof/>
                <w:lang w:bidi="sr-Latn-RS"/>
              </w:rPr>
              <w:t>Odgovorno lice: Miroslav Živanović</w:t>
            </w:r>
          </w:p>
          <w:p w14:paraId="4C0BDEE8" w14:textId="3D97CB39" w:rsidR="00CF037C" w:rsidRPr="002A1C8F" w:rsidRDefault="00C574B6">
            <w:pPr>
              <w:pStyle w:val="NoSpacing"/>
              <w:ind w:left="0" w:right="0"/>
              <w:rPr>
                <w:noProof/>
                <w:lang w:bidi="sr-Latn-RS"/>
              </w:rPr>
            </w:pPr>
            <w:r>
              <w:rPr>
                <w:noProof/>
                <w:lang w:bidi="sr-Latn-RS"/>
              </w:rPr>
              <w:t>Tome Živanovića 20</w:t>
            </w:r>
            <w:r w:rsidR="00875A8C" w:rsidRPr="002A1C8F">
              <w:rPr>
                <w:noProof/>
                <w:lang w:bidi="sr-Latn-RS"/>
              </w:rPr>
              <w:br/>
            </w:r>
            <w:r>
              <w:rPr>
                <w:noProof/>
                <w:lang w:bidi="sr-Latn-RS"/>
              </w:rPr>
              <w:t>Paraćin, Srbija, 35</w:t>
            </w:r>
            <w:r w:rsidR="00D52911">
              <w:rPr>
                <w:noProof/>
                <w:lang w:bidi="sr-Latn-RS"/>
              </w:rPr>
              <w:t xml:space="preserve"> </w:t>
            </w:r>
            <w:r>
              <w:rPr>
                <w:noProof/>
                <w:lang w:bidi="sr-Latn-RS"/>
              </w:rPr>
              <w:t>250</w:t>
            </w:r>
          </w:p>
        </w:tc>
      </w:tr>
    </w:tbl>
    <w:p w14:paraId="4C0BDEEF" w14:textId="08480091" w:rsidR="00620791" w:rsidRPr="002A1C8F" w:rsidRDefault="00620791">
      <w:pPr>
        <w:rPr>
          <w:noProof/>
        </w:rPr>
      </w:pPr>
    </w:p>
    <w:p w14:paraId="4C0BDEF0" w14:textId="77AC6605" w:rsidR="00620791" w:rsidRPr="002A1C8F" w:rsidRDefault="0006006C" w:rsidP="005837E7">
      <w:pPr>
        <w:pStyle w:val="NoSpacing"/>
        <w:rPr>
          <w:noProof/>
        </w:rPr>
      </w:pPr>
      <w:r w:rsidRPr="002A1C8F">
        <w:rPr>
          <w:noProof/>
          <w:lang w:bidi="sr-Latn-RS"/>
        </w:rPr>
        <w:t xml:space="preserve">Ovaj Radni nalog se izdaje shodno Glavnom sporazumu za konsultantske usluge između </w:t>
      </w:r>
      <w:r w:rsidR="005837E7">
        <w:rPr>
          <w:rStyle w:val="PlaceholderText"/>
          <w:noProof/>
          <w:lang w:bidi="sr-Latn-RS"/>
        </w:rPr>
        <w:t>Tehno Živanović DOO</w:t>
      </w:r>
      <w:r w:rsidR="005837E7" w:rsidRPr="002A1C8F">
        <w:rPr>
          <w:noProof/>
          <w:lang w:bidi="sr-Latn-RS"/>
        </w:rPr>
        <w:t xml:space="preserve"> </w:t>
      </w:r>
      <w:r w:rsidRPr="002A1C8F">
        <w:rPr>
          <w:noProof/>
          <w:lang w:bidi="sr-Latn-RS"/>
        </w:rPr>
        <w:t xml:space="preserve">(„Klijent“) i </w:t>
      </w:r>
      <w:r w:rsidR="005837E7" w:rsidRPr="000B4F5F">
        <w:rPr>
          <w:noProof/>
          <w:color w:val="F24F4F" w:themeColor="accent1"/>
        </w:rPr>
        <w:t>IMITech</w:t>
      </w:r>
      <w:r w:rsidR="005837E7">
        <w:rPr>
          <w:noProof/>
        </w:rPr>
        <w:t xml:space="preserve"> </w:t>
      </w:r>
      <w:r w:rsidRPr="002A1C8F">
        <w:rPr>
          <w:noProof/>
          <w:lang w:bidi="sr-Latn-RS"/>
        </w:rPr>
        <w:t xml:space="preserve">(„Ugovarač“), koji stupa na snagu </w:t>
      </w:r>
      <w:r w:rsidR="005837E7">
        <w:rPr>
          <w:rStyle w:val="PlaceholderText"/>
          <w:noProof/>
          <w:lang w:bidi="sr-Latn-RS"/>
        </w:rPr>
        <w:t>11.07.2022.</w:t>
      </w:r>
      <w:r w:rsidRPr="002A1C8F">
        <w:rPr>
          <w:noProof/>
          <w:lang w:bidi="sr-Latn-RS"/>
        </w:rPr>
        <w:t xml:space="preserve"> („Sporazum“). Ovaj Radni nalog podleže odredbama i uslovima koji su sadržani u Sporazumu između stranaka i njihov je sastavni deo. Bilo koji uslov koji inače ovde nije definisan imaće značenje navedeno u Sporazumu. U slučaju bilo kakvih neusaglašenosti ili nedoslednosti između uslova ovog Radnog naloga i uslova ovog Sporazuma, uslovi ovog Radnog naloga će važiti i preovladavati.</w:t>
      </w:r>
    </w:p>
    <w:p w14:paraId="4C0BDEF1" w14:textId="194646CA" w:rsidR="00620791" w:rsidRPr="002A1C8F" w:rsidRDefault="0006006C">
      <w:pPr>
        <w:rPr>
          <w:noProof/>
        </w:rPr>
      </w:pPr>
      <w:r w:rsidRPr="002A1C8F">
        <w:rPr>
          <w:noProof/>
          <w:lang w:bidi="sr-Latn-RS"/>
        </w:rPr>
        <w:t xml:space="preserve">Ovaj Radni nalog broj </w:t>
      </w:r>
      <w:r w:rsidR="00CE5ED5">
        <w:rPr>
          <w:rStyle w:val="PlaceholderText"/>
          <w:noProof/>
          <w:lang w:bidi="sr-Latn-RS"/>
        </w:rPr>
        <w:t xml:space="preserve">001 </w:t>
      </w:r>
      <w:r w:rsidRPr="002A1C8F">
        <w:rPr>
          <w:noProof/>
          <w:lang w:bidi="sr-Latn-RS"/>
        </w:rPr>
        <w:t xml:space="preserve">(u daljem tekstu „Radni nalog“), počevši od </w:t>
      </w:r>
      <w:r w:rsidR="00E53704">
        <w:rPr>
          <w:rStyle w:val="PlaceholderText"/>
          <w:noProof/>
          <w:lang w:bidi="sr-Latn-RS"/>
        </w:rPr>
        <w:t>11.07.2022.</w:t>
      </w:r>
      <w:r w:rsidR="00E53704" w:rsidRPr="002A1C8F">
        <w:rPr>
          <w:noProof/>
          <w:lang w:bidi="sr-Latn-RS"/>
        </w:rPr>
        <w:t xml:space="preserve"> </w:t>
      </w:r>
      <w:r w:rsidRPr="002A1C8F">
        <w:rPr>
          <w:noProof/>
          <w:lang w:bidi="sr-Latn-RS"/>
        </w:rPr>
        <w:t xml:space="preserve">sklapa se između Ugovarača i Klijenta i podleže uslovima koji su navedeni u nastavku. Eksponat(i) za Radni nalog, ako ih ima, smatraće se njegovim delom. U slučaju bilo kakvih nedoslednosti između uslova sadržaja ove Radnog naloga i odredbi Eksponata, uslovi sadržaja ovog Radnog naloga preovladavaju. </w:t>
      </w:r>
    </w:p>
    <w:p w14:paraId="4C0BDEF2" w14:textId="77777777" w:rsidR="00620791" w:rsidRPr="002A1C8F" w:rsidRDefault="0006006C">
      <w:pPr>
        <w:pStyle w:val="Heading1"/>
        <w:rPr>
          <w:noProof/>
        </w:rPr>
      </w:pPr>
      <w:r w:rsidRPr="002A1C8F">
        <w:rPr>
          <w:noProof/>
          <w:lang w:bidi="sr-Latn-RS"/>
        </w:rPr>
        <w:t>Period rada</w:t>
      </w:r>
    </w:p>
    <w:p w14:paraId="4C0BDEF3" w14:textId="7591E5FD" w:rsidR="00620791" w:rsidRPr="00375ACA" w:rsidRDefault="0006006C">
      <w:pPr>
        <w:rPr>
          <w:noProof/>
          <w:color w:val="F24F4F" w:themeColor="accent1"/>
          <w:lang w:bidi="sr-Latn-RS"/>
        </w:rPr>
      </w:pPr>
      <w:r w:rsidRPr="002A1C8F">
        <w:rPr>
          <w:noProof/>
          <w:lang w:bidi="sr-Latn-RS"/>
        </w:rPr>
        <w:t xml:space="preserve">Usluge će početi </w:t>
      </w:r>
      <w:r w:rsidR="00B70320">
        <w:rPr>
          <w:rStyle w:val="PlaceholderText"/>
          <w:noProof/>
          <w:lang w:bidi="sr-Latn-RS"/>
        </w:rPr>
        <w:t>11.07.2022.</w:t>
      </w:r>
      <w:r w:rsidR="00B70320" w:rsidRPr="002A1C8F">
        <w:rPr>
          <w:noProof/>
          <w:lang w:bidi="sr-Latn-RS"/>
        </w:rPr>
        <w:t xml:space="preserve"> </w:t>
      </w:r>
      <w:r w:rsidRPr="002A1C8F">
        <w:rPr>
          <w:noProof/>
          <w:lang w:bidi="sr-Latn-RS"/>
        </w:rPr>
        <w:t xml:space="preserve">i nastaviće se do </w:t>
      </w:r>
      <w:r w:rsidR="002E6B34">
        <w:rPr>
          <w:rStyle w:val="PlaceholderText"/>
          <w:noProof/>
          <w:lang w:bidi="sr-Latn-RS"/>
        </w:rPr>
        <w:t>11.</w:t>
      </w:r>
      <w:r w:rsidR="00550D48">
        <w:rPr>
          <w:rStyle w:val="PlaceholderText"/>
          <w:noProof/>
          <w:lang w:bidi="sr-Latn-RS"/>
        </w:rPr>
        <w:t>0</w:t>
      </w:r>
      <w:r w:rsidR="00375ACA">
        <w:rPr>
          <w:rStyle w:val="PlaceholderText"/>
          <w:noProof/>
          <w:lang w:bidi="sr-Latn-RS"/>
        </w:rPr>
        <w:t>7</w:t>
      </w:r>
      <w:r w:rsidR="00550D48">
        <w:rPr>
          <w:rStyle w:val="PlaceholderText"/>
          <w:noProof/>
          <w:lang w:bidi="sr-Latn-RS"/>
        </w:rPr>
        <w:t>.2023.</w:t>
      </w:r>
    </w:p>
    <w:p w14:paraId="4C0BDEF4" w14:textId="77777777" w:rsidR="00620791" w:rsidRPr="002A1C8F" w:rsidRDefault="0006006C">
      <w:pPr>
        <w:pStyle w:val="Heading1"/>
        <w:rPr>
          <w:noProof/>
        </w:rPr>
      </w:pPr>
      <w:r w:rsidRPr="002A1C8F">
        <w:rPr>
          <w:noProof/>
          <w:lang w:bidi="sr-Latn-RS"/>
        </w:rPr>
        <w:t>Resursi za angažovanje</w:t>
      </w:r>
    </w:p>
    <w:p w14:paraId="7645540A" w14:textId="77777777" w:rsidR="00737A0B" w:rsidRDefault="00A17A93" w:rsidP="00737A0B">
      <w:pPr>
        <w:spacing w:after="0"/>
        <w:rPr>
          <w:noProof/>
        </w:rPr>
      </w:pPr>
      <w:r>
        <w:rPr>
          <w:noProof/>
        </w:rPr>
        <w:t xml:space="preserve">U resurse za angažovanje </w:t>
      </w:r>
      <w:r w:rsidR="00382857">
        <w:rPr>
          <w:noProof/>
        </w:rPr>
        <w:t>spadaju hardvers</w:t>
      </w:r>
      <w:r w:rsidR="003C24DC">
        <w:rPr>
          <w:noProof/>
        </w:rPr>
        <w:t>ke komponente, softverske komponente</w:t>
      </w:r>
      <w:r w:rsidR="00C67556">
        <w:rPr>
          <w:noProof/>
        </w:rPr>
        <w:t>, ljudski resursi, podaci i mrež</w:t>
      </w:r>
      <w:r w:rsidR="00BB4249">
        <w:rPr>
          <w:noProof/>
        </w:rPr>
        <w:t>ni resursi.</w:t>
      </w:r>
      <w:r w:rsidR="0075655E">
        <w:rPr>
          <w:noProof/>
        </w:rPr>
        <w:t xml:space="preserve"> </w:t>
      </w:r>
    </w:p>
    <w:p w14:paraId="4C0BEDF1" w14:textId="5148A3AE" w:rsidR="00737A0B" w:rsidRDefault="00737A0B" w:rsidP="00737A0B">
      <w:pPr>
        <w:spacing w:after="0"/>
        <w:rPr>
          <w:noProof/>
        </w:rPr>
      </w:pPr>
      <w:r>
        <w:rPr>
          <w:noProof/>
        </w:rPr>
        <w:t>Hardverske komponente:</w:t>
      </w:r>
      <w:r w:rsidR="00101079">
        <w:rPr>
          <w:noProof/>
        </w:rPr>
        <w:t xml:space="preserve"> računari</w:t>
      </w:r>
      <w:r w:rsidR="00AD396F">
        <w:rPr>
          <w:noProof/>
        </w:rPr>
        <w:t xml:space="preserve">, </w:t>
      </w:r>
      <w:r w:rsidR="00AC620E">
        <w:rPr>
          <w:noProof/>
        </w:rPr>
        <w:t>laptopovi, monitori, tastature, miševi, štampači</w:t>
      </w:r>
      <w:r w:rsidR="00866577">
        <w:rPr>
          <w:noProof/>
        </w:rPr>
        <w:t>.</w:t>
      </w:r>
      <w:r w:rsidR="009D786C">
        <w:rPr>
          <w:noProof/>
        </w:rPr>
        <w:t xml:space="preserve"> </w:t>
      </w:r>
    </w:p>
    <w:p w14:paraId="0B612CF9" w14:textId="147B86EA" w:rsidR="00737A0B" w:rsidRDefault="00737A0B" w:rsidP="00737A0B">
      <w:pPr>
        <w:spacing w:after="0"/>
        <w:rPr>
          <w:noProof/>
        </w:rPr>
      </w:pPr>
      <w:r>
        <w:rPr>
          <w:noProof/>
        </w:rPr>
        <w:t xml:space="preserve">Softverske komponente: operativni sistem, MS Office 365, </w:t>
      </w:r>
      <w:r w:rsidR="00FC3CA7">
        <w:rPr>
          <w:noProof/>
        </w:rPr>
        <w:t>AllFusion Process Modeler, ERWin Data Modeler, Enterprise Architect.</w:t>
      </w:r>
    </w:p>
    <w:p w14:paraId="54AC8302" w14:textId="10F31B71" w:rsidR="00FC3CA7" w:rsidRDefault="00FC3CA7" w:rsidP="00737A0B">
      <w:pPr>
        <w:spacing w:after="0"/>
        <w:rPr>
          <w:noProof/>
        </w:rPr>
      </w:pPr>
      <w:r>
        <w:rPr>
          <w:noProof/>
        </w:rPr>
        <w:t>Ljudski resursi: menadžeri, programeri softvera, dizajneri sistema, administrator sistema</w:t>
      </w:r>
      <w:r w:rsidR="00FC66AF">
        <w:rPr>
          <w:noProof/>
        </w:rPr>
        <w:t>.</w:t>
      </w:r>
    </w:p>
    <w:p w14:paraId="2DD7F665" w14:textId="1EDABC92" w:rsidR="00FC66AF" w:rsidRPr="002A1C8F" w:rsidRDefault="00FC66AF" w:rsidP="00737A0B">
      <w:pPr>
        <w:spacing w:after="0"/>
        <w:rPr>
          <w:noProof/>
        </w:rPr>
      </w:pPr>
      <w:r>
        <w:rPr>
          <w:noProof/>
        </w:rPr>
        <w:t xml:space="preserve">Mrežni resursi: </w:t>
      </w:r>
      <w:r w:rsidR="00763701">
        <w:rPr>
          <w:noProof/>
        </w:rPr>
        <w:t>ruteri</w:t>
      </w:r>
      <w:r w:rsidR="00866577">
        <w:rPr>
          <w:noProof/>
        </w:rPr>
        <w:t>, serveri</w:t>
      </w:r>
      <w:r w:rsidR="004C4953">
        <w:rPr>
          <w:noProof/>
        </w:rPr>
        <w:t>, optički kabl</w:t>
      </w:r>
      <w:r w:rsidR="00B21148">
        <w:rPr>
          <w:noProof/>
        </w:rPr>
        <w:t>, internet konekcija, domen.</w:t>
      </w:r>
    </w:p>
    <w:p w14:paraId="4C0BDEF9" w14:textId="77777777" w:rsidR="00620791" w:rsidRPr="002A1C8F" w:rsidRDefault="0006006C">
      <w:pPr>
        <w:pStyle w:val="Heading1"/>
        <w:rPr>
          <w:noProof/>
        </w:rPr>
      </w:pPr>
      <w:r w:rsidRPr="002A1C8F">
        <w:rPr>
          <w:noProof/>
          <w:lang w:bidi="sr-Latn-RS"/>
        </w:rPr>
        <w:lastRenderedPageBreak/>
        <w:t>Opseg rada</w:t>
      </w:r>
    </w:p>
    <w:p w14:paraId="5A85E1D2" w14:textId="08E6A0CD" w:rsidR="00A76EB9" w:rsidRPr="002A1C8F" w:rsidRDefault="0006006C" w:rsidP="004206F2">
      <w:pPr>
        <w:spacing w:after="0"/>
        <w:rPr>
          <w:noProof/>
          <w:lang w:bidi="sr-Latn-RS"/>
        </w:rPr>
      </w:pPr>
      <w:r w:rsidRPr="002A1C8F">
        <w:rPr>
          <w:noProof/>
          <w:lang w:bidi="sr-Latn-RS"/>
        </w:rPr>
        <w:t>Izvođač pruža Usluge i Isporuku(e):</w:t>
      </w:r>
    </w:p>
    <w:p w14:paraId="41D9E214" w14:textId="4C7DEE9F" w:rsidR="00E017B7" w:rsidRDefault="00E017B7" w:rsidP="00202774">
      <w:pPr>
        <w:pStyle w:val="ListParagraph"/>
        <w:numPr>
          <w:ilvl w:val="0"/>
          <w:numId w:val="5"/>
        </w:numPr>
        <w:rPr>
          <w:noProof/>
        </w:rPr>
      </w:pPr>
      <w:r>
        <w:rPr>
          <w:noProof/>
        </w:rPr>
        <w:t>definisanja zahteva,</w:t>
      </w:r>
    </w:p>
    <w:p w14:paraId="618935A9" w14:textId="0B71CB99" w:rsidR="00202774" w:rsidRDefault="00202774" w:rsidP="00202774">
      <w:pPr>
        <w:pStyle w:val="ListParagraph"/>
        <w:numPr>
          <w:ilvl w:val="0"/>
          <w:numId w:val="5"/>
        </w:numPr>
        <w:rPr>
          <w:noProof/>
        </w:rPr>
      </w:pPr>
      <w:r>
        <w:rPr>
          <w:noProof/>
        </w:rPr>
        <w:t>analize poslovnih procesa,</w:t>
      </w:r>
    </w:p>
    <w:p w14:paraId="4C0BDEFE" w14:textId="259A7D20" w:rsidR="00620791" w:rsidRDefault="00B73760" w:rsidP="0070355F">
      <w:pPr>
        <w:pStyle w:val="ListParagraph"/>
        <w:numPr>
          <w:ilvl w:val="0"/>
          <w:numId w:val="5"/>
        </w:numPr>
        <w:rPr>
          <w:noProof/>
        </w:rPr>
      </w:pPr>
      <w:r>
        <w:rPr>
          <w:noProof/>
        </w:rPr>
        <w:t>projektovanja</w:t>
      </w:r>
      <w:r w:rsidR="00D52140">
        <w:rPr>
          <w:noProof/>
        </w:rPr>
        <w:t xml:space="preserve"> informacionog sistema</w:t>
      </w:r>
      <w:r w:rsidR="00C509FB">
        <w:rPr>
          <w:noProof/>
        </w:rPr>
        <w:t xml:space="preserve">, </w:t>
      </w:r>
    </w:p>
    <w:p w14:paraId="15A6A0F0" w14:textId="5C2FFE5F" w:rsidR="00202774" w:rsidRDefault="00833FA8" w:rsidP="000A14AE">
      <w:pPr>
        <w:pStyle w:val="ListParagraph"/>
        <w:numPr>
          <w:ilvl w:val="0"/>
          <w:numId w:val="5"/>
        </w:numPr>
        <w:rPr>
          <w:noProof/>
        </w:rPr>
      </w:pPr>
      <w:r w:rsidRPr="00833FA8">
        <w:rPr>
          <w:noProof/>
        </w:rPr>
        <w:t xml:space="preserve">usluge implementacije (podešavanje, uvoz podataka, </w:t>
      </w:r>
      <w:r w:rsidR="008669F2">
        <w:rPr>
          <w:noProof/>
        </w:rPr>
        <w:t xml:space="preserve">testiranje, </w:t>
      </w:r>
      <w:r w:rsidRPr="00833FA8">
        <w:rPr>
          <w:noProof/>
        </w:rPr>
        <w:t>postavljanje, pomoć kod puštanja u rad</w:t>
      </w:r>
      <w:r w:rsidR="00BD1347">
        <w:rPr>
          <w:noProof/>
        </w:rPr>
        <w:t>, uputstvo za rad</w:t>
      </w:r>
      <w:r w:rsidRPr="00833FA8">
        <w:rPr>
          <w:noProof/>
        </w:rPr>
        <w:t xml:space="preserve">),  </w:t>
      </w:r>
    </w:p>
    <w:p w14:paraId="4A4F1653" w14:textId="1CB95326" w:rsidR="00A76EB9" w:rsidRPr="002A1C8F" w:rsidRDefault="00740400" w:rsidP="0070355F">
      <w:pPr>
        <w:pStyle w:val="ListParagraph"/>
        <w:numPr>
          <w:ilvl w:val="0"/>
          <w:numId w:val="5"/>
        </w:numPr>
        <w:rPr>
          <w:noProof/>
        </w:rPr>
      </w:pPr>
      <w:r w:rsidRPr="00740400">
        <w:rPr>
          <w:noProof/>
        </w:rPr>
        <w:t xml:space="preserve">održavanje </w:t>
      </w:r>
      <w:r>
        <w:rPr>
          <w:noProof/>
        </w:rPr>
        <w:t>informacionog</w:t>
      </w:r>
      <w:r w:rsidRPr="00740400">
        <w:rPr>
          <w:noProof/>
        </w:rPr>
        <w:t xml:space="preserve"> </w:t>
      </w:r>
      <w:r>
        <w:rPr>
          <w:noProof/>
        </w:rPr>
        <w:t>sistema</w:t>
      </w:r>
      <w:r w:rsidR="00064458">
        <w:rPr>
          <w:noProof/>
        </w:rPr>
        <w:t>.</w:t>
      </w:r>
    </w:p>
    <w:p w14:paraId="4C0BDEFF" w14:textId="77777777" w:rsidR="00620791" w:rsidRPr="002A1C8F" w:rsidRDefault="0006006C">
      <w:pPr>
        <w:pStyle w:val="Heading1"/>
        <w:rPr>
          <w:noProof/>
        </w:rPr>
      </w:pPr>
      <w:r w:rsidRPr="002A1C8F">
        <w:rPr>
          <w:noProof/>
          <w:lang w:bidi="sr-Latn-RS"/>
        </w:rPr>
        <w:t>Materijali koji se mogu isporučiti</w:t>
      </w:r>
    </w:p>
    <w:p w14:paraId="4C0BDF03" w14:textId="5DF0AF02" w:rsidR="00620791" w:rsidRPr="002A1C8F" w:rsidRDefault="00181B9E">
      <w:pPr>
        <w:rPr>
          <w:noProof/>
        </w:rPr>
      </w:pPr>
      <w:r>
        <w:rPr>
          <w:noProof/>
        </w:rPr>
        <w:t xml:space="preserve">Izvođač klijentu isporučuje </w:t>
      </w:r>
      <w:r w:rsidR="00A06829">
        <w:rPr>
          <w:noProof/>
        </w:rPr>
        <w:t xml:space="preserve">softver </w:t>
      </w:r>
      <w:r w:rsidR="00B268AF">
        <w:rPr>
          <w:noProof/>
        </w:rPr>
        <w:t>informacion</w:t>
      </w:r>
      <w:r w:rsidR="00A06829">
        <w:rPr>
          <w:noProof/>
        </w:rPr>
        <w:t>og</w:t>
      </w:r>
      <w:r w:rsidR="00B268AF">
        <w:rPr>
          <w:noProof/>
        </w:rPr>
        <w:t xml:space="preserve"> sistem</w:t>
      </w:r>
      <w:r w:rsidR="00A06829">
        <w:rPr>
          <w:noProof/>
        </w:rPr>
        <w:t>a</w:t>
      </w:r>
      <w:r w:rsidR="00DB7FCF">
        <w:rPr>
          <w:noProof/>
        </w:rPr>
        <w:t xml:space="preserve">, </w:t>
      </w:r>
      <w:r w:rsidR="006700F9">
        <w:rPr>
          <w:noProof/>
        </w:rPr>
        <w:t xml:space="preserve">sa uputstvom za korišćenje i </w:t>
      </w:r>
      <w:r w:rsidR="00DB7FCF">
        <w:rPr>
          <w:noProof/>
        </w:rPr>
        <w:t>garancijom</w:t>
      </w:r>
      <w:r w:rsidR="00FC276B">
        <w:rPr>
          <w:noProof/>
        </w:rPr>
        <w:t>.</w:t>
      </w:r>
    </w:p>
    <w:p w14:paraId="4C0BDF04" w14:textId="77777777" w:rsidR="00620791" w:rsidRPr="002A1C8F" w:rsidRDefault="0006006C">
      <w:pPr>
        <w:pStyle w:val="Heading1"/>
        <w:rPr>
          <w:noProof/>
        </w:rPr>
      </w:pPr>
      <w:r w:rsidRPr="002A1C8F">
        <w:rPr>
          <w:noProof/>
          <w:lang w:bidi="sr-Latn-RS"/>
        </w:rPr>
        <w:t>Obaveze izvođača</w:t>
      </w:r>
    </w:p>
    <w:p w14:paraId="63084D31" w14:textId="127FB320" w:rsidR="001E1340" w:rsidRPr="002A1C8F" w:rsidRDefault="001B5ED7">
      <w:pPr>
        <w:rPr>
          <w:noProof/>
        </w:rPr>
      </w:pPr>
      <w:r>
        <w:rPr>
          <w:noProof/>
        </w:rPr>
        <w:t>Izvođač je dužan da</w:t>
      </w:r>
      <w:r w:rsidR="00927865">
        <w:rPr>
          <w:noProof/>
        </w:rPr>
        <w:t xml:space="preserve"> </w:t>
      </w:r>
      <w:r w:rsidR="00EC1760">
        <w:rPr>
          <w:noProof/>
        </w:rPr>
        <w:t>informacio</w:t>
      </w:r>
      <w:r w:rsidR="00DA548C">
        <w:rPr>
          <w:noProof/>
        </w:rPr>
        <w:t xml:space="preserve">ni sistem projektuje </w:t>
      </w:r>
      <w:r w:rsidR="00927865">
        <w:rPr>
          <w:noProof/>
        </w:rPr>
        <w:t>na osnovu definisanih zahteva, a u dogovoru sa klijentom</w:t>
      </w:r>
      <w:r w:rsidR="00A47987">
        <w:rPr>
          <w:noProof/>
        </w:rPr>
        <w:t xml:space="preserve">, da </w:t>
      </w:r>
      <w:r w:rsidR="0050249A">
        <w:rPr>
          <w:noProof/>
        </w:rPr>
        <w:t>implementira informacioni sistem</w:t>
      </w:r>
      <w:r w:rsidR="00D41304">
        <w:rPr>
          <w:noProof/>
        </w:rPr>
        <w:t>, pruži uslug</w:t>
      </w:r>
      <w:r w:rsidR="0095309E">
        <w:rPr>
          <w:noProof/>
        </w:rPr>
        <w:t>u održavanja.</w:t>
      </w:r>
      <w:r w:rsidR="004155A2">
        <w:rPr>
          <w:noProof/>
        </w:rPr>
        <w:t xml:space="preserve"> </w:t>
      </w:r>
      <w:r w:rsidR="00D42D65">
        <w:rPr>
          <w:noProof/>
        </w:rPr>
        <w:t>Izvođač je u obavezi da</w:t>
      </w:r>
      <w:r w:rsidR="00FD7BDB">
        <w:rPr>
          <w:noProof/>
        </w:rPr>
        <w:t xml:space="preserve"> sve </w:t>
      </w:r>
      <w:r w:rsidR="00270E4D">
        <w:rPr>
          <w:noProof/>
        </w:rPr>
        <w:t>izmene i odluke donosi u dogovoru sa klijentom.</w:t>
      </w:r>
    </w:p>
    <w:p w14:paraId="4C0BDF09" w14:textId="77777777" w:rsidR="00620791" w:rsidRPr="002A1C8F" w:rsidRDefault="0006006C">
      <w:pPr>
        <w:pStyle w:val="Heading1"/>
        <w:rPr>
          <w:noProof/>
        </w:rPr>
      </w:pPr>
      <w:r w:rsidRPr="002A1C8F">
        <w:rPr>
          <w:noProof/>
          <w:lang w:bidi="sr-Latn-RS"/>
        </w:rPr>
        <w:t>Odgovornosti klijenta</w:t>
      </w:r>
    </w:p>
    <w:p w14:paraId="608AB0FF" w14:textId="77777777" w:rsidR="005E0540" w:rsidRDefault="005D2C24" w:rsidP="005E0540">
      <w:pPr>
        <w:spacing w:after="0"/>
        <w:rPr>
          <w:noProof/>
        </w:rPr>
      </w:pPr>
      <w:r>
        <w:rPr>
          <w:noProof/>
        </w:rPr>
        <w:t>Klijent je u obavezi da</w:t>
      </w:r>
      <w:r w:rsidR="005E0540">
        <w:rPr>
          <w:noProof/>
        </w:rPr>
        <w:t>:</w:t>
      </w:r>
      <w:r>
        <w:rPr>
          <w:noProof/>
        </w:rPr>
        <w:t xml:space="preserve"> </w:t>
      </w:r>
    </w:p>
    <w:p w14:paraId="4FC73074" w14:textId="55FD9EE5" w:rsidR="005E0540" w:rsidRDefault="00AA05B6" w:rsidP="005E0540">
      <w:pPr>
        <w:pStyle w:val="ListParagraph"/>
        <w:numPr>
          <w:ilvl w:val="0"/>
          <w:numId w:val="7"/>
        </w:numPr>
        <w:spacing w:after="0"/>
        <w:rPr>
          <w:noProof/>
        </w:rPr>
      </w:pPr>
      <w:r>
        <w:rPr>
          <w:noProof/>
        </w:rPr>
        <w:t xml:space="preserve">izvođaču </w:t>
      </w:r>
      <w:r w:rsidR="00FF6AD0">
        <w:rPr>
          <w:noProof/>
        </w:rPr>
        <w:t xml:space="preserve">izda </w:t>
      </w:r>
      <w:r w:rsidR="00E62C07">
        <w:rPr>
          <w:noProof/>
        </w:rPr>
        <w:t xml:space="preserve">specifikaciju zahteva </w:t>
      </w:r>
      <w:r w:rsidR="00362ACF">
        <w:rPr>
          <w:noProof/>
        </w:rPr>
        <w:t>za</w:t>
      </w:r>
      <w:r w:rsidR="00896741">
        <w:rPr>
          <w:noProof/>
        </w:rPr>
        <w:t xml:space="preserve"> informacioni sistem koji se projektuje,</w:t>
      </w:r>
    </w:p>
    <w:p w14:paraId="73CFF9A2" w14:textId="6BE8462D" w:rsidR="006A7367" w:rsidRDefault="001C03BF" w:rsidP="005E0540">
      <w:pPr>
        <w:pStyle w:val="ListParagraph"/>
        <w:numPr>
          <w:ilvl w:val="0"/>
          <w:numId w:val="7"/>
        </w:numPr>
        <w:spacing w:after="0"/>
        <w:rPr>
          <w:noProof/>
        </w:rPr>
      </w:pPr>
      <w:r>
        <w:rPr>
          <w:noProof/>
        </w:rPr>
        <w:t xml:space="preserve">izvođaču obezbedi </w:t>
      </w:r>
      <w:r w:rsidR="00405437">
        <w:rPr>
          <w:noProof/>
        </w:rPr>
        <w:t xml:space="preserve">potrebna novčana sredstva u za to </w:t>
      </w:r>
      <w:r w:rsidR="00206DDC">
        <w:rPr>
          <w:noProof/>
        </w:rPr>
        <w:t>dogovorenom</w:t>
      </w:r>
      <w:r w:rsidR="00405437">
        <w:rPr>
          <w:noProof/>
        </w:rPr>
        <w:t xml:space="preserve"> roku, </w:t>
      </w:r>
    </w:p>
    <w:p w14:paraId="4C0BDF0D" w14:textId="0D325F9D" w:rsidR="00620791" w:rsidRPr="002A1C8F" w:rsidRDefault="005D2C24" w:rsidP="005E0540">
      <w:pPr>
        <w:pStyle w:val="ListParagraph"/>
        <w:numPr>
          <w:ilvl w:val="0"/>
          <w:numId w:val="6"/>
        </w:numPr>
        <w:spacing w:after="0"/>
        <w:rPr>
          <w:noProof/>
        </w:rPr>
      </w:pPr>
      <w:r>
        <w:rPr>
          <w:noProof/>
        </w:rPr>
        <w:t>izvođača</w:t>
      </w:r>
      <w:r w:rsidR="00850602">
        <w:rPr>
          <w:noProof/>
        </w:rPr>
        <w:t xml:space="preserve"> u najkraćem mogućem roku obavesti</w:t>
      </w:r>
      <w:r w:rsidR="005E0540">
        <w:rPr>
          <w:noProof/>
        </w:rPr>
        <w:t xml:space="preserve"> ukoliko primeti da je došlo do greške u sistemu.</w:t>
      </w:r>
    </w:p>
    <w:p w14:paraId="4C0BDF0E" w14:textId="77777777" w:rsidR="00620791" w:rsidRPr="002A1C8F" w:rsidRDefault="0006006C">
      <w:pPr>
        <w:pStyle w:val="Heading1"/>
        <w:rPr>
          <w:noProof/>
        </w:rPr>
      </w:pPr>
      <w:r w:rsidRPr="002A1C8F">
        <w:rPr>
          <w:noProof/>
          <w:lang w:bidi="sr-Latn-RS"/>
        </w:rPr>
        <w:t>Raspored naknada</w:t>
      </w:r>
    </w:p>
    <w:p w14:paraId="4C0BDF0F" w14:textId="5DFAF94C" w:rsidR="00620791" w:rsidRPr="002A1C8F" w:rsidRDefault="0006006C">
      <w:pPr>
        <w:rPr>
          <w:noProof/>
        </w:rPr>
      </w:pPr>
      <w:r w:rsidRPr="002A1C8F">
        <w:rPr>
          <w:noProof/>
          <w:lang w:bidi="sr-Latn-RS"/>
        </w:rPr>
        <w:t xml:space="preserve">Ovo angažovanje se sprovodi bazirano na vremenu &amp; materijalima. Ukupna vrednost Usluga prema ovom Radnom nalogu ne može da premaši </w:t>
      </w:r>
      <w:r w:rsidR="00E765A0">
        <w:rPr>
          <w:rStyle w:val="PlaceholderText"/>
          <w:noProof/>
          <w:lang w:bidi="sr-Latn-RS"/>
        </w:rPr>
        <w:t>500 000</w:t>
      </w:r>
      <w:r w:rsidR="002A1C8F" w:rsidRPr="002A1C8F">
        <w:rPr>
          <w:rStyle w:val="PlaceholderText"/>
          <w:noProof/>
          <w:lang w:bidi="sr-Latn-RS"/>
        </w:rPr>
        <w:t xml:space="preserve"> RSD</w:t>
      </w:r>
      <w:r w:rsidRPr="002A1C8F">
        <w:rPr>
          <w:noProof/>
          <w:lang w:bidi="sr-Latn-RS"/>
        </w:rPr>
        <w:t>, osim ako se obe strane ne slože preko kontrolne procedure za promenu projekta, kako je unutar navedeno. PCR će biti izdat sa navedenom izmenjenom vrednošću.</w:t>
      </w:r>
    </w:p>
    <w:p w14:paraId="4C0BDF10" w14:textId="1836B883" w:rsidR="00620791" w:rsidRPr="002A1C8F" w:rsidRDefault="0006006C">
      <w:pPr>
        <w:rPr>
          <w:noProof/>
        </w:rPr>
      </w:pPr>
      <w:r w:rsidRPr="002A1C8F">
        <w:rPr>
          <w:noProof/>
          <w:lang w:bidi="sr-Latn-RS"/>
        </w:rPr>
        <w:t xml:space="preserve">Ova cifra se zasniva na </w:t>
      </w:r>
      <w:r w:rsidR="00082926">
        <w:rPr>
          <w:rStyle w:val="PlaceholderText"/>
          <w:noProof/>
          <w:lang w:bidi="sr-Latn-RS"/>
        </w:rPr>
        <w:t>250</w:t>
      </w:r>
      <w:r w:rsidR="007E1356" w:rsidRPr="002A1C8F">
        <w:rPr>
          <w:rStyle w:val="PlaceholderText"/>
          <w:noProof/>
          <w:lang w:bidi="sr-Latn-RS"/>
        </w:rPr>
        <w:t xml:space="preserve"> </w:t>
      </w:r>
      <w:r w:rsidRPr="002A1C8F">
        <w:rPr>
          <w:noProof/>
          <w:lang w:bidi="sr-Latn-RS"/>
        </w:rPr>
        <w:t>sati profesionalnih usluga. Ugovarač će obezbediti do</w:t>
      </w:r>
      <w:r w:rsidR="00427434">
        <w:rPr>
          <w:noProof/>
          <w:lang w:bidi="sr-Latn-RS"/>
        </w:rPr>
        <w:t xml:space="preserve"> </w:t>
      </w:r>
      <w:r w:rsidR="002F06C0">
        <w:rPr>
          <w:noProof/>
          <w:lang w:bidi="sr-Latn-RS"/>
        </w:rPr>
        <w:t>8</w:t>
      </w:r>
      <w:r w:rsidRPr="002A1C8F">
        <w:rPr>
          <w:noProof/>
          <w:lang w:bidi="sr-Latn-RS"/>
        </w:rPr>
        <w:t xml:space="preserve"> resursa na osnovu sledeće funkcionalne/tarifske strukture.</w:t>
      </w:r>
    </w:p>
    <w:tbl>
      <w:tblPr>
        <w:tblStyle w:val="Tabelazaradninalog"/>
        <w:tblW w:w="5000" w:type="pct"/>
        <w:tblLook w:val="04A0" w:firstRow="1" w:lastRow="0" w:firstColumn="1" w:lastColumn="0" w:noHBand="0" w:noVBand="1"/>
        <w:tblDescription w:val="Raspored naknada"/>
      </w:tblPr>
      <w:tblGrid>
        <w:gridCol w:w="3366"/>
        <w:gridCol w:w="1762"/>
        <w:gridCol w:w="1764"/>
        <w:gridCol w:w="1764"/>
      </w:tblGrid>
      <w:tr w:rsidR="00620791" w:rsidRPr="002A1C8F" w14:paraId="4C0BDF15" w14:textId="77777777" w:rsidTr="002A1C8F">
        <w:trPr>
          <w:cnfStyle w:val="100000000000" w:firstRow="1" w:lastRow="0" w:firstColumn="0" w:lastColumn="0" w:oddVBand="0" w:evenVBand="0" w:oddHBand="0" w:evenHBand="0" w:firstRowFirstColumn="0" w:firstRowLastColumn="0" w:lastRowFirstColumn="0" w:lastRowLastColumn="0"/>
          <w:trHeight w:val="567"/>
          <w:tblHeader/>
        </w:trPr>
        <w:tc>
          <w:tcPr>
            <w:cnfStyle w:val="001000000000" w:firstRow="0" w:lastRow="0" w:firstColumn="1" w:lastColumn="0" w:oddVBand="0" w:evenVBand="0" w:oddHBand="0" w:evenHBand="0" w:firstRowFirstColumn="0" w:firstRowLastColumn="0" w:lastRowFirstColumn="0" w:lastRowLastColumn="0"/>
            <w:tcW w:w="1944" w:type="pct"/>
            <w:vAlign w:val="bottom"/>
          </w:tcPr>
          <w:p w14:paraId="4C0BDF11" w14:textId="77777777" w:rsidR="00620791" w:rsidRPr="002A1C8F" w:rsidRDefault="0006006C">
            <w:pPr>
              <w:jc w:val="center"/>
              <w:rPr>
                <w:noProof/>
              </w:rPr>
            </w:pPr>
            <w:r w:rsidRPr="002A1C8F">
              <w:rPr>
                <w:noProof/>
                <w:lang w:bidi="sr-Latn-RS"/>
              </w:rPr>
              <w:t>Opis stavke</w:t>
            </w:r>
          </w:p>
        </w:tc>
        <w:tc>
          <w:tcPr>
            <w:tcW w:w="1018" w:type="pct"/>
            <w:vAlign w:val="bottom"/>
          </w:tcPr>
          <w:p w14:paraId="4C0BDF12" w14:textId="77777777" w:rsidR="00620791" w:rsidRPr="002A1C8F" w:rsidRDefault="0006006C">
            <w:pPr>
              <w:jc w:val="center"/>
              <w:cnfStyle w:val="100000000000" w:firstRow="1" w:lastRow="0" w:firstColumn="0" w:lastColumn="0" w:oddVBand="0" w:evenVBand="0" w:oddHBand="0" w:evenHBand="0" w:firstRowFirstColumn="0" w:firstRowLastColumn="0" w:lastRowFirstColumn="0" w:lastRowLastColumn="0"/>
              <w:rPr>
                <w:noProof/>
              </w:rPr>
            </w:pPr>
            <w:r w:rsidRPr="002A1C8F">
              <w:rPr>
                <w:noProof/>
                <w:lang w:bidi="sr-Latn-RS"/>
              </w:rPr>
              <w:t>Broj resursa</w:t>
            </w:r>
          </w:p>
        </w:tc>
        <w:tc>
          <w:tcPr>
            <w:tcW w:w="1019" w:type="pct"/>
            <w:vAlign w:val="bottom"/>
          </w:tcPr>
          <w:p w14:paraId="4C0BDF13" w14:textId="77777777" w:rsidR="00620791" w:rsidRPr="002A1C8F" w:rsidRDefault="0006006C">
            <w:pPr>
              <w:jc w:val="center"/>
              <w:cnfStyle w:val="100000000000" w:firstRow="1" w:lastRow="0" w:firstColumn="0" w:lastColumn="0" w:oddVBand="0" w:evenVBand="0" w:oddHBand="0" w:evenHBand="0" w:firstRowFirstColumn="0" w:firstRowLastColumn="0" w:lastRowFirstColumn="0" w:lastRowLastColumn="0"/>
              <w:rPr>
                <w:noProof/>
              </w:rPr>
            </w:pPr>
            <w:r w:rsidRPr="002A1C8F">
              <w:rPr>
                <w:noProof/>
                <w:lang w:bidi="sr-Latn-RS"/>
              </w:rPr>
              <w:t>Tarifa po satu</w:t>
            </w:r>
          </w:p>
        </w:tc>
        <w:tc>
          <w:tcPr>
            <w:tcW w:w="1019" w:type="pct"/>
            <w:vAlign w:val="bottom"/>
          </w:tcPr>
          <w:p w14:paraId="4C0BDF14" w14:textId="77777777" w:rsidR="00620791" w:rsidRPr="002A1C8F" w:rsidRDefault="0006006C">
            <w:pPr>
              <w:jc w:val="center"/>
              <w:cnfStyle w:val="100000000000" w:firstRow="1" w:lastRow="0" w:firstColumn="0" w:lastColumn="0" w:oddVBand="0" w:evenVBand="0" w:oddHBand="0" w:evenHBand="0" w:firstRowFirstColumn="0" w:firstRowLastColumn="0" w:lastRowFirstColumn="0" w:lastRowLastColumn="0"/>
              <w:rPr>
                <w:noProof/>
              </w:rPr>
            </w:pPr>
            <w:r w:rsidRPr="002A1C8F">
              <w:rPr>
                <w:noProof/>
                <w:lang w:bidi="sr-Latn-RS"/>
              </w:rPr>
              <w:t>Broj sati</w:t>
            </w:r>
          </w:p>
        </w:tc>
      </w:tr>
      <w:tr w:rsidR="00620791" w:rsidRPr="002A1C8F" w14:paraId="4C0BDF1A" w14:textId="77777777" w:rsidTr="00620791">
        <w:tc>
          <w:tcPr>
            <w:cnfStyle w:val="001000000000" w:firstRow="0" w:lastRow="0" w:firstColumn="1" w:lastColumn="0" w:oddVBand="0" w:evenVBand="0" w:oddHBand="0" w:evenHBand="0" w:firstRowFirstColumn="0" w:firstRowLastColumn="0" w:lastRowFirstColumn="0" w:lastRowLastColumn="0"/>
            <w:tcW w:w="1944" w:type="pct"/>
          </w:tcPr>
          <w:p w14:paraId="4C0BDF16" w14:textId="74FECE03" w:rsidR="00620791" w:rsidRPr="002A1C8F" w:rsidRDefault="00E10983">
            <w:pPr>
              <w:rPr>
                <w:noProof/>
              </w:rPr>
            </w:pPr>
            <w:r>
              <w:rPr>
                <w:noProof/>
              </w:rPr>
              <w:t>Projektovanje informacionog sistema</w:t>
            </w:r>
          </w:p>
        </w:tc>
        <w:tc>
          <w:tcPr>
            <w:tcW w:w="1018" w:type="pct"/>
          </w:tcPr>
          <w:p w14:paraId="4C0BDF17" w14:textId="2CB787F1" w:rsidR="00620791" w:rsidRPr="002A1C8F" w:rsidRDefault="00290D84">
            <w:pPr>
              <w:jc w:val="center"/>
              <w:cnfStyle w:val="000000000000" w:firstRow="0" w:lastRow="0" w:firstColumn="0" w:lastColumn="0" w:oddVBand="0" w:evenVBand="0" w:oddHBand="0" w:evenHBand="0" w:firstRowFirstColumn="0" w:firstRowLastColumn="0" w:lastRowFirstColumn="0" w:lastRowLastColumn="0"/>
              <w:rPr>
                <w:noProof/>
              </w:rPr>
            </w:pPr>
            <w:r>
              <w:rPr>
                <w:noProof/>
              </w:rPr>
              <w:t>3</w:t>
            </w:r>
          </w:p>
        </w:tc>
        <w:tc>
          <w:tcPr>
            <w:tcW w:w="1019" w:type="pct"/>
          </w:tcPr>
          <w:p w14:paraId="4C0BDF18" w14:textId="09A2BC7F" w:rsidR="00620791" w:rsidRPr="002A1C8F" w:rsidRDefault="00A130FE" w:rsidP="00A130FE">
            <w:pPr>
              <w:tabs>
                <w:tab w:val="decimal" w:pos="1176"/>
              </w:tabs>
              <w:cnfStyle w:val="000000000000" w:firstRow="0" w:lastRow="0" w:firstColumn="0" w:lastColumn="0" w:oddVBand="0" w:evenVBand="0" w:oddHBand="0" w:evenHBand="0" w:firstRowFirstColumn="0" w:firstRowLastColumn="0" w:lastRowFirstColumn="0" w:lastRowLastColumn="0"/>
              <w:rPr>
                <w:noProof/>
              </w:rPr>
            </w:pPr>
            <w:r>
              <w:rPr>
                <w:noProof/>
              </w:rPr>
              <w:t>1000</w:t>
            </w:r>
          </w:p>
        </w:tc>
        <w:tc>
          <w:tcPr>
            <w:tcW w:w="1019" w:type="pct"/>
          </w:tcPr>
          <w:p w14:paraId="4C0BDF19" w14:textId="1F4E5BCE" w:rsidR="00620791" w:rsidRPr="002A1C8F" w:rsidRDefault="001121BB">
            <w:pPr>
              <w:jc w:val="center"/>
              <w:cnfStyle w:val="000000000000" w:firstRow="0" w:lastRow="0" w:firstColumn="0" w:lastColumn="0" w:oddVBand="0" w:evenVBand="0" w:oddHBand="0" w:evenHBand="0" w:firstRowFirstColumn="0" w:firstRowLastColumn="0" w:lastRowFirstColumn="0" w:lastRowLastColumn="0"/>
              <w:rPr>
                <w:noProof/>
              </w:rPr>
            </w:pPr>
            <w:r>
              <w:rPr>
                <w:noProof/>
              </w:rPr>
              <w:t>35</w:t>
            </w:r>
          </w:p>
        </w:tc>
      </w:tr>
      <w:tr w:rsidR="00620791" w:rsidRPr="002A1C8F" w14:paraId="4C0BDF1F" w14:textId="77777777" w:rsidTr="006207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4" w:type="pct"/>
          </w:tcPr>
          <w:p w14:paraId="4C0BDF1B" w14:textId="10E51E4E" w:rsidR="00620791" w:rsidRPr="002A1C8F" w:rsidRDefault="00FC04F1">
            <w:pPr>
              <w:rPr>
                <w:noProof/>
              </w:rPr>
            </w:pPr>
            <w:r>
              <w:rPr>
                <w:noProof/>
              </w:rPr>
              <w:t>Izrada informacionog sistema</w:t>
            </w:r>
          </w:p>
        </w:tc>
        <w:tc>
          <w:tcPr>
            <w:tcW w:w="1018" w:type="pct"/>
          </w:tcPr>
          <w:p w14:paraId="4C0BDF1C" w14:textId="12879CB2" w:rsidR="00620791" w:rsidRPr="002A1C8F" w:rsidRDefault="00290D84">
            <w:pPr>
              <w:jc w:val="center"/>
              <w:cnfStyle w:val="000000010000" w:firstRow="0" w:lastRow="0" w:firstColumn="0" w:lastColumn="0" w:oddVBand="0" w:evenVBand="0" w:oddHBand="0" w:evenHBand="1" w:firstRowFirstColumn="0" w:firstRowLastColumn="0" w:lastRowFirstColumn="0" w:lastRowLastColumn="0"/>
              <w:rPr>
                <w:noProof/>
              </w:rPr>
            </w:pPr>
            <w:r>
              <w:rPr>
                <w:noProof/>
              </w:rPr>
              <w:t>4</w:t>
            </w:r>
          </w:p>
        </w:tc>
        <w:tc>
          <w:tcPr>
            <w:tcW w:w="1019" w:type="pct"/>
          </w:tcPr>
          <w:p w14:paraId="4C0BDF1D" w14:textId="40B04CF7" w:rsidR="00620791" w:rsidRPr="002A1C8F" w:rsidRDefault="00A130FE">
            <w:pPr>
              <w:tabs>
                <w:tab w:val="decimal" w:pos="1176"/>
              </w:tabs>
              <w:cnfStyle w:val="000000010000" w:firstRow="0" w:lastRow="0" w:firstColumn="0" w:lastColumn="0" w:oddVBand="0" w:evenVBand="0" w:oddHBand="0" w:evenHBand="1" w:firstRowFirstColumn="0" w:firstRowLastColumn="0" w:lastRowFirstColumn="0" w:lastRowLastColumn="0"/>
              <w:rPr>
                <w:noProof/>
              </w:rPr>
            </w:pPr>
            <w:r>
              <w:rPr>
                <w:noProof/>
              </w:rPr>
              <w:t>1000</w:t>
            </w:r>
          </w:p>
        </w:tc>
        <w:tc>
          <w:tcPr>
            <w:tcW w:w="1019" w:type="pct"/>
          </w:tcPr>
          <w:p w14:paraId="4C0BDF1E" w14:textId="5D8B834E" w:rsidR="00620791" w:rsidRPr="002A1C8F" w:rsidRDefault="008A59BC">
            <w:pPr>
              <w:jc w:val="center"/>
              <w:cnfStyle w:val="000000010000" w:firstRow="0" w:lastRow="0" w:firstColumn="0" w:lastColumn="0" w:oddVBand="0" w:evenVBand="0" w:oddHBand="0" w:evenHBand="1" w:firstRowFirstColumn="0" w:firstRowLastColumn="0" w:lastRowFirstColumn="0" w:lastRowLastColumn="0"/>
              <w:rPr>
                <w:noProof/>
              </w:rPr>
            </w:pPr>
            <w:r>
              <w:rPr>
                <w:noProof/>
              </w:rPr>
              <w:t>100</w:t>
            </w:r>
          </w:p>
        </w:tc>
      </w:tr>
      <w:tr w:rsidR="00620791" w:rsidRPr="002A1C8F" w14:paraId="4C0BDF24" w14:textId="77777777" w:rsidTr="00620791">
        <w:tc>
          <w:tcPr>
            <w:cnfStyle w:val="001000000000" w:firstRow="0" w:lastRow="0" w:firstColumn="1" w:lastColumn="0" w:oddVBand="0" w:evenVBand="0" w:oddHBand="0" w:evenHBand="0" w:firstRowFirstColumn="0" w:firstRowLastColumn="0" w:lastRowFirstColumn="0" w:lastRowLastColumn="0"/>
            <w:tcW w:w="1944" w:type="pct"/>
          </w:tcPr>
          <w:p w14:paraId="4C0BDF20" w14:textId="4D6879C1" w:rsidR="00620791" w:rsidRPr="002A1C8F" w:rsidRDefault="00E17ACD">
            <w:pPr>
              <w:rPr>
                <w:noProof/>
              </w:rPr>
            </w:pPr>
            <w:r>
              <w:rPr>
                <w:noProof/>
              </w:rPr>
              <w:t>Održavanje informacionog sistema</w:t>
            </w:r>
          </w:p>
        </w:tc>
        <w:tc>
          <w:tcPr>
            <w:tcW w:w="1018" w:type="pct"/>
          </w:tcPr>
          <w:p w14:paraId="4C0BDF21" w14:textId="0CE010C8" w:rsidR="00620791" w:rsidRPr="002A1C8F" w:rsidRDefault="00FA25A1">
            <w:pPr>
              <w:jc w:val="center"/>
              <w:cnfStyle w:val="000000000000" w:firstRow="0" w:lastRow="0" w:firstColumn="0" w:lastColumn="0" w:oddVBand="0" w:evenVBand="0" w:oddHBand="0" w:evenHBand="0" w:firstRowFirstColumn="0" w:firstRowLastColumn="0" w:lastRowFirstColumn="0" w:lastRowLastColumn="0"/>
              <w:rPr>
                <w:noProof/>
              </w:rPr>
            </w:pPr>
            <w:r>
              <w:rPr>
                <w:noProof/>
              </w:rPr>
              <w:t>1</w:t>
            </w:r>
          </w:p>
        </w:tc>
        <w:tc>
          <w:tcPr>
            <w:tcW w:w="1019" w:type="pct"/>
          </w:tcPr>
          <w:p w14:paraId="4C0BDF22" w14:textId="3A6625D5" w:rsidR="00620791" w:rsidRPr="002A1C8F" w:rsidRDefault="00A130FE">
            <w:pPr>
              <w:tabs>
                <w:tab w:val="decimal" w:pos="1176"/>
              </w:tabs>
              <w:cnfStyle w:val="000000000000" w:firstRow="0" w:lastRow="0" w:firstColumn="0" w:lastColumn="0" w:oddVBand="0" w:evenVBand="0" w:oddHBand="0" w:evenHBand="0" w:firstRowFirstColumn="0" w:firstRowLastColumn="0" w:lastRowFirstColumn="0" w:lastRowLastColumn="0"/>
              <w:rPr>
                <w:noProof/>
              </w:rPr>
            </w:pPr>
            <w:r>
              <w:rPr>
                <w:noProof/>
              </w:rPr>
              <w:t>1000</w:t>
            </w:r>
          </w:p>
        </w:tc>
        <w:tc>
          <w:tcPr>
            <w:tcW w:w="1019" w:type="pct"/>
          </w:tcPr>
          <w:p w14:paraId="4C0BDF23" w14:textId="47922352" w:rsidR="00620791" w:rsidRPr="002A1C8F" w:rsidRDefault="008A59BC">
            <w:pPr>
              <w:jc w:val="center"/>
              <w:cnfStyle w:val="000000000000" w:firstRow="0" w:lastRow="0" w:firstColumn="0" w:lastColumn="0" w:oddVBand="0" w:evenVBand="0" w:oddHBand="0" w:evenHBand="0" w:firstRowFirstColumn="0" w:firstRowLastColumn="0" w:lastRowFirstColumn="0" w:lastRowLastColumn="0"/>
              <w:rPr>
                <w:noProof/>
              </w:rPr>
            </w:pPr>
            <w:r>
              <w:rPr>
                <w:noProof/>
              </w:rPr>
              <w:t>30</w:t>
            </w:r>
          </w:p>
        </w:tc>
      </w:tr>
    </w:tbl>
    <w:p w14:paraId="4C0BDF25" w14:textId="77777777" w:rsidR="00620791" w:rsidRDefault="0006006C">
      <w:pPr>
        <w:spacing w:before="320"/>
        <w:rPr>
          <w:noProof/>
          <w:lang w:bidi="sr-Latn-RS"/>
        </w:rPr>
      </w:pPr>
      <w:r w:rsidRPr="002A1C8F">
        <w:rPr>
          <w:noProof/>
          <w:lang w:bidi="sr-Latn-RS"/>
        </w:rPr>
        <w:t>Pri završetku ovog Perioda rada, Izvođač i Klijent imaće opciju da obnove ovaj ugovor za dodatni, u tom trenutku određen, broj sati po tadašnjoj tarifi po satu za identifikovane resurse.</w:t>
      </w:r>
    </w:p>
    <w:p w14:paraId="10046E6A" w14:textId="77777777" w:rsidR="0084712D" w:rsidRPr="002A1C8F" w:rsidRDefault="0084712D">
      <w:pPr>
        <w:spacing w:before="320"/>
        <w:rPr>
          <w:noProof/>
        </w:rPr>
      </w:pPr>
    </w:p>
    <w:tbl>
      <w:tblPr>
        <w:tblStyle w:val="Tabelazaradninalog"/>
        <w:tblW w:w="5000" w:type="pct"/>
        <w:tblLook w:val="0420" w:firstRow="1" w:lastRow="0" w:firstColumn="0" w:lastColumn="0" w:noHBand="0" w:noVBand="1"/>
        <w:tblDescription w:val="Informacije o fakturisanju"/>
      </w:tblPr>
      <w:tblGrid>
        <w:gridCol w:w="2884"/>
        <w:gridCol w:w="2886"/>
        <w:gridCol w:w="2886"/>
      </w:tblGrid>
      <w:tr w:rsidR="00620791" w:rsidRPr="002A1C8F" w14:paraId="4C0BDF29" w14:textId="77777777" w:rsidTr="00620791">
        <w:trPr>
          <w:cnfStyle w:val="100000000000" w:firstRow="1" w:lastRow="0" w:firstColumn="0" w:lastColumn="0" w:oddVBand="0" w:evenVBand="0" w:oddHBand="0" w:evenHBand="0" w:firstRowFirstColumn="0" w:firstRowLastColumn="0" w:lastRowFirstColumn="0" w:lastRowLastColumn="0"/>
        </w:trPr>
        <w:tc>
          <w:tcPr>
            <w:tcW w:w="1666" w:type="pct"/>
            <w:vAlign w:val="bottom"/>
          </w:tcPr>
          <w:p w14:paraId="4C0BDF26" w14:textId="77777777" w:rsidR="00620791" w:rsidRPr="002A1C8F" w:rsidRDefault="0006006C">
            <w:pPr>
              <w:spacing w:before="320"/>
              <w:rPr>
                <w:noProof/>
              </w:rPr>
            </w:pPr>
            <w:r w:rsidRPr="002A1C8F">
              <w:rPr>
                <w:noProof/>
                <w:lang w:bidi="sr-Latn-RS"/>
              </w:rPr>
              <w:t>Adresa za fakturisanje</w:t>
            </w:r>
          </w:p>
        </w:tc>
        <w:tc>
          <w:tcPr>
            <w:tcW w:w="1667" w:type="pct"/>
            <w:vAlign w:val="bottom"/>
          </w:tcPr>
          <w:p w14:paraId="4C0BDF27" w14:textId="77777777" w:rsidR="00620791" w:rsidRPr="002A1C8F" w:rsidRDefault="0006006C">
            <w:pPr>
              <w:spacing w:before="320"/>
              <w:rPr>
                <w:noProof/>
              </w:rPr>
            </w:pPr>
            <w:r w:rsidRPr="002A1C8F">
              <w:rPr>
                <w:noProof/>
                <w:lang w:bidi="sr-Latn-RS"/>
              </w:rPr>
              <w:t>Menadžer projekta klijenta</w:t>
            </w:r>
          </w:p>
        </w:tc>
        <w:tc>
          <w:tcPr>
            <w:tcW w:w="1667" w:type="pct"/>
            <w:vAlign w:val="bottom"/>
          </w:tcPr>
          <w:p w14:paraId="4C0BDF28" w14:textId="77777777" w:rsidR="00620791" w:rsidRPr="002A1C8F" w:rsidRDefault="0006006C">
            <w:pPr>
              <w:spacing w:before="320"/>
              <w:rPr>
                <w:noProof/>
              </w:rPr>
            </w:pPr>
            <w:r w:rsidRPr="002A1C8F">
              <w:rPr>
                <w:noProof/>
                <w:lang w:bidi="sr-Latn-RS"/>
              </w:rPr>
              <w:t>Centar za troškove klijenta</w:t>
            </w:r>
          </w:p>
        </w:tc>
      </w:tr>
      <w:tr w:rsidR="00620791" w:rsidRPr="002A1C8F" w14:paraId="4C0BDF2D" w14:textId="77777777" w:rsidTr="00620791">
        <w:tc>
          <w:tcPr>
            <w:tcW w:w="1666" w:type="pct"/>
            <w:vAlign w:val="bottom"/>
          </w:tcPr>
          <w:p w14:paraId="4C0BDF2A" w14:textId="20B658F6" w:rsidR="00620791" w:rsidRPr="002A1C8F" w:rsidRDefault="004729E1">
            <w:pPr>
              <w:rPr>
                <w:noProof/>
              </w:rPr>
            </w:pPr>
            <w:r>
              <w:rPr>
                <w:noProof/>
                <w:lang w:bidi="sr-Latn-RS"/>
              </w:rPr>
              <w:t>Tome Živanovića 20</w:t>
            </w:r>
            <w:r w:rsidRPr="002A1C8F">
              <w:rPr>
                <w:noProof/>
                <w:lang w:bidi="sr-Latn-RS"/>
              </w:rPr>
              <w:br/>
            </w:r>
            <w:r>
              <w:rPr>
                <w:noProof/>
                <w:lang w:bidi="sr-Latn-RS"/>
              </w:rPr>
              <w:t>Paraćin, Srbija, 35 250</w:t>
            </w:r>
          </w:p>
        </w:tc>
        <w:tc>
          <w:tcPr>
            <w:tcW w:w="1667" w:type="pct"/>
            <w:vAlign w:val="bottom"/>
          </w:tcPr>
          <w:p w14:paraId="4C0BDF2B" w14:textId="735098C0" w:rsidR="00620791" w:rsidRPr="002A1C8F" w:rsidRDefault="00C044E5">
            <w:pPr>
              <w:spacing w:before="320"/>
              <w:rPr>
                <w:noProof/>
              </w:rPr>
            </w:pPr>
            <w:r>
              <w:rPr>
                <w:noProof/>
              </w:rPr>
              <w:t>Aleksandar Živanović</w:t>
            </w:r>
          </w:p>
        </w:tc>
        <w:tc>
          <w:tcPr>
            <w:tcW w:w="1667" w:type="pct"/>
            <w:vAlign w:val="bottom"/>
          </w:tcPr>
          <w:p w14:paraId="4C0BDF2C" w14:textId="1529C67B" w:rsidR="00620791" w:rsidRPr="002A1C8F" w:rsidRDefault="002A6A8C">
            <w:pPr>
              <w:spacing w:before="320"/>
              <w:rPr>
                <w:noProof/>
              </w:rPr>
            </w:pPr>
            <w:r>
              <w:rPr>
                <w:noProof/>
                <w:lang w:bidi="sr-Latn-RS"/>
              </w:rPr>
              <w:t xml:space="preserve">+381 </w:t>
            </w:r>
            <w:r w:rsidR="005A7BAC">
              <w:rPr>
                <w:noProof/>
                <w:lang w:bidi="sr-Latn-RS"/>
              </w:rPr>
              <w:t>3</w:t>
            </w:r>
            <w:r w:rsidR="00470834">
              <w:rPr>
                <w:noProof/>
                <w:lang w:bidi="sr-Latn-RS"/>
              </w:rPr>
              <w:t xml:space="preserve">5 </w:t>
            </w:r>
            <w:r w:rsidR="00046233">
              <w:rPr>
                <w:noProof/>
                <w:lang w:bidi="sr-Latn-RS"/>
              </w:rPr>
              <w:t>555 333</w:t>
            </w:r>
          </w:p>
        </w:tc>
      </w:tr>
    </w:tbl>
    <w:p w14:paraId="4C0BDF2E" w14:textId="77777777" w:rsidR="00620791" w:rsidRPr="002A1C8F" w:rsidRDefault="0006006C">
      <w:pPr>
        <w:pStyle w:val="Heading1"/>
        <w:rPr>
          <w:noProof/>
        </w:rPr>
      </w:pPr>
      <w:r w:rsidRPr="002A1C8F">
        <w:rPr>
          <w:noProof/>
          <w:lang w:bidi="sr-Latn-RS"/>
        </w:rPr>
        <w:t>Troškovi za plaćanje/Procedura izdavanja faktura</w:t>
      </w:r>
    </w:p>
    <w:p w14:paraId="4C0BDF2F" w14:textId="77777777" w:rsidR="00620791" w:rsidRPr="002A1C8F" w:rsidRDefault="0006006C">
      <w:pPr>
        <w:spacing w:before="320"/>
        <w:rPr>
          <w:noProof/>
        </w:rPr>
      </w:pPr>
      <w:r w:rsidRPr="002A1C8F">
        <w:rPr>
          <w:noProof/>
          <w:lang w:bidi="sr-Latn-RS"/>
        </w:rPr>
        <w:t xml:space="preserve">Klijentu će biti poslata faktura mesečno za konsultantske usluge i T&amp;L troškove. Pretpostavlja se da je standardno slanje faktura Izvođača prihvatljivo. Fakture treba da budu plaćene po prijemu. </w:t>
      </w:r>
    </w:p>
    <w:p w14:paraId="4C0BDF30" w14:textId="77777777" w:rsidR="00620791" w:rsidRPr="002A1C8F" w:rsidRDefault="0006006C">
      <w:pPr>
        <w:spacing w:before="320"/>
        <w:rPr>
          <w:noProof/>
        </w:rPr>
      </w:pPr>
      <w:r w:rsidRPr="002A1C8F">
        <w:rPr>
          <w:noProof/>
          <w:lang w:bidi="sr-Latn-RS"/>
        </w:rPr>
        <w:t xml:space="preserve">Klijentu će biti poslata faktura kao i svi povezani troškovi (uključujući, bez ograničenja, troškove koji se odnose na obroke, smeštaj, lokalni transport i svi drugi primenljivi poslovni troškovi) prikazane u fakturi kao zasebne stavke po redovima. Povraćaj tekućih troškova koji se odnose na rad u vezi sa izvođenjem ovog Radnog naloga, kada su ovlašćeni i do granica postavljenih u ovom Radnom nalogu, biće u skladu sa tadašnjim objavljenim pravilima klijenta kojima se regulišu troškovi putovanja i povezani poslovni troškovi, koje informacije će obezbediti Menadžer projekata klijenta. Ograničenje troškova koji se nadoknađuju shodno ovom Radnom nalogu procenjuje se na 15 odsto naknada, osim ako je drugačije uređeno i dogovoreno u pisanoj formi sa obe strane pomoću kontrolne procedure za menjanje projekta navedene unutar nje. </w:t>
      </w:r>
    </w:p>
    <w:p w14:paraId="4C0BDF31" w14:textId="77777777" w:rsidR="00620791" w:rsidRPr="002A1C8F" w:rsidRDefault="0006006C">
      <w:pPr>
        <w:spacing w:before="320"/>
        <w:rPr>
          <w:noProof/>
        </w:rPr>
      </w:pPr>
      <w:r w:rsidRPr="002A1C8F">
        <w:rPr>
          <w:noProof/>
          <w:lang w:bidi="sr-Latn-RS"/>
        </w:rPr>
        <w:t>Fakture se dostavljaju mesečno za zaostale dugove, uz navođenje broja Radnog naloga, na adresu koja je navedena iznad. Svaka faktura će odražavati troškove za vremenski period za koji se vrši naplata i kumulativne cifre za prethodne periode. Uslovi plaćanja za svaku fakturu dospevaju nakon prijema odgovarajuće fakture od strane klijenta. Izvođač pruža klijentu Dovoljan broj detalja za pisanje fakture, uključujući vremenske listove za izvršene usluge i prihvatljive troškove i opravdanja za prihvaćene troškove, osim ako se obe strane drugačije ne dogovore. Plaćanja fakturisanih usluga koja se ne prime u roku od 30 dana od datuma fakture podležu kazni od 5% po kalendarskom mesecu.</w:t>
      </w:r>
    </w:p>
    <w:p w14:paraId="4C0BDF32" w14:textId="77777777" w:rsidR="00620791" w:rsidRPr="002A1C8F" w:rsidRDefault="0006006C">
      <w:pPr>
        <w:pStyle w:val="Heading1"/>
        <w:rPr>
          <w:noProof/>
        </w:rPr>
      </w:pPr>
      <w:r w:rsidRPr="002A1C8F">
        <w:rPr>
          <w:noProof/>
          <w:lang w:bidi="sr-Latn-RS"/>
        </w:rPr>
        <w:t>Kriterijumi dovršenosti</w:t>
      </w:r>
    </w:p>
    <w:p w14:paraId="4C0BDF33" w14:textId="77777777" w:rsidR="00620791" w:rsidRPr="002A1C8F" w:rsidRDefault="0006006C">
      <w:pPr>
        <w:spacing w:before="320"/>
        <w:rPr>
          <w:noProof/>
        </w:rPr>
      </w:pPr>
      <w:r w:rsidRPr="002A1C8F">
        <w:rPr>
          <w:noProof/>
          <w:lang w:bidi="sr-Latn-RS"/>
        </w:rPr>
        <w:t>Izvođač treba da ispuni svoje obaveze kada dođe do prvog od sledećeg:</w:t>
      </w:r>
    </w:p>
    <w:p w14:paraId="4C0BDF34" w14:textId="77777777" w:rsidR="00620791" w:rsidRPr="002A1C8F" w:rsidRDefault="0006006C">
      <w:pPr>
        <w:pStyle w:val="ListBullet"/>
        <w:rPr>
          <w:noProof/>
        </w:rPr>
      </w:pPr>
      <w:r w:rsidRPr="002A1C8F">
        <w:rPr>
          <w:noProof/>
          <w:lang w:bidi="sr-Latn-RS"/>
        </w:rPr>
        <w:t>Izvođač obavlja aktivnosti za izvođača opisane u okviru ovog Radnog naloga, uključujući isporuku klijentu materijala navedenih u odeljku pod nazivom "materijali za isporuku" i klijent prihvata takve aktivnosti i materijale bez neopravdanih zamerki. Ukoliko nema odgovora od strane Klijenta u roku od 2 radna dana nakon što je isporuka Ugovarača obavljena, isporuka će se smatrati prihvaćenom.</w:t>
      </w:r>
    </w:p>
    <w:p w14:paraId="4C0BDF35" w14:textId="575A17C7" w:rsidR="00620791" w:rsidRPr="002A1C8F" w:rsidRDefault="0006006C">
      <w:pPr>
        <w:pStyle w:val="ListBullet"/>
        <w:rPr>
          <w:noProof/>
        </w:rPr>
      </w:pPr>
      <w:r w:rsidRPr="002A1C8F">
        <w:rPr>
          <w:noProof/>
          <w:lang w:bidi="sr-Latn-RS"/>
        </w:rPr>
        <w:t xml:space="preserve">Ugovarač i/ili Klijent imaju pravo da otkažu usluge ili stavke koje još uvek nisu obezbeđene preko pisanog obaveštenja </w:t>
      </w:r>
      <w:r w:rsidR="00603E84">
        <w:rPr>
          <w:rStyle w:val="PlaceholderText"/>
          <w:noProof/>
          <w:lang w:bidi="sr-Latn-RS"/>
        </w:rPr>
        <w:t>7</w:t>
      </w:r>
      <w:r w:rsidRPr="002A1C8F">
        <w:rPr>
          <w:noProof/>
          <w:lang w:bidi="sr-Latn-RS"/>
        </w:rPr>
        <w:t> radnih dana unapred, datog drugoj strani.</w:t>
      </w:r>
    </w:p>
    <w:p w14:paraId="4C0BDF36" w14:textId="77777777" w:rsidR="00620791" w:rsidRDefault="0006006C">
      <w:pPr>
        <w:pStyle w:val="Heading1"/>
        <w:rPr>
          <w:noProof/>
          <w:lang w:bidi="sr-Latn-RS"/>
        </w:rPr>
      </w:pPr>
      <w:r w:rsidRPr="002A1C8F">
        <w:rPr>
          <w:noProof/>
          <w:lang w:bidi="sr-Latn-RS"/>
        </w:rPr>
        <w:t>Pretpostavke</w:t>
      </w:r>
    </w:p>
    <w:p w14:paraId="170DDAE3" w14:textId="4D5A203D" w:rsidR="00FC7B52" w:rsidRDefault="00581277" w:rsidP="00581277">
      <w:pPr>
        <w:spacing w:after="0"/>
        <w:rPr>
          <w:lang w:bidi="sr-Latn-RS"/>
        </w:rPr>
      </w:pPr>
      <w:r>
        <w:rPr>
          <w:lang w:bidi="sr-Latn-RS"/>
        </w:rPr>
        <w:t>Pretpostavlja se da Klijent:</w:t>
      </w:r>
    </w:p>
    <w:p w14:paraId="5DEFD757" w14:textId="33568483" w:rsidR="00581277" w:rsidRDefault="00581277" w:rsidP="00581277">
      <w:pPr>
        <w:pStyle w:val="ListParagraph"/>
        <w:numPr>
          <w:ilvl w:val="0"/>
          <w:numId w:val="6"/>
        </w:numPr>
        <w:rPr>
          <w:lang w:bidi="sr-Latn-RS"/>
        </w:rPr>
      </w:pPr>
      <w:r>
        <w:rPr>
          <w:lang w:bidi="sr-Latn-RS"/>
        </w:rPr>
        <w:t xml:space="preserve">Poseduje </w:t>
      </w:r>
      <w:r w:rsidR="007D726E">
        <w:rPr>
          <w:lang w:bidi="sr-Latn-RS"/>
        </w:rPr>
        <w:t>odgovarajuću računarsku opremu</w:t>
      </w:r>
      <w:r w:rsidR="00293582">
        <w:rPr>
          <w:lang w:bidi="sr-Latn-RS"/>
        </w:rPr>
        <w:t xml:space="preserve"> za </w:t>
      </w:r>
      <w:r w:rsidR="009113BC">
        <w:rPr>
          <w:lang w:bidi="sr-Latn-RS"/>
        </w:rPr>
        <w:t>potrebe korišćenja informacionog sistema</w:t>
      </w:r>
      <w:r w:rsidR="00D432CA">
        <w:rPr>
          <w:lang w:bidi="sr-Latn-RS"/>
        </w:rPr>
        <w:t>,</w:t>
      </w:r>
    </w:p>
    <w:p w14:paraId="4B37E885" w14:textId="3A202C6E" w:rsidR="00281F86" w:rsidRPr="00FC7B52" w:rsidRDefault="00D432CA" w:rsidP="00543D19">
      <w:pPr>
        <w:pStyle w:val="ListParagraph"/>
        <w:numPr>
          <w:ilvl w:val="0"/>
          <w:numId w:val="6"/>
        </w:numPr>
        <w:rPr>
          <w:lang w:bidi="sr-Latn-RS"/>
        </w:rPr>
      </w:pPr>
      <w:r>
        <w:rPr>
          <w:lang w:bidi="sr-Latn-RS"/>
        </w:rPr>
        <w:lastRenderedPageBreak/>
        <w:t xml:space="preserve">Poseduje </w:t>
      </w:r>
      <w:r w:rsidR="00281F86">
        <w:rPr>
          <w:lang w:bidi="sr-Latn-RS"/>
        </w:rPr>
        <w:t>stabilnu internet konekciju</w:t>
      </w:r>
      <w:r w:rsidR="00543D19">
        <w:rPr>
          <w:lang w:bidi="sr-Latn-RS"/>
        </w:rPr>
        <w:t>.</w:t>
      </w:r>
    </w:p>
    <w:p w14:paraId="4C0BDF3B" w14:textId="77777777" w:rsidR="00620791" w:rsidRPr="002A1C8F" w:rsidRDefault="0006006C">
      <w:pPr>
        <w:pStyle w:val="Heading1"/>
        <w:rPr>
          <w:noProof/>
        </w:rPr>
      </w:pPr>
      <w:r w:rsidRPr="002A1C8F">
        <w:rPr>
          <w:noProof/>
          <w:lang w:bidi="sr-Latn-RS"/>
        </w:rPr>
        <w:t>Kontrolni proces promene projekta</w:t>
      </w:r>
    </w:p>
    <w:p w14:paraId="4C0BDF3C" w14:textId="77777777" w:rsidR="00620791" w:rsidRPr="002A1C8F" w:rsidRDefault="0006006C">
      <w:pPr>
        <w:spacing w:before="320"/>
        <w:rPr>
          <w:noProof/>
        </w:rPr>
      </w:pPr>
      <w:r w:rsidRPr="002A1C8F">
        <w:rPr>
          <w:noProof/>
          <w:lang w:bidi="sr-Latn-RS"/>
        </w:rPr>
        <w:t>Pratiće se sledeći proces ako je potrebno izmeniti ovaj Radni nalog:</w:t>
      </w:r>
    </w:p>
    <w:p w14:paraId="4C0BDF3D" w14:textId="77777777" w:rsidR="00620791" w:rsidRPr="002A1C8F" w:rsidRDefault="0006006C">
      <w:pPr>
        <w:pStyle w:val="ListBullet"/>
        <w:rPr>
          <w:noProof/>
        </w:rPr>
      </w:pPr>
      <w:r w:rsidRPr="002A1C8F">
        <w:rPr>
          <w:noProof/>
          <w:lang w:bidi="sr-Latn-RS"/>
        </w:rPr>
        <w:t>Zahtev za promenom projekta (PCR) će biti sredstvo za komunikaciju. PCR mora da opiše promenu, razlog za nju, kao i efekat koji će promena imati na projekat.</w:t>
      </w:r>
    </w:p>
    <w:p w14:paraId="4C0BDF3E" w14:textId="77777777" w:rsidR="00620791" w:rsidRPr="002A1C8F" w:rsidRDefault="0006006C">
      <w:pPr>
        <w:pStyle w:val="ListBullet"/>
        <w:rPr>
          <w:noProof/>
        </w:rPr>
      </w:pPr>
      <w:r w:rsidRPr="002A1C8F">
        <w:rPr>
          <w:noProof/>
          <w:lang w:bidi="sr-Latn-RS"/>
        </w:rPr>
        <w:t>Određeni menadžer projekta strane koja vrši zahtev (Izvođač ili Klijent) će pregledati predloženu promenu i utvrditi da li treba proslediti zahtev drugoj strani.</w:t>
      </w:r>
    </w:p>
    <w:p w14:paraId="4C0BDF3F" w14:textId="77777777" w:rsidR="00620791" w:rsidRPr="002A1C8F" w:rsidRDefault="0006006C">
      <w:pPr>
        <w:pStyle w:val="ListBullet"/>
        <w:rPr>
          <w:noProof/>
        </w:rPr>
      </w:pPr>
      <w:r w:rsidRPr="002A1C8F">
        <w:rPr>
          <w:noProof/>
          <w:lang w:bidi="sr-Latn-RS"/>
        </w:rPr>
        <w:t>Oba menadžera projekta će pregledati predloženu promenu i odobriti je za dalju istragu ili je odbiti. Izvođač i Klijent će se međusobno složiti oko bilo kakvih naplata za takvu istragu, ukoliko je potrebno. Ako je istraga ovlašćena, menadžeri projekata klijenta će potpisati PCR, koji će predstavljati odobrenje za naplatu za troškove istrage. Izvođač će poslati fakturu Klijentu za takve troškove. Istraga će utvrditi efekat primene PCR-a na cenu Radnog naloga, raspored i druge odredbe i uslove Sporazuma.</w:t>
      </w:r>
    </w:p>
    <w:p w14:paraId="4C0BDF40" w14:textId="77777777" w:rsidR="00620791" w:rsidRPr="002A1C8F" w:rsidRDefault="0006006C">
      <w:pPr>
        <w:pStyle w:val="ListBullet"/>
        <w:rPr>
          <w:noProof/>
        </w:rPr>
      </w:pPr>
      <w:r w:rsidRPr="002A1C8F">
        <w:rPr>
          <w:noProof/>
          <w:lang w:bidi="sr-Latn-RS"/>
        </w:rPr>
        <w:t>Nakon završetka istrage, obe strane će razmotriti uticaj predložene promene i, ako se strane međusobno dogovore, biće izvršena ovlašćenja za promenu.</w:t>
      </w:r>
    </w:p>
    <w:p w14:paraId="4C0BDF41" w14:textId="77777777" w:rsidR="00620791" w:rsidRPr="002A1C8F" w:rsidRDefault="0006006C">
      <w:pPr>
        <w:pStyle w:val="ListBullet"/>
        <w:rPr>
          <w:noProof/>
        </w:rPr>
      </w:pPr>
      <w:r w:rsidRPr="002A1C8F">
        <w:rPr>
          <w:noProof/>
          <w:lang w:bidi="sr-Latn-RS"/>
        </w:rPr>
        <w:t>Pisano ovlaštenje o promeni i/ili PCR mora da potpišu obe strane da bi se ovlastila implementacija istraživanih promena.</w:t>
      </w:r>
    </w:p>
    <w:p w14:paraId="4C0BDF42" w14:textId="77777777" w:rsidR="00620791" w:rsidRPr="002A1C8F" w:rsidRDefault="0006006C">
      <w:pPr>
        <w:pStyle w:val="Closing"/>
        <w:keepNext/>
        <w:keepLines/>
        <w:rPr>
          <w:noProof/>
        </w:rPr>
      </w:pPr>
      <w:r w:rsidRPr="002A1C8F">
        <w:rPr>
          <w:rStyle w:val="Strong"/>
          <w:noProof/>
          <w:lang w:bidi="sr-Latn-RS"/>
        </w:rPr>
        <w:t>U PRISUSTVU SVEDOKA</w:t>
      </w:r>
      <w:r w:rsidRPr="002A1C8F">
        <w:rPr>
          <w:noProof/>
          <w:lang w:bidi="sr-Latn-RS"/>
        </w:rPr>
        <w:t>, stranke ovim pokreću ovu Radnu izjavu dana, meseca i godine prvi put navedenim iznad.</w:t>
      </w:r>
    </w:p>
    <w:tbl>
      <w:tblPr>
        <w:tblStyle w:val="Tabelasapotpisom"/>
        <w:tblW w:w="5000" w:type="pct"/>
        <w:tblCellMar>
          <w:left w:w="0" w:type="dxa"/>
          <w:right w:w="115" w:type="dxa"/>
        </w:tblCellMar>
        <w:tblLook w:val="04A0" w:firstRow="1" w:lastRow="0" w:firstColumn="1" w:lastColumn="0" w:noHBand="0" w:noVBand="1"/>
        <w:tblDescription w:val="Tabela sa potpisom"/>
      </w:tblPr>
      <w:tblGrid>
        <w:gridCol w:w="993"/>
        <w:gridCol w:w="2955"/>
        <w:gridCol w:w="773"/>
        <w:gridCol w:w="950"/>
        <w:gridCol w:w="2995"/>
      </w:tblGrid>
      <w:tr w:rsidR="00620791" w:rsidRPr="002A1C8F" w14:paraId="4C0BDF48" w14:textId="77777777" w:rsidTr="000F6820">
        <w:trPr>
          <w:trHeight w:val="720"/>
        </w:trPr>
        <w:tc>
          <w:tcPr>
            <w:tcW w:w="573" w:type="pct"/>
            <w:vAlign w:val="bottom"/>
          </w:tcPr>
          <w:p w14:paraId="4C0BDF43" w14:textId="77777777" w:rsidR="00620791" w:rsidRPr="002A1C8F" w:rsidRDefault="00620791">
            <w:pPr>
              <w:pStyle w:val="Naslovobrasca"/>
              <w:keepNext/>
              <w:keepLines/>
              <w:rPr>
                <w:noProof/>
              </w:rPr>
            </w:pPr>
          </w:p>
        </w:tc>
        <w:tc>
          <w:tcPr>
            <w:tcW w:w="1705" w:type="pct"/>
            <w:vAlign w:val="bottom"/>
          </w:tcPr>
          <w:p w14:paraId="4C0BDF44" w14:textId="1ABA01FC" w:rsidR="00620791" w:rsidRPr="002A1C8F" w:rsidRDefault="000A437E">
            <w:pPr>
              <w:pStyle w:val="Naslovobrasca"/>
              <w:keepNext/>
              <w:keepLines/>
              <w:rPr>
                <w:noProof/>
              </w:rPr>
            </w:pPr>
            <w:r w:rsidRPr="00D17D99">
              <w:rPr>
                <w:rStyle w:val="PlaceholderText"/>
                <w:noProof/>
                <w:lang w:bidi="sr-Latn-RS"/>
              </w:rPr>
              <w:t>Tehno Živanović DOO</w:t>
            </w:r>
          </w:p>
        </w:tc>
        <w:tc>
          <w:tcPr>
            <w:tcW w:w="446" w:type="pct"/>
            <w:vAlign w:val="bottom"/>
          </w:tcPr>
          <w:p w14:paraId="4C0BDF45" w14:textId="77777777" w:rsidR="00620791" w:rsidRPr="002A1C8F" w:rsidRDefault="00620791">
            <w:pPr>
              <w:pStyle w:val="Naslovobrasca"/>
              <w:keepNext/>
              <w:keepLines/>
              <w:rPr>
                <w:noProof/>
              </w:rPr>
            </w:pPr>
          </w:p>
        </w:tc>
        <w:tc>
          <w:tcPr>
            <w:tcW w:w="548" w:type="pct"/>
            <w:vAlign w:val="bottom"/>
          </w:tcPr>
          <w:p w14:paraId="4C0BDF46" w14:textId="77777777" w:rsidR="00620791" w:rsidRPr="00D17D99" w:rsidRDefault="00620791">
            <w:pPr>
              <w:pStyle w:val="Naslovobrasca"/>
              <w:keepNext/>
              <w:keepLines/>
              <w:rPr>
                <w:noProof/>
              </w:rPr>
            </w:pPr>
          </w:p>
        </w:tc>
        <w:tc>
          <w:tcPr>
            <w:tcW w:w="1728" w:type="pct"/>
            <w:vAlign w:val="bottom"/>
          </w:tcPr>
          <w:p w14:paraId="4C0BDF47" w14:textId="7EA35AE8" w:rsidR="00620791" w:rsidRPr="00D17D99" w:rsidRDefault="0069116E">
            <w:pPr>
              <w:pStyle w:val="Naslovobrasca"/>
              <w:keepNext/>
              <w:keepLines/>
              <w:rPr>
                <w:noProof/>
              </w:rPr>
            </w:pPr>
            <w:r w:rsidRPr="00D17D99">
              <w:rPr>
                <w:noProof/>
              </w:rPr>
              <w:t>IMITech</w:t>
            </w:r>
          </w:p>
        </w:tc>
      </w:tr>
      <w:tr w:rsidR="00620791" w:rsidRPr="002A1C8F" w14:paraId="4C0BDF4E" w14:textId="77777777" w:rsidTr="000F6820">
        <w:trPr>
          <w:trHeight w:val="1080"/>
        </w:trPr>
        <w:tc>
          <w:tcPr>
            <w:tcW w:w="573" w:type="pct"/>
            <w:vAlign w:val="bottom"/>
          </w:tcPr>
          <w:p w14:paraId="4C0BDF49" w14:textId="77777777" w:rsidR="00620791" w:rsidRPr="002A1C8F" w:rsidRDefault="0006006C">
            <w:pPr>
              <w:keepNext/>
              <w:keepLines/>
              <w:rPr>
                <w:noProof/>
              </w:rPr>
            </w:pPr>
            <w:r w:rsidRPr="002A1C8F">
              <w:rPr>
                <w:noProof/>
                <w:lang w:bidi="sr-Latn-RS"/>
              </w:rPr>
              <w:t>Od strane:</w:t>
            </w:r>
          </w:p>
        </w:tc>
        <w:tc>
          <w:tcPr>
            <w:tcW w:w="1705" w:type="pct"/>
            <w:tcBorders>
              <w:bottom w:val="single" w:sz="4" w:space="0" w:color="F79595" w:themeColor="accent1" w:themeTint="99"/>
            </w:tcBorders>
            <w:vAlign w:val="bottom"/>
          </w:tcPr>
          <w:p w14:paraId="4C0BDF4A" w14:textId="77777777" w:rsidR="00620791" w:rsidRPr="002A1C8F" w:rsidRDefault="00620791">
            <w:pPr>
              <w:keepNext/>
              <w:keepLines/>
              <w:rPr>
                <w:noProof/>
              </w:rPr>
            </w:pPr>
          </w:p>
        </w:tc>
        <w:tc>
          <w:tcPr>
            <w:tcW w:w="446" w:type="pct"/>
            <w:vAlign w:val="bottom"/>
          </w:tcPr>
          <w:p w14:paraId="4C0BDF4B" w14:textId="77777777" w:rsidR="00620791" w:rsidRPr="002A1C8F" w:rsidRDefault="00620791">
            <w:pPr>
              <w:keepNext/>
              <w:keepLines/>
              <w:rPr>
                <w:noProof/>
              </w:rPr>
            </w:pPr>
          </w:p>
        </w:tc>
        <w:tc>
          <w:tcPr>
            <w:tcW w:w="548" w:type="pct"/>
            <w:vAlign w:val="bottom"/>
          </w:tcPr>
          <w:p w14:paraId="4C0BDF4C" w14:textId="77777777" w:rsidR="00620791" w:rsidRPr="002A1C8F" w:rsidRDefault="0006006C">
            <w:pPr>
              <w:keepNext/>
              <w:keepLines/>
              <w:rPr>
                <w:noProof/>
              </w:rPr>
            </w:pPr>
            <w:r w:rsidRPr="002A1C8F">
              <w:rPr>
                <w:noProof/>
                <w:lang w:bidi="sr-Latn-RS"/>
              </w:rPr>
              <w:t>Od strane:</w:t>
            </w:r>
          </w:p>
        </w:tc>
        <w:tc>
          <w:tcPr>
            <w:tcW w:w="1728" w:type="pct"/>
            <w:tcBorders>
              <w:bottom w:val="single" w:sz="4" w:space="0" w:color="F79595" w:themeColor="accent1" w:themeTint="99"/>
            </w:tcBorders>
            <w:vAlign w:val="bottom"/>
          </w:tcPr>
          <w:p w14:paraId="4C0BDF4D" w14:textId="77777777" w:rsidR="00620791" w:rsidRPr="002A1C8F" w:rsidRDefault="00620791">
            <w:pPr>
              <w:keepNext/>
              <w:keepLines/>
              <w:rPr>
                <w:noProof/>
              </w:rPr>
            </w:pPr>
          </w:p>
        </w:tc>
      </w:tr>
      <w:tr w:rsidR="00620791" w:rsidRPr="002A1C8F" w14:paraId="4C0BDF54" w14:textId="77777777" w:rsidTr="000F6820">
        <w:trPr>
          <w:trHeight w:val="360"/>
        </w:trPr>
        <w:tc>
          <w:tcPr>
            <w:tcW w:w="573" w:type="pct"/>
          </w:tcPr>
          <w:p w14:paraId="4C0BDF4F" w14:textId="77777777" w:rsidR="00620791" w:rsidRPr="002A1C8F" w:rsidRDefault="0006006C">
            <w:pPr>
              <w:keepNext/>
              <w:keepLines/>
              <w:rPr>
                <w:noProof/>
              </w:rPr>
            </w:pPr>
            <w:r w:rsidRPr="002A1C8F">
              <w:rPr>
                <w:noProof/>
                <w:lang w:bidi="sr-Latn-RS"/>
              </w:rPr>
              <w:t>Ime:</w:t>
            </w:r>
          </w:p>
        </w:tc>
        <w:tc>
          <w:tcPr>
            <w:tcW w:w="1705" w:type="pct"/>
            <w:tcBorders>
              <w:top w:val="single" w:sz="4" w:space="0" w:color="F79595" w:themeColor="accent1" w:themeTint="99"/>
            </w:tcBorders>
          </w:tcPr>
          <w:p w14:paraId="4C0BDF50" w14:textId="757674CE" w:rsidR="00620791" w:rsidRPr="002A1C8F" w:rsidRDefault="0069116E" w:rsidP="00865804">
            <w:pPr>
              <w:pStyle w:val="NoSpacing"/>
              <w:rPr>
                <w:noProof/>
                <w:lang w:bidi="sr-Latn-RS"/>
              </w:rPr>
            </w:pPr>
            <w:r>
              <w:rPr>
                <w:noProof/>
                <w:lang w:bidi="sr-Latn-RS"/>
              </w:rPr>
              <w:t>Miroslav Živanović</w:t>
            </w:r>
          </w:p>
        </w:tc>
        <w:tc>
          <w:tcPr>
            <w:tcW w:w="446" w:type="pct"/>
          </w:tcPr>
          <w:p w14:paraId="4C0BDF51" w14:textId="77777777" w:rsidR="00620791" w:rsidRPr="002A1C8F" w:rsidRDefault="00620791">
            <w:pPr>
              <w:keepNext/>
              <w:keepLines/>
              <w:rPr>
                <w:noProof/>
              </w:rPr>
            </w:pPr>
          </w:p>
        </w:tc>
        <w:tc>
          <w:tcPr>
            <w:tcW w:w="548" w:type="pct"/>
          </w:tcPr>
          <w:p w14:paraId="4C0BDF52" w14:textId="77777777" w:rsidR="00620791" w:rsidRPr="002A1C8F" w:rsidRDefault="0006006C">
            <w:pPr>
              <w:keepNext/>
              <w:keepLines/>
              <w:rPr>
                <w:noProof/>
              </w:rPr>
            </w:pPr>
            <w:r w:rsidRPr="002A1C8F">
              <w:rPr>
                <w:noProof/>
                <w:lang w:bidi="sr-Latn-RS"/>
              </w:rPr>
              <w:t>Ime:</w:t>
            </w:r>
          </w:p>
        </w:tc>
        <w:tc>
          <w:tcPr>
            <w:tcW w:w="1728" w:type="pct"/>
            <w:tcBorders>
              <w:top w:val="single" w:sz="4" w:space="0" w:color="F79595" w:themeColor="accent1" w:themeTint="99"/>
            </w:tcBorders>
          </w:tcPr>
          <w:p w14:paraId="4C0BDF53" w14:textId="3E728818" w:rsidR="00620791" w:rsidRPr="002A1C8F" w:rsidRDefault="0013065E">
            <w:pPr>
              <w:keepNext/>
              <w:keepLines/>
              <w:rPr>
                <w:noProof/>
              </w:rPr>
            </w:pPr>
            <w:r>
              <w:rPr>
                <w:noProof/>
              </w:rPr>
              <w:t>Sonja Galović</w:t>
            </w:r>
          </w:p>
        </w:tc>
      </w:tr>
    </w:tbl>
    <w:p w14:paraId="4C0BDF5B" w14:textId="77777777" w:rsidR="00620791" w:rsidRPr="002A1C8F" w:rsidRDefault="00620791" w:rsidP="001C7152">
      <w:pPr>
        <w:spacing w:before="320"/>
        <w:rPr>
          <w:noProof/>
        </w:rPr>
      </w:pPr>
    </w:p>
    <w:sectPr w:rsidR="00620791" w:rsidRPr="002A1C8F" w:rsidSect="00DC5BF9">
      <w:headerReference w:type="even" r:id="rId12"/>
      <w:headerReference w:type="default" r:id="rId13"/>
      <w:footerReference w:type="even" r:id="rId14"/>
      <w:footerReference w:type="default" r:id="rId15"/>
      <w:headerReference w:type="first" r:id="rId16"/>
      <w:footerReference w:type="first" r:id="rId17"/>
      <w:pgSz w:w="11906" w:h="16838" w:code="9"/>
      <w:pgMar w:top="1080" w:right="1224" w:bottom="2160" w:left="201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755B6" w14:textId="77777777" w:rsidR="005C4525" w:rsidRDefault="005C4525">
      <w:pPr>
        <w:spacing w:after="0" w:line="240" w:lineRule="auto"/>
      </w:pPr>
      <w:r>
        <w:separator/>
      </w:r>
    </w:p>
  </w:endnote>
  <w:endnote w:type="continuationSeparator" w:id="0">
    <w:p w14:paraId="34FFABF7" w14:textId="77777777" w:rsidR="005C4525" w:rsidRDefault="005C4525">
      <w:pPr>
        <w:spacing w:after="0" w:line="240" w:lineRule="auto"/>
      </w:pPr>
      <w:r>
        <w:continuationSeparator/>
      </w:r>
    </w:p>
  </w:endnote>
  <w:endnote w:type="continuationNotice" w:id="1">
    <w:p w14:paraId="56D93566" w14:textId="77777777" w:rsidR="005C4525" w:rsidRDefault="005C45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Cambria"/>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ambria"/>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8FCA1" w14:textId="77777777" w:rsidR="00CD0D40" w:rsidRDefault="00CD0D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BDF72" w14:textId="77777777" w:rsidR="00620791" w:rsidRDefault="0006006C">
    <w:pPr>
      <w:pStyle w:val="Footer"/>
    </w:pPr>
    <w:r>
      <w:rPr>
        <w:noProof/>
        <w:lang w:bidi="sr-Latn-RS"/>
      </w:rPr>
      <mc:AlternateContent>
        <mc:Choice Requires="wps">
          <w:drawing>
            <wp:anchor distT="0" distB="0" distL="114300" distR="114300" simplePos="0" relativeHeight="251658240" behindDoc="0" locked="0" layoutInCell="1" allowOverlap="1" wp14:anchorId="4C0BDF73" wp14:editId="4C0BDF74">
              <wp:simplePos x="0" y="0"/>
              <wp:positionH relativeFrom="margin">
                <wp:align>left</wp:align>
              </wp:positionH>
              <wp:positionV relativeFrom="bottomMargin">
                <wp:align>bottom</wp:align>
              </wp:positionV>
              <wp:extent cx="5943600" cy="594360"/>
              <wp:effectExtent l="0" t="0" r="0" b="0"/>
              <wp:wrapNone/>
              <wp:docPr id="7" name="Okvir za tekst 7" descr="Sadržaj podnožja stranice"/>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Informacije o podnožju stranice"/>
                          </w:tblPr>
                          <w:tblGrid>
                            <w:gridCol w:w="8157"/>
                            <w:gridCol w:w="1208"/>
                          </w:tblGrid>
                          <w:tr w:rsidR="00620791" w14:paraId="4C0BDF78" w14:textId="77777777">
                            <w:tc>
                              <w:tcPr>
                                <w:tcW w:w="4355" w:type="pct"/>
                                <w:tcBorders>
                                  <w:top w:val="single" w:sz="2" w:space="0" w:color="F24F4F" w:themeColor="accent1"/>
                                </w:tcBorders>
                              </w:tcPr>
                              <w:p w14:paraId="4C0BDF76" w14:textId="0D17E5EB" w:rsidR="00620791" w:rsidRDefault="0006006C" w:rsidP="00EC4A47">
                                <w:pPr>
                                  <w:pStyle w:val="NoSpacing"/>
                                  <w:rPr>
                                    <w:noProof/>
                                    <w:lang w:bidi="sr-Latn-RS"/>
                                  </w:rPr>
                                </w:pPr>
                                <w:r>
                                  <w:rPr>
                                    <w:lang w:bidi="sr-Latn-RS"/>
                                  </w:rPr>
                                  <w:t xml:space="preserve">Radni nalog za klijenta </w:t>
                                </w:r>
                                <w:r w:rsidR="00EC4A47" w:rsidRPr="00A81400">
                                  <w:rPr>
                                    <w:rStyle w:val="PlaceholderText"/>
                                    <w:noProof/>
                                    <w:color w:val="auto"/>
                                    <w:lang w:bidi="sr-Latn-RS"/>
                                  </w:rPr>
                                  <w:t>Tehno Živanović DOO</w:t>
                                </w:r>
                                <w:r w:rsidR="00A81400">
                                  <w:rPr>
                                    <w:rStyle w:val="PlaceholderText"/>
                                    <w:noProof/>
                                    <w:color w:val="auto"/>
                                    <w:lang w:bidi="sr-Latn-RS"/>
                                  </w:rPr>
                                  <w:t xml:space="preserve"> </w:t>
                                </w:r>
                                <w:r>
                                  <w:rPr>
                                    <w:rFonts w:ascii="Wingdings" w:eastAsia="Wingdings" w:hAnsi="Wingdings" w:cs="Wingdings"/>
                                    <w:lang w:bidi="sr-Latn-RS"/>
                                  </w:rPr>
                                  <w:t> </w:t>
                                </w:r>
                                <w:r>
                                  <w:rPr>
                                    <w:lang w:bidi="sr-Latn-RS"/>
                                  </w:rPr>
                                  <w:t xml:space="preserve"> </w:t>
                                </w:r>
                                <w:r w:rsidR="00163309">
                                  <w:rPr>
                                    <w:lang w:bidi="sr-Latn-RS"/>
                                  </w:rPr>
                                  <w:t>11.07.2022.</w:t>
                                </w:r>
                              </w:p>
                            </w:tc>
                            <w:tc>
                              <w:tcPr>
                                <w:tcW w:w="645" w:type="pct"/>
                                <w:tcBorders>
                                  <w:top w:val="single" w:sz="2" w:space="0" w:color="F24F4F" w:themeColor="accent1"/>
                                </w:tcBorders>
                              </w:tcPr>
                              <w:p w14:paraId="4C0BDF77" w14:textId="77777777" w:rsidR="00620791" w:rsidRDefault="0006006C">
                                <w:pPr>
                                  <w:pStyle w:val="Footer"/>
                                  <w:jc w:val="right"/>
                                </w:pPr>
                                <w:r>
                                  <w:rPr>
                                    <w:lang w:bidi="sr-Latn-RS"/>
                                  </w:rPr>
                                  <w:fldChar w:fldCharType="begin"/>
                                </w:r>
                                <w:r>
                                  <w:rPr>
                                    <w:lang w:bidi="sr-Latn-RS"/>
                                  </w:rPr>
                                  <w:instrText xml:space="preserve"> PAGE   \* MERGEFORMAT </w:instrText>
                                </w:r>
                                <w:r>
                                  <w:rPr>
                                    <w:lang w:bidi="sr-Latn-RS"/>
                                  </w:rPr>
                                  <w:fldChar w:fldCharType="separate"/>
                                </w:r>
                                <w:r>
                                  <w:rPr>
                                    <w:noProof/>
                                    <w:lang w:bidi="sr-Latn-RS"/>
                                  </w:rPr>
                                  <w:t>4</w:t>
                                </w:r>
                                <w:r>
                                  <w:rPr>
                                    <w:noProof/>
                                    <w:lang w:bidi="sr-Latn-RS"/>
                                  </w:rPr>
                                  <w:fldChar w:fldCharType="end"/>
                                </w:r>
                              </w:p>
                            </w:tc>
                          </w:tr>
                        </w:tbl>
                        <w:p w14:paraId="4C0BDF79" w14:textId="77777777" w:rsidR="00620791" w:rsidRDefault="00620791">
                          <w:pPr>
                            <w:pStyle w:val="Foote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C0BDF73" id="_x0000_t202" coordsize="21600,21600" o:spt="202" path="m,l,21600r21600,l21600,xe">
              <v:stroke joinstyle="miter"/>
              <v:path gradientshapeok="t" o:connecttype="rect"/>
            </v:shapetype>
            <v:shape id="Okvir za tekst 7" o:spid="_x0000_s1027" type="#_x0000_t202" alt="Sadržaj podnožja stranice" style="position:absolute;margin-left:0;margin-top:0;width:468pt;height:46.8pt;z-index:251658240;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Informacije o podnožju stranice"/>
                    </w:tblPr>
                    <w:tblGrid>
                      <w:gridCol w:w="8157"/>
                      <w:gridCol w:w="1208"/>
                    </w:tblGrid>
                    <w:tr w:rsidR="00620791" w14:paraId="4C0BDF78" w14:textId="77777777">
                      <w:tc>
                        <w:tcPr>
                          <w:tcW w:w="4355" w:type="pct"/>
                          <w:tcBorders>
                            <w:top w:val="single" w:sz="2" w:space="0" w:color="F24F4F" w:themeColor="accent1"/>
                          </w:tcBorders>
                        </w:tcPr>
                        <w:p w14:paraId="4C0BDF76" w14:textId="0D17E5EB" w:rsidR="00620791" w:rsidRDefault="0006006C" w:rsidP="00EC4A47">
                          <w:pPr>
                            <w:pStyle w:val="NoSpacing"/>
                            <w:rPr>
                              <w:noProof/>
                              <w:lang w:bidi="sr-Latn-RS"/>
                            </w:rPr>
                          </w:pPr>
                          <w:r>
                            <w:rPr>
                              <w:lang w:bidi="sr-Latn-RS"/>
                            </w:rPr>
                            <w:t xml:space="preserve">Radni nalog za klijenta </w:t>
                          </w:r>
                          <w:r w:rsidR="00EC4A47" w:rsidRPr="00A81400">
                            <w:rPr>
                              <w:rStyle w:val="PlaceholderText"/>
                              <w:noProof/>
                              <w:color w:val="auto"/>
                              <w:lang w:bidi="sr-Latn-RS"/>
                            </w:rPr>
                            <w:t>Tehno Živanović DOO</w:t>
                          </w:r>
                          <w:r w:rsidR="00A81400">
                            <w:rPr>
                              <w:rStyle w:val="PlaceholderText"/>
                              <w:noProof/>
                              <w:color w:val="auto"/>
                              <w:lang w:bidi="sr-Latn-RS"/>
                            </w:rPr>
                            <w:t xml:space="preserve"> </w:t>
                          </w:r>
                          <w:r>
                            <w:rPr>
                              <w:rFonts w:ascii="Wingdings" w:eastAsia="Wingdings" w:hAnsi="Wingdings" w:cs="Wingdings"/>
                              <w:lang w:bidi="sr-Latn-RS"/>
                            </w:rPr>
                            <w:t> </w:t>
                          </w:r>
                          <w:r>
                            <w:rPr>
                              <w:lang w:bidi="sr-Latn-RS"/>
                            </w:rPr>
                            <w:t xml:space="preserve"> </w:t>
                          </w:r>
                          <w:r w:rsidR="00163309">
                            <w:rPr>
                              <w:lang w:bidi="sr-Latn-RS"/>
                            </w:rPr>
                            <w:t>11.07.2022.</w:t>
                          </w:r>
                        </w:p>
                      </w:tc>
                      <w:tc>
                        <w:tcPr>
                          <w:tcW w:w="645" w:type="pct"/>
                          <w:tcBorders>
                            <w:top w:val="single" w:sz="2" w:space="0" w:color="F24F4F" w:themeColor="accent1"/>
                          </w:tcBorders>
                        </w:tcPr>
                        <w:p w14:paraId="4C0BDF77" w14:textId="77777777" w:rsidR="00620791" w:rsidRDefault="0006006C">
                          <w:pPr>
                            <w:pStyle w:val="Footer"/>
                            <w:jc w:val="right"/>
                          </w:pPr>
                          <w:r>
                            <w:rPr>
                              <w:lang w:bidi="sr-Latn-RS"/>
                            </w:rPr>
                            <w:fldChar w:fldCharType="begin"/>
                          </w:r>
                          <w:r>
                            <w:rPr>
                              <w:lang w:bidi="sr-Latn-RS"/>
                            </w:rPr>
                            <w:instrText xml:space="preserve"> PAGE   \* MERGEFORMAT </w:instrText>
                          </w:r>
                          <w:r>
                            <w:rPr>
                              <w:lang w:bidi="sr-Latn-RS"/>
                            </w:rPr>
                            <w:fldChar w:fldCharType="separate"/>
                          </w:r>
                          <w:r>
                            <w:rPr>
                              <w:noProof/>
                              <w:lang w:bidi="sr-Latn-RS"/>
                            </w:rPr>
                            <w:t>4</w:t>
                          </w:r>
                          <w:r>
                            <w:rPr>
                              <w:noProof/>
                              <w:lang w:bidi="sr-Latn-RS"/>
                            </w:rPr>
                            <w:fldChar w:fldCharType="end"/>
                          </w:r>
                        </w:p>
                      </w:tc>
                    </w:tr>
                  </w:tbl>
                  <w:p w14:paraId="4C0BDF79" w14:textId="77777777" w:rsidR="00620791" w:rsidRDefault="00620791">
                    <w:pPr>
                      <w:pStyle w:val="Footer"/>
                    </w:pPr>
                  </w:p>
                </w:txbxContent>
              </v:textbox>
              <w10:wrap anchorx="margin" anchory="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C2BCB" w14:textId="77777777" w:rsidR="00CD0D40" w:rsidRDefault="00CD0D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16D58" w14:textId="77777777" w:rsidR="005C4525" w:rsidRDefault="005C4525">
      <w:pPr>
        <w:spacing w:after="0" w:line="240" w:lineRule="auto"/>
      </w:pPr>
      <w:r>
        <w:separator/>
      </w:r>
    </w:p>
  </w:footnote>
  <w:footnote w:type="continuationSeparator" w:id="0">
    <w:p w14:paraId="7AB80D2D" w14:textId="77777777" w:rsidR="005C4525" w:rsidRDefault="005C4525">
      <w:pPr>
        <w:spacing w:after="0" w:line="240" w:lineRule="auto"/>
      </w:pPr>
      <w:r>
        <w:continuationSeparator/>
      </w:r>
    </w:p>
  </w:footnote>
  <w:footnote w:type="continuationNotice" w:id="1">
    <w:p w14:paraId="4AD199AE" w14:textId="77777777" w:rsidR="005C4525" w:rsidRDefault="005C45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C8946" w14:textId="77777777" w:rsidR="00CD0D40" w:rsidRDefault="00CD0D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18AD1" w14:textId="45D1BCFD" w:rsidR="00E11FB6" w:rsidRDefault="002E1C25">
    <w:pPr>
      <w:pStyle w:val="Header"/>
    </w:pPr>
    <w:r>
      <w:rPr>
        <w:noProof/>
        <w:lang w:bidi="sr-Latn-RS"/>
      </w:rPr>
      <mc:AlternateContent>
        <mc:Choice Requires="wps">
          <w:drawing>
            <wp:anchor distT="0" distB="0" distL="114300" distR="114300" simplePos="0" relativeHeight="251658241" behindDoc="1" locked="0" layoutInCell="1" allowOverlap="1" wp14:anchorId="1A4C1812" wp14:editId="74441C10">
              <wp:simplePos x="0" y="0"/>
              <wp:positionH relativeFrom="leftMargin">
                <wp:posOffset>549910</wp:posOffset>
              </wp:positionH>
              <wp:positionV relativeFrom="margin">
                <wp:posOffset>0</wp:posOffset>
              </wp:positionV>
              <wp:extent cx="1005840" cy="5733288"/>
              <wp:effectExtent l="0" t="0" r="0" b="0"/>
              <wp:wrapNone/>
              <wp:docPr id="2" name="Okvir za tekst 2" descr="Naslov dokumenta"/>
              <wp:cNvGraphicFramePr/>
              <a:graphic xmlns:a="http://schemas.openxmlformats.org/drawingml/2006/main">
                <a:graphicData uri="http://schemas.microsoft.com/office/word/2010/wordprocessingShape">
                  <wps:wsp>
                    <wps:cNvSpPr txBox="1"/>
                    <wps:spPr>
                      <a:xfrm>
                        <a:off x="0" y="0"/>
                        <a:ext cx="1005840" cy="5733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3F85A0" w14:textId="77777777" w:rsidR="002E1C25" w:rsidRDefault="002E1C25" w:rsidP="002E1C25">
                          <w:pPr>
                            <w:pStyle w:val="Title"/>
                          </w:pPr>
                          <w:r>
                            <w:rPr>
                              <w:lang w:bidi="sr-Latn-RS"/>
                            </w:rPr>
                            <w:t>Radni nalog</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spAutoFit/>
                    </wps:bodyPr>
                  </wps:wsp>
                </a:graphicData>
              </a:graphic>
              <wp14:sizeRelH relativeFrom="margin">
                <wp14:pctWidth>15000</wp14:pctWidth>
              </wp14:sizeRelH>
              <wp14:sizeRelV relativeFrom="margin">
                <wp14:pctHeight>75000</wp14:pctHeight>
              </wp14:sizeRelV>
            </wp:anchor>
          </w:drawing>
        </mc:Choice>
        <mc:Fallback>
          <w:pict>
            <v:shapetype w14:anchorId="1A4C1812" id="_x0000_t202" coordsize="21600,21600" o:spt="202" path="m,l,21600r21600,l21600,xe">
              <v:stroke joinstyle="miter"/>
              <v:path gradientshapeok="t" o:connecttype="rect"/>
            </v:shapetype>
            <v:shape id="Okvir za tekst 2" o:spid="_x0000_s1026" type="#_x0000_t202" alt="Naslov dokumenta" style="position:absolute;margin-left:43.3pt;margin-top:0;width:79.2pt;height:451.45pt;z-index:-251658239;visibility:visible;mso-wrap-style:square;mso-width-percent:150;mso-height-percent:750;mso-wrap-distance-left:9pt;mso-wrap-distance-top:0;mso-wrap-distance-right:9pt;mso-wrap-distance-bottom:0;mso-position-horizontal:absolute;mso-position-horizontal-relative:left-margin-area;mso-position-vertical:absolute;mso-position-vertical-relative:margin;mso-width-percent:15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" filled="f" stroked="f" strokeweight=".5pt">
              <v:textbox style="layout-flow:vertical;mso-layout-flow-alt:bottom-to-top;mso-fit-shape-to-text:t" inset="0,14.4pt,18pt">
                <w:txbxContent>
                  <w:p w14:paraId="793F85A0" w14:textId="77777777" w:rsidR="002E1C25" w:rsidRDefault="002E1C25" w:rsidP="002E1C25">
                    <w:pPr>
                      <w:pStyle w:val="Title"/>
                    </w:pPr>
                    <w:r>
                      <w:rPr>
                        <w:lang w:bidi="sr-Latn-RS"/>
                      </w:rPr>
                      <w:t>Radni nalog</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D7473" w14:textId="77777777" w:rsidR="00CD0D40" w:rsidRDefault="00CD0D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BEA61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F64047"/>
    <w:multiLevelType w:val="hybridMultilevel"/>
    <w:tmpl w:val="8F52B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FE4FF0"/>
    <w:multiLevelType w:val="hybridMultilevel"/>
    <w:tmpl w:val="E842C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8D1E48"/>
    <w:multiLevelType w:val="hybridMultilevel"/>
    <w:tmpl w:val="CB9E1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4023178">
    <w:abstractNumId w:val="4"/>
  </w:num>
  <w:num w:numId="2" w16cid:durableId="1331718587">
    <w:abstractNumId w:val="1"/>
  </w:num>
  <w:num w:numId="3" w16cid:durableId="729157952">
    <w:abstractNumId w:val="2"/>
  </w:num>
  <w:num w:numId="4" w16cid:durableId="1611930495">
    <w:abstractNumId w:val="0"/>
  </w:num>
  <w:num w:numId="5" w16cid:durableId="704865161">
    <w:abstractNumId w:val="6"/>
  </w:num>
  <w:num w:numId="6" w16cid:durableId="59642385">
    <w:abstractNumId w:val="3"/>
  </w:num>
  <w:num w:numId="7" w16cid:durableId="5462578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hyphenationZone w:val="425"/>
  <w:defaultTableStyle w:val="Tabelazaradninalo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791"/>
    <w:rsid w:val="00046233"/>
    <w:rsid w:val="0006006C"/>
    <w:rsid w:val="00060BBF"/>
    <w:rsid w:val="000621CF"/>
    <w:rsid w:val="00064458"/>
    <w:rsid w:val="00070AAF"/>
    <w:rsid w:val="00082926"/>
    <w:rsid w:val="00087797"/>
    <w:rsid w:val="00092A7F"/>
    <w:rsid w:val="000941B6"/>
    <w:rsid w:val="000A14AE"/>
    <w:rsid w:val="000A437E"/>
    <w:rsid w:val="000A5252"/>
    <w:rsid w:val="000B357D"/>
    <w:rsid w:val="000B4F5F"/>
    <w:rsid w:val="000D3158"/>
    <w:rsid w:val="000E0F34"/>
    <w:rsid w:val="000E202A"/>
    <w:rsid w:val="000F1A45"/>
    <w:rsid w:val="000F6820"/>
    <w:rsid w:val="00101079"/>
    <w:rsid w:val="00106183"/>
    <w:rsid w:val="001121BB"/>
    <w:rsid w:val="00122CC1"/>
    <w:rsid w:val="00123ABA"/>
    <w:rsid w:val="0013065E"/>
    <w:rsid w:val="001334C0"/>
    <w:rsid w:val="00163309"/>
    <w:rsid w:val="001657A2"/>
    <w:rsid w:val="00181B9E"/>
    <w:rsid w:val="001A5BFA"/>
    <w:rsid w:val="001B4EF6"/>
    <w:rsid w:val="001B5ED7"/>
    <w:rsid w:val="001B6C47"/>
    <w:rsid w:val="001C03BF"/>
    <w:rsid w:val="001C04C4"/>
    <w:rsid w:val="001C0E06"/>
    <w:rsid w:val="001C7152"/>
    <w:rsid w:val="001D41E6"/>
    <w:rsid w:val="001E1340"/>
    <w:rsid w:val="001E69EA"/>
    <w:rsid w:val="00202774"/>
    <w:rsid w:val="00202F4F"/>
    <w:rsid w:val="0020334F"/>
    <w:rsid w:val="00206DDC"/>
    <w:rsid w:val="002114DD"/>
    <w:rsid w:val="00211A67"/>
    <w:rsid w:val="0027013F"/>
    <w:rsid w:val="00270E4D"/>
    <w:rsid w:val="00281F86"/>
    <w:rsid w:val="00285B1D"/>
    <w:rsid w:val="00290D84"/>
    <w:rsid w:val="00293582"/>
    <w:rsid w:val="002A1C8F"/>
    <w:rsid w:val="002A6A8C"/>
    <w:rsid w:val="002C41D2"/>
    <w:rsid w:val="002E1C25"/>
    <w:rsid w:val="002E3FAE"/>
    <w:rsid w:val="002E6B34"/>
    <w:rsid w:val="002F06C0"/>
    <w:rsid w:val="002F70DE"/>
    <w:rsid w:val="003240A1"/>
    <w:rsid w:val="00362ACF"/>
    <w:rsid w:val="00375ACA"/>
    <w:rsid w:val="00375F89"/>
    <w:rsid w:val="00382857"/>
    <w:rsid w:val="00382EC2"/>
    <w:rsid w:val="0038456B"/>
    <w:rsid w:val="00386316"/>
    <w:rsid w:val="003A378B"/>
    <w:rsid w:val="003C24DC"/>
    <w:rsid w:val="003C26DF"/>
    <w:rsid w:val="003C3F1D"/>
    <w:rsid w:val="003D2D4D"/>
    <w:rsid w:val="00405437"/>
    <w:rsid w:val="004152EF"/>
    <w:rsid w:val="004155A2"/>
    <w:rsid w:val="004206F2"/>
    <w:rsid w:val="00427434"/>
    <w:rsid w:val="0045247E"/>
    <w:rsid w:val="00463AB8"/>
    <w:rsid w:val="00470834"/>
    <w:rsid w:val="0047103D"/>
    <w:rsid w:val="004729E1"/>
    <w:rsid w:val="00480832"/>
    <w:rsid w:val="0049156C"/>
    <w:rsid w:val="00494999"/>
    <w:rsid w:val="004A5D0B"/>
    <w:rsid w:val="004C4953"/>
    <w:rsid w:val="004C7FD0"/>
    <w:rsid w:val="004D4884"/>
    <w:rsid w:val="004D6CD3"/>
    <w:rsid w:val="004F6662"/>
    <w:rsid w:val="0050249A"/>
    <w:rsid w:val="0050329B"/>
    <w:rsid w:val="00511B56"/>
    <w:rsid w:val="00541CA0"/>
    <w:rsid w:val="00543D19"/>
    <w:rsid w:val="00550D48"/>
    <w:rsid w:val="00556FE1"/>
    <w:rsid w:val="0056358D"/>
    <w:rsid w:val="0057212E"/>
    <w:rsid w:val="00581277"/>
    <w:rsid w:val="005837E7"/>
    <w:rsid w:val="00585977"/>
    <w:rsid w:val="005973AB"/>
    <w:rsid w:val="005A7BAC"/>
    <w:rsid w:val="005A7E4D"/>
    <w:rsid w:val="005C4525"/>
    <w:rsid w:val="005C4C8F"/>
    <w:rsid w:val="005D2C24"/>
    <w:rsid w:val="005E0540"/>
    <w:rsid w:val="005E15DC"/>
    <w:rsid w:val="005F0198"/>
    <w:rsid w:val="00603E84"/>
    <w:rsid w:val="00620058"/>
    <w:rsid w:val="00620791"/>
    <w:rsid w:val="00643BB3"/>
    <w:rsid w:val="006539B8"/>
    <w:rsid w:val="00656C55"/>
    <w:rsid w:val="006700F9"/>
    <w:rsid w:val="00671892"/>
    <w:rsid w:val="00671B9C"/>
    <w:rsid w:val="0068035F"/>
    <w:rsid w:val="0069116E"/>
    <w:rsid w:val="006A2AEA"/>
    <w:rsid w:val="006A7367"/>
    <w:rsid w:val="006B61B1"/>
    <w:rsid w:val="006C07E1"/>
    <w:rsid w:val="006F2EE7"/>
    <w:rsid w:val="0070355F"/>
    <w:rsid w:val="00735A32"/>
    <w:rsid w:val="00737A0B"/>
    <w:rsid w:val="00740400"/>
    <w:rsid w:val="0075655E"/>
    <w:rsid w:val="00763701"/>
    <w:rsid w:val="00797B7D"/>
    <w:rsid w:val="007A2D6F"/>
    <w:rsid w:val="007B0C9C"/>
    <w:rsid w:val="007D726E"/>
    <w:rsid w:val="007E1356"/>
    <w:rsid w:val="00820757"/>
    <w:rsid w:val="00833FA8"/>
    <w:rsid w:val="00843C0D"/>
    <w:rsid w:val="0084712D"/>
    <w:rsid w:val="00850602"/>
    <w:rsid w:val="00850CAF"/>
    <w:rsid w:val="008562D1"/>
    <w:rsid w:val="00857546"/>
    <w:rsid w:val="00864E1E"/>
    <w:rsid w:val="00865804"/>
    <w:rsid w:val="00866577"/>
    <w:rsid w:val="008669F2"/>
    <w:rsid w:val="00875A8C"/>
    <w:rsid w:val="00887883"/>
    <w:rsid w:val="00896741"/>
    <w:rsid w:val="008A21F1"/>
    <w:rsid w:val="008A59BC"/>
    <w:rsid w:val="008C324D"/>
    <w:rsid w:val="008D334F"/>
    <w:rsid w:val="00906770"/>
    <w:rsid w:val="009113BC"/>
    <w:rsid w:val="009226BC"/>
    <w:rsid w:val="00927865"/>
    <w:rsid w:val="0095309E"/>
    <w:rsid w:val="009562BA"/>
    <w:rsid w:val="00965A86"/>
    <w:rsid w:val="009934C0"/>
    <w:rsid w:val="0099511C"/>
    <w:rsid w:val="009C0B9B"/>
    <w:rsid w:val="009C2838"/>
    <w:rsid w:val="009D786C"/>
    <w:rsid w:val="009F70A3"/>
    <w:rsid w:val="00A04964"/>
    <w:rsid w:val="00A06829"/>
    <w:rsid w:val="00A06E78"/>
    <w:rsid w:val="00A12374"/>
    <w:rsid w:val="00A130FE"/>
    <w:rsid w:val="00A15E0D"/>
    <w:rsid w:val="00A17A93"/>
    <w:rsid w:val="00A43AE2"/>
    <w:rsid w:val="00A46EF4"/>
    <w:rsid w:val="00A47987"/>
    <w:rsid w:val="00A668AC"/>
    <w:rsid w:val="00A67C41"/>
    <w:rsid w:val="00A76EB9"/>
    <w:rsid w:val="00A81400"/>
    <w:rsid w:val="00A9680D"/>
    <w:rsid w:val="00AA05B6"/>
    <w:rsid w:val="00AB31DD"/>
    <w:rsid w:val="00AC1ADC"/>
    <w:rsid w:val="00AC620E"/>
    <w:rsid w:val="00AD396F"/>
    <w:rsid w:val="00B21148"/>
    <w:rsid w:val="00B268AF"/>
    <w:rsid w:val="00B342D6"/>
    <w:rsid w:val="00B4226D"/>
    <w:rsid w:val="00B44F65"/>
    <w:rsid w:val="00B66CDF"/>
    <w:rsid w:val="00B70320"/>
    <w:rsid w:val="00B70B7C"/>
    <w:rsid w:val="00B73760"/>
    <w:rsid w:val="00B753B9"/>
    <w:rsid w:val="00B92642"/>
    <w:rsid w:val="00BB4249"/>
    <w:rsid w:val="00BC41BA"/>
    <w:rsid w:val="00BD1347"/>
    <w:rsid w:val="00BE1FFF"/>
    <w:rsid w:val="00C044E5"/>
    <w:rsid w:val="00C05E0E"/>
    <w:rsid w:val="00C509FB"/>
    <w:rsid w:val="00C574B6"/>
    <w:rsid w:val="00C66D71"/>
    <w:rsid w:val="00C67556"/>
    <w:rsid w:val="00C67CA9"/>
    <w:rsid w:val="00C830E8"/>
    <w:rsid w:val="00C91F24"/>
    <w:rsid w:val="00CA0147"/>
    <w:rsid w:val="00CD0D40"/>
    <w:rsid w:val="00CE5ED5"/>
    <w:rsid w:val="00CF037C"/>
    <w:rsid w:val="00CF10E6"/>
    <w:rsid w:val="00D03381"/>
    <w:rsid w:val="00D13359"/>
    <w:rsid w:val="00D17D99"/>
    <w:rsid w:val="00D23B95"/>
    <w:rsid w:val="00D3177D"/>
    <w:rsid w:val="00D41304"/>
    <w:rsid w:val="00D414C7"/>
    <w:rsid w:val="00D42D65"/>
    <w:rsid w:val="00D432CA"/>
    <w:rsid w:val="00D50D5F"/>
    <w:rsid w:val="00D52140"/>
    <w:rsid w:val="00D52911"/>
    <w:rsid w:val="00D52BE6"/>
    <w:rsid w:val="00D5524C"/>
    <w:rsid w:val="00D7578F"/>
    <w:rsid w:val="00D869C1"/>
    <w:rsid w:val="00DA548C"/>
    <w:rsid w:val="00DB7FCF"/>
    <w:rsid w:val="00DC5BF9"/>
    <w:rsid w:val="00DF6790"/>
    <w:rsid w:val="00E017B7"/>
    <w:rsid w:val="00E10983"/>
    <w:rsid w:val="00E11FB6"/>
    <w:rsid w:val="00E14A4F"/>
    <w:rsid w:val="00E17ACD"/>
    <w:rsid w:val="00E53704"/>
    <w:rsid w:val="00E57084"/>
    <w:rsid w:val="00E60A14"/>
    <w:rsid w:val="00E62C07"/>
    <w:rsid w:val="00E67CB2"/>
    <w:rsid w:val="00E74C51"/>
    <w:rsid w:val="00E765A0"/>
    <w:rsid w:val="00EA1241"/>
    <w:rsid w:val="00EC1760"/>
    <w:rsid w:val="00EC4A47"/>
    <w:rsid w:val="00EE22AA"/>
    <w:rsid w:val="00EE4C04"/>
    <w:rsid w:val="00F00F1E"/>
    <w:rsid w:val="00F17088"/>
    <w:rsid w:val="00F30B80"/>
    <w:rsid w:val="00F5066B"/>
    <w:rsid w:val="00F56B95"/>
    <w:rsid w:val="00FA25A1"/>
    <w:rsid w:val="00FC04F1"/>
    <w:rsid w:val="00FC276B"/>
    <w:rsid w:val="00FC3CA7"/>
    <w:rsid w:val="00FC66AF"/>
    <w:rsid w:val="00FC7B52"/>
    <w:rsid w:val="00FD7BDB"/>
    <w:rsid w:val="00FF28AB"/>
    <w:rsid w:val="00FF6AD0"/>
    <w:rsid w:val="00FF6E14"/>
    <w:rsid w:val="234568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4568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C483D" w:themeColor="text2"/>
        <w:lang w:val="sr-Latn-R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before="320" w:after="200" w:line="240" w:lineRule="auto"/>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tip">
    <w:name w:val="Logotip"/>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pPr>
      <w:spacing w:after="0" w:line="240" w:lineRule="auto"/>
      <w:jc w:val="right"/>
    </w:pPr>
    <w:rPr>
      <w:rFonts w:asciiTheme="majorHAnsi" w:eastAsiaTheme="majorEastAsia" w:hAnsiTheme="majorHAnsi" w:cstheme="majorBidi"/>
      <w:kern w:val="28"/>
      <w:sz w:val="62"/>
      <w:szCs w:val="62"/>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character" w:customStyle="1" w:styleId="Heading3Char">
    <w:name w:val="Heading 3 Char"/>
    <w:basedOn w:val="DefaultParagraphFont"/>
    <w:link w:val="Heading3"/>
    <w:uiPriority w:val="9"/>
    <w:rPr>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abelazasavet">
    <w:name w:val="Tabela za savet"/>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kstsaveta">
    <w:name w:val="Tekst saveta"/>
    <w:basedOn w:val="Normal"/>
    <w:link w:val="Znaktekstasaveta"/>
    <w:uiPriority w:val="99"/>
    <w:semiHidden/>
    <w:pPr>
      <w:spacing w:before="160" w:after="160" w:line="264" w:lineRule="auto"/>
      <w:ind w:right="576"/>
    </w:pPr>
    <w:rPr>
      <w:rFonts w:asciiTheme="majorHAnsi" w:eastAsiaTheme="majorEastAsia" w:hAnsiTheme="majorHAnsi" w:cstheme="majorBidi"/>
      <w:i/>
      <w:iCs/>
      <w:sz w:val="16"/>
      <w:szCs w:val="16"/>
    </w:rPr>
  </w:style>
  <w:style w:type="paragraph" w:customStyle="1" w:styleId="Ikona">
    <w:name w:val="Ikona"/>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Tabelazaradninalog">
    <w:name w:val="Tabela za radni nalog"/>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Tabelarasporeda">
    <w:name w:val="Tabela rasporeda"/>
    <w:basedOn w:val="TableNormal"/>
    <w:uiPriority w:val="99"/>
    <w:pPr>
      <w:spacing w:before="60" w:after="0" w:line="240" w:lineRule="auto"/>
      <w:ind w:left="144" w:right="144"/>
    </w:pPr>
    <w:tblPr>
      <w:tblCellMar>
        <w:left w:w="0" w:type="dxa"/>
        <w:right w:w="0" w:type="dxa"/>
      </w:tblCellMar>
    </w:tblPr>
  </w:style>
  <w:style w:type="paragraph" w:customStyle="1" w:styleId="Naslovobrasca">
    <w:name w:val="Naslov obrasca"/>
    <w:basedOn w:val="Normal"/>
    <w:next w:val="Normal"/>
    <w:uiPriority w:val="2"/>
    <w:qFormat/>
    <w:pPr>
      <w:spacing w:before="80" w:after="60" w:line="240" w:lineRule="auto"/>
    </w:pPr>
    <w:rPr>
      <w:rFonts w:asciiTheme="majorHAnsi" w:eastAsiaTheme="majorEastAsia" w:hAnsiTheme="majorHAnsi" w:cstheme="majorBidi"/>
      <w:color w:val="F24F4F" w:themeColor="accent1"/>
    </w:rPr>
  </w:style>
  <w:style w:type="paragraph" w:customStyle="1" w:styleId="Ime">
    <w:name w:val="Ime"/>
    <w:basedOn w:val="Normal"/>
    <w:uiPriority w:val="2"/>
    <w:qFormat/>
    <w:pPr>
      <w:spacing w:before="60" w:after="60" w:line="240" w:lineRule="auto"/>
    </w:pPr>
    <w:rPr>
      <w:rFonts w:asciiTheme="majorHAnsi" w:eastAsiaTheme="majorEastAsia" w:hAnsiTheme="majorHAnsi" w:cstheme="majorBidi"/>
      <w:color w:val="F24F4F" w:themeColor="accent1"/>
      <w:sz w:val="36"/>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Tabelasapotpisom">
    <w:name w:val="Tabela sa potpisom"/>
    <w:basedOn w:val="TableNormal"/>
    <w:uiPriority w:val="99"/>
    <w:pPr>
      <w:spacing w:after="0" w:line="240" w:lineRule="auto"/>
    </w:pPr>
    <w:tblPr/>
  </w:style>
  <w:style w:type="paragraph" w:styleId="ListBullet">
    <w:name w:val="List Bullet"/>
    <w:basedOn w:val="Normal"/>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customStyle="1" w:styleId="Poljasainformacijama">
    <w:name w:val="Polja sa informacijama"/>
    <w:basedOn w:val="Tekstsaveta"/>
    <w:link w:val="Znakpoljazainformacije"/>
    <w:qFormat/>
    <w:rsid w:val="00A06E78"/>
    <w:rPr>
      <w:color w:val="404040" w:themeColor="text1" w:themeTint="BF"/>
    </w:rPr>
  </w:style>
  <w:style w:type="character" w:customStyle="1" w:styleId="Znaktekstasaveta">
    <w:name w:val="Znak teksta saveta"/>
    <w:basedOn w:val="DefaultParagraphFont"/>
    <w:link w:val="Tekstsaveta"/>
    <w:uiPriority w:val="99"/>
    <w:semiHidden/>
    <w:rsid w:val="00A06E78"/>
    <w:rPr>
      <w:rFonts w:asciiTheme="majorHAnsi" w:eastAsiaTheme="majorEastAsia" w:hAnsiTheme="majorHAnsi" w:cstheme="majorBidi"/>
      <w:i/>
      <w:iCs/>
      <w:sz w:val="16"/>
      <w:szCs w:val="16"/>
    </w:rPr>
  </w:style>
  <w:style w:type="character" w:customStyle="1" w:styleId="Znakpoljazainformacije">
    <w:name w:val="Znak polja za informacije"/>
    <w:basedOn w:val="Znaktekstasaveta"/>
    <w:link w:val="Poljasainformacijama"/>
    <w:rsid w:val="00A06E78"/>
    <w:rPr>
      <w:rFonts w:asciiTheme="majorHAnsi" w:eastAsiaTheme="majorEastAsia" w:hAnsiTheme="majorHAnsi" w:cstheme="majorBidi"/>
      <w:i/>
      <w:iCs/>
      <w:color w:val="404040" w:themeColor="text1" w:themeTint="BF"/>
      <w:sz w:val="16"/>
      <w:szCs w:val="16"/>
    </w:rPr>
  </w:style>
  <w:style w:type="paragraph" w:styleId="ListParagraph">
    <w:name w:val="List Paragraph"/>
    <w:basedOn w:val="Normal"/>
    <w:uiPriority w:val="34"/>
    <w:unhideWhenUsed/>
    <w:qFormat/>
    <w:rsid w:val="00703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57233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8E50B2C07E3E841B28FEB4477FE6446" ma:contentTypeVersion="4" ma:contentTypeDescription="Create a new document." ma:contentTypeScope="" ma:versionID="ace5308a80353f8722513c04e0b087a0">
  <xsd:schema xmlns:xsd="http://www.w3.org/2001/XMLSchema" xmlns:xs="http://www.w3.org/2001/XMLSchema" xmlns:p="http://schemas.microsoft.com/office/2006/metadata/properties" xmlns:ns2="15121d23-5a39-4313-b29c-10ef82022e9f" targetNamespace="http://schemas.microsoft.com/office/2006/metadata/properties" ma:root="true" ma:fieldsID="6353e62648e9b9bcc00d93129a2754f4" ns2:_="">
    <xsd:import namespace="15121d23-5a39-4313-b29c-10ef82022e9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121d23-5a39-4313-b29c-10ef82022e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DE967C-290F-4FF0-9CB1-10C041E588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121d23-5a39-4313-b29c-10ef82022e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7B5DBC-A036-4BE0-B29D-B17767739814}">
  <ds:schemaRefs>
    <ds:schemaRef ds:uri="http://www.w3.org/XML/1998/namespace"/>
    <ds:schemaRef ds:uri="http://schemas.openxmlformats.org/package/2006/metadata/core-properties"/>
    <ds:schemaRef ds:uri="http://schemas.microsoft.com/office/2006/metadata/properties"/>
    <ds:schemaRef ds:uri="http://purl.org/dc/elements/1.1/"/>
    <ds:schemaRef ds:uri="http://schemas.microsoft.com/office/infopath/2007/PartnerControls"/>
    <ds:schemaRef ds:uri="http://schemas.microsoft.com/office/2006/documentManagement/types"/>
    <ds:schemaRef ds:uri="http://purl.org/dc/dcmitype/"/>
    <ds:schemaRef ds:uri="15121d23-5a39-4313-b29c-10ef82022e9f"/>
    <ds:schemaRef ds:uri="http://purl.org/dc/terms/"/>
  </ds:schemaRefs>
</ds:datastoreItem>
</file>

<file path=customXml/itemProps4.xml><?xml version="1.0" encoding="utf-8"?>
<ds:datastoreItem xmlns:ds="http://schemas.openxmlformats.org/officeDocument/2006/customXml" ds:itemID="{F9B3DFA0-D281-4F60-8635-5152ECC4FE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1175</Words>
  <Characters>6703</Characters>
  <Application>Microsoft Office Word</Application>
  <DocSecurity>0</DocSecurity>
  <Lines>55</Lines>
  <Paragraphs>15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2022-07-12T03:53:00Z</dcterms:created>
  <dcterms:modified xsi:type="dcterms:W3CDTF">2022-08-11T21:03:00Z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0x01010058E50B2C07E3E841B28FEB4477FE6446</vt:lpwstr>
  </property>
</Properties>
</file>