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卷    号</w:t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卷内编号</w:t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    级</w:t>
            </w:r>
          </w:p>
        </w:tc>
      </w:tr>
      <w:tr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智能法律合同审查与生成系统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分  类: &lt;模板&gt;          使用者: &lt;项目管理部&gt;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文档编号：HD-PMC-311</w:t>
      </w:r>
    </w:p>
    <w:p>
      <w:pPr>
        <w:spacing w:line="400" w:lineRule="exact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四川华迪信息技术有限公司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项目问题跟踪表</w:t>
      </w:r>
    </w:p>
    <w:p>
      <w:pPr>
        <w:spacing w:line="400" w:lineRule="exact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Version: 1.0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项 目 承 担 部 门：  软件工程6组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撰  写  人（签名）：  郭家亨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完   成   日   期：  2026-09-10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  <w:t>本文档使用部门：□主管领导    ■项目组</w:t>
        <w:br/>
        <w:t>□客户（市场）  □维护人员  □用户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评审负责人（签名）：郭家亨、陈俊福、查文翔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8"/>
        </w:rPr>
        <w:t>评    审   日   期：  2026-09-10</w:t>
      </w:r>
    </w:p>
    <w:p>
      <w:r>
        <w:br w:type="page"/>
      </w:r>
    </w:p>
    <w:p>
      <w:pPr>
        <w:spacing w:line="40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标题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智能法律合同审查与生成系统项目问题跟踪表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郭家亨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上次更新日期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部门名称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软件工程6组</w:t>
            </w:r>
          </w:p>
        </w:tc>
      </w:tr>
    </w:tbl>
    <w:p>
      <w:pPr>
        <w:spacing w:line="400" w:lineRule="exact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修订文档历史记录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作者</w:t>
            </w:r>
          </w:p>
        </w:tc>
      </w:tr>
      <w:tr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整理开发与测试期间问题及处理结果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郭家亨</w:t>
            </w:r>
          </w:p>
        </w:tc>
      </w:tr>
    </w:tbl>
    <w:p>
      <w:r>
        <w:br w:type="page"/>
      </w:r>
    </w:p>
    <w:p>
      <w:pPr>
        <w:spacing w:line="400" w:lineRule="exact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  录</w:t>
      </w:r>
    </w:p>
    <w:p>
      <w:r>
        <w:fldChar w:fldCharType="begin"/>
        <w:instrText xml:space="preserve">TOC \o "1-3" \h \z \u</w:instrText>
        <w:fldChar w:fldCharType="separate"/>
        <w:t>（目录将在打开文档时更新）</w:t>
        <w:fldChar w:fldCharType="end"/>
      </w:r>
    </w:p>
    <w:p>
      <w:r>
        <w:br w:type="page"/>
      </w:r>
    </w:p>
    <w:p>
      <w:pPr>
        <w:pStyle w:val="Heading1"/>
      </w:pPr>
      <w:r>
        <w:t>1. 说明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本表记录项目开发与测试过程中发现的问题、严重程度、责任人与处理结果，用于跟踪问题闭环，为总结报告提供依据。</w:t>
      </w:r>
    </w:p>
    <w:p>
      <w:pPr>
        <w:pStyle w:val="Heading1"/>
      </w:pPr>
      <w:r>
        <w:t>2. 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处理结果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faiss-cpu 在个别机器安装失败，向量检索不可用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查文翔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代码层自动降级为 NumPy 检索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sentence-transformers 连带 torch 约 2.5GB，安装耗时且占磁盘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郭家亨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语义模型改为可选，默认轻量哈希向量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大模型偶发返回不合法 JSON，审查报告解析失败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陈俊福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封装层增加 JSON 校验与自动重试，失败降级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本机 8000 端口被其他项目占用，后端起不来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郭家亨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统一端口规划，前端代理指向 127.0.0.1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jieba 首次加载词库约一秒，演示观感受影响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陈俊福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后端启动时预加载分词器与向量索引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DeepSeek 模型名填写 deepseekv4pro 返回 400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郭家亨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核对平台支持，改为 deepseek-v4-pro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langgraph 中 create_agent 接口位置变化导致导入失败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郭家亨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改用 langchain.agents.create_agent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联调初期跨域请求被拦，SSE 流式输出偶发中断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陈俊福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前端开发代理转发，SSE 按行分块推送</w:t>
            </w:r>
          </w:p>
        </w:tc>
      </w:tr>
    </w:tbl>
    <w:p>
      <w:pPr>
        <w:pStyle w:val="Heading1"/>
      </w:pPr>
      <w:r>
        <w:t>3. 统计</w:t>
      </w:r>
    </w:p>
    <w:p>
      <w:pPr>
        <w:spacing w:line="400" w:lineRule="exact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开发与测试期间共记录问题 8 项，其中高 1 项、中 6 项、低 1 项，均已关闭，无遗留问题。</w:t>
      </w:r>
    </w:p>
    <w:sectPr w:rsidR="00FC693F" w:rsidRPr="0006063C" w:rsidSect="00034616">
      <w:footerReference w:type="default" r:id="rId9"/>
      <w:pgSz w:w="12240" w:h="15840"/>
      <w:pgMar w:top="1417" w:right="124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 共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40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400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400" w:lineRule="exac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