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lineRule="auto"/>
        <w:jc w:val="center"/>
      </w:pPr>
      <w:r>
        <w:rPr>
          <w:rFonts w:ascii="Arial" w:cs="Arial" w:eastAsia="Arial" w:hAnsi="Arial"/>
          <w:b/>
          <w:bCs/>
          <w:color w:val="C00000"/>
          <w:sz w:val="22"/>
          <w:szCs w:val="22"/>
        </w:rPr>
        <w:t xml:space="preserve">ECOLE SUPERIEURE DE GESTION D'INFORMATIQUE ET DES SCIENCES</w:t>
      </w:r>
    </w:p>
    <w:p>
      <w:pPr>
        <w:spacing w:after="60" w:before="0" w:line="276" w:lineRule="auto"/>
        <w:jc w:val="center"/>
      </w:pPr>
      <w:r>
        <w:rPr>
          <w:rFonts w:ascii="Times New Roman" w:cs="Times New Roman" w:eastAsia="Times New Roman" w:hAnsi="Times New Roman"/>
          <w:sz w:val="20"/>
          <w:szCs w:val="20"/>
        </w:rPr>
        <w:t xml:space="preserve">ESGIS Togo — Lomé</w:t>
      </w:r>
    </w:p>
    <w:p>
      <w:pPr>
        <w:pBdr>
          <w:bottom w:val="single" w:color="C00000" w:sz="8" w:space="1"/>
        </w:pBdr>
        <w:spacing w:after="200" w:before="0" w:line="276" w:lineRule="auto"/>
      </w:pPr>
    </w:p>
    <w:p>
      <w:pPr>
        <w:spacing w:after="60" w:before="60" w:line="276" w:lineRule="auto"/>
      </w:pPr>
      <w:r>
        <w:rPr>
          <w:rFonts w:ascii="Times New Roman" w:cs="Times New Roman" w:eastAsia="Times New Roman" w:hAnsi="Times New Roman"/>
          <w:sz w:val="24"/>
          <w:szCs w:val="24"/>
        </w:rPr>
        <w:t xml:space="preserve"/>
      </w:r>
    </w:p>
    <w:p>
      <w:pPr>
        <w:spacing w:after="60" w:before="60" w:line="276" w:lineRule="auto"/>
      </w:pPr>
      <w:r>
        <w:rPr>
          <w:rFonts w:ascii="Times New Roman" w:cs="Times New Roman" w:eastAsia="Times New Roman" w:hAnsi="Times New Roman"/>
          <w:sz w:val="24"/>
          <w:szCs w:val="24"/>
        </w:rPr>
        <w:t xml:space="preserve"/>
      </w:r>
    </w:p>
    <w:p>
      <w:pPr>
        <w:spacing w:after="60" w:before="60" w:line="276" w:lineRule="auto"/>
      </w:pPr>
      <w:r>
        <w:rPr>
          <w:rFonts w:ascii="Times New Roman" w:cs="Times New Roman" w:eastAsia="Times New Roman" w:hAnsi="Times New Roman"/>
          <w:sz w:val="24"/>
          <w:szCs w:val="24"/>
        </w:rPr>
        <w:t xml:space="preserve"/>
      </w:r>
    </w:p>
    <w:p>
      <w:pPr>
        <w:spacing w:after="80" w:before="0" w:line="276" w:lineRule="auto"/>
        <w:jc w:val="center"/>
      </w:pPr>
      <w:r>
        <w:rPr>
          <w:rFonts w:ascii="Arial" w:cs="Arial" w:eastAsia="Arial" w:hAnsi="Arial"/>
          <w:b/>
          <w:bCs/>
          <w:caps/>
          <w:color w:val="555555"/>
          <w:sz w:val="24"/>
          <w:szCs w:val="24"/>
        </w:rPr>
        <w:t xml:space="preserve">RAPPORT DE PROJET TUTORE</w:t>
      </w:r>
    </w:p>
    <w:p>
      <w:pPr>
        <w:spacing w:after="60" w:before="60" w:line="276" w:lineRule="auto"/>
      </w:pPr>
      <w:r>
        <w:rPr>
          <w:rFonts w:ascii="Times New Roman" w:cs="Times New Roman" w:eastAsia="Times New Roman" w:hAnsi="Times New Roman"/>
          <w:sz w:val="24"/>
          <w:szCs w:val="24"/>
        </w:rPr>
        <w:t xml:space="preserve"/>
      </w:r>
    </w:p>
    <w:p>
      <w:pPr>
        <w:spacing w:after="80" w:before="160" w:line="276" w:lineRule="auto"/>
        <w:jc w:val="center"/>
      </w:pPr>
      <w:r>
        <w:rPr>
          <w:rFonts w:ascii="Arial" w:cs="Arial" w:eastAsia="Arial" w:hAnsi="Arial"/>
          <w:b/>
          <w:bCs/>
          <w:color w:val="C00000"/>
          <w:sz w:val="64"/>
          <w:szCs w:val="64"/>
        </w:rPr>
        <w:t xml:space="preserve">FoodSense</w:t>
      </w:r>
    </w:p>
    <w:p>
      <w:pPr>
        <w:spacing w:after="200" w:before="0" w:line="276" w:lineRule="auto"/>
        <w:jc w:val="center"/>
      </w:pPr>
      <w:r>
        <w:rPr>
          <w:rFonts w:ascii="Arial" w:cs="Arial" w:eastAsia="Arial" w:hAnsi="Arial"/>
          <w:color w:val="444444"/>
          <w:sz w:val="28"/>
          <w:szCs w:val="28"/>
        </w:rPr>
        <w:t xml:space="preserve">Moteur de Recherche Sémantique pour Produits Alimentaires</w:t>
      </w:r>
    </w:p>
    <w:p>
      <w:pPr>
        <w:spacing w:after="60" w:before="60" w:line="276" w:lineRule="auto"/>
      </w:pPr>
      <w:r>
        <w:rPr>
          <w:rFonts w:ascii="Times New Roman" w:cs="Times New Roman" w:eastAsia="Times New Roman" w:hAnsi="Times New Roman"/>
          <w:sz w:val="24"/>
          <w:szCs w:val="24"/>
        </w:rPr>
        <w:t xml:space="preserve"/>
      </w:r>
    </w:p>
    <w:p>
      <w:pPr>
        <w:spacing w:after="60" w:before="60" w:line="276" w:lineRule="auto"/>
      </w:pPr>
      <w:r>
        <w:rPr>
          <w:rFonts w:ascii="Times New Roman" w:cs="Times New Roman" w:eastAsia="Times New Roman" w:hAnsi="Times New Roman"/>
          <w:sz w:val="24"/>
          <w:szCs w:val="24"/>
        </w:rPr>
        <w:t xml:space="preserve"/>
      </w:r>
    </w:p>
    <w:p>
      <w:pPr>
        <w:spacing w:after="60" w:before="60" w:line="276" w:lineRule="auto"/>
      </w:pPr>
      <w:r>
        <w:rPr>
          <w:rFonts w:ascii="Times New Roman" w:cs="Times New Roman" w:eastAsia="Times New Roman" w:hAnsi="Times New Roman"/>
          <w:sz w:val="24"/>
          <w:szCs w:val="24"/>
        </w:rPr>
        <w:t xml:space="preserve"/>
      </w:r>
    </w:p>
    <w:p>
      <w:pPr>
        <w:pBdr>
          <w:top w:val="single" w:color="CCCCCC" w:sz="4" w:space="1"/>
        </w:pBdr>
        <w:spacing w:after="80" w:before="160" w:line="276" w:lineRule="auto"/>
      </w:pPr>
    </w:p>
    <w:p>
      <w:pPr>
        <w:spacing w:after="60" w:before="60" w:line="276" w:lineRule="auto"/>
      </w:pPr>
      <w:r>
        <w:rPr>
          <w:rFonts w:ascii="Times New Roman" w:cs="Times New Roman" w:eastAsia="Times New Roman" w:hAnsi="Times New Roman"/>
          <w:b/>
          <w:bCs/>
          <w:sz w:val="22"/>
          <w:szCs w:val="22"/>
        </w:rPr>
        <w:t xml:space="preserve">Filière : </w:t>
      </w:r>
      <w:r>
        <w:rPr>
          <w:rFonts w:ascii="Times New Roman" w:cs="Times New Roman" w:eastAsia="Times New Roman" w:hAnsi="Times New Roman"/>
          <w:sz w:val="22"/>
          <w:szCs w:val="22"/>
        </w:rPr>
        <w:t xml:space="preserve">Intelligence Artificielle &amp; Big Data</w:t>
      </w:r>
    </w:p>
    <w:p>
      <w:pPr>
        <w:spacing w:after="60" w:before="60" w:line="276" w:lineRule="auto"/>
      </w:pPr>
      <w:r>
        <w:rPr>
          <w:rFonts w:ascii="Times New Roman" w:cs="Times New Roman" w:eastAsia="Times New Roman" w:hAnsi="Times New Roman"/>
          <w:b/>
          <w:bCs/>
          <w:sz w:val="22"/>
          <w:szCs w:val="22"/>
        </w:rPr>
        <w:t xml:space="preserve">Niveau : </w:t>
      </w:r>
      <w:r>
        <w:rPr>
          <w:rFonts w:ascii="Times New Roman" w:cs="Times New Roman" w:eastAsia="Times New Roman" w:hAnsi="Times New Roman"/>
          <w:sz w:val="22"/>
          <w:szCs w:val="22"/>
        </w:rPr>
        <w:t xml:space="preserve">Licence 3</w:t>
      </w:r>
    </w:p>
    <w:p>
      <w:pPr>
        <w:spacing w:after="60" w:before="60" w:line="276" w:lineRule="auto"/>
      </w:pPr>
      <w:r>
        <w:rPr>
          <w:rFonts w:ascii="Times New Roman" w:cs="Times New Roman" w:eastAsia="Times New Roman" w:hAnsi="Times New Roman"/>
          <w:sz w:val="24"/>
          <w:szCs w:val="24"/>
        </w:rPr>
        <w:t xml:space="preserve"/>
      </w:r>
    </w:p>
    <w:p>
      <w:pPr>
        <w:spacing w:after="60" w:before="60" w:line="276" w:lineRule="auto"/>
      </w:pPr>
      <w:r>
        <w:rPr>
          <w:rFonts w:ascii="Times New Roman" w:cs="Times New Roman" w:eastAsia="Times New Roman" w:hAnsi="Times New Roman"/>
          <w:b/>
          <w:bCs/>
          <w:sz w:val="22"/>
          <w:szCs w:val="22"/>
        </w:rPr>
        <w:t xml:space="preserve">Réalisé par : </w:t>
      </w:r>
      <w:r>
        <w:rPr>
          <w:rFonts w:ascii="Times New Roman" w:cs="Times New Roman" w:eastAsia="Times New Roman" w:hAnsi="Times New Roman"/>
          <w:sz w:val="22"/>
          <w:szCs w:val="22"/>
        </w:rPr>
        <w:t xml:space="preserve">[Prénom NOM de l'étudiant]</w:t>
      </w:r>
    </w:p>
    <w:p>
      <w:pPr>
        <w:spacing w:after="60" w:before="60" w:line="276" w:lineRule="auto"/>
      </w:pPr>
      <w:r>
        <w:rPr>
          <w:rFonts w:ascii="Times New Roman" w:cs="Times New Roman" w:eastAsia="Times New Roman" w:hAnsi="Times New Roman"/>
          <w:b/>
          <w:bCs/>
          <w:sz w:val="22"/>
          <w:szCs w:val="22"/>
        </w:rPr>
        <w:t xml:space="preserve">Encadreur : </w:t>
      </w:r>
      <w:r>
        <w:rPr>
          <w:rFonts w:ascii="Times New Roman" w:cs="Times New Roman" w:eastAsia="Times New Roman" w:hAnsi="Times New Roman"/>
          <w:sz w:val="22"/>
          <w:szCs w:val="22"/>
        </w:rPr>
        <w:t xml:space="preserve">TCHAYE-KONDI Jude, Ph.D.</w:t>
      </w:r>
    </w:p>
    <w:p>
      <w:pPr>
        <w:spacing w:after="60" w:before="60" w:line="276" w:lineRule="auto"/>
      </w:pPr>
      <w:r>
        <w:rPr>
          <w:rFonts w:ascii="Times New Roman" w:cs="Times New Roman" w:eastAsia="Times New Roman" w:hAnsi="Times New Roman"/>
          <w:sz w:val="24"/>
          <w:szCs w:val="24"/>
        </w:rPr>
        <w:t xml:space="preserve"/>
      </w:r>
    </w:p>
    <w:p>
      <w:pPr>
        <w:spacing w:after="60" w:before="60" w:line="276" w:lineRule="auto"/>
      </w:pPr>
      <w:r>
        <w:rPr>
          <w:rFonts w:ascii="Times New Roman" w:cs="Times New Roman" w:eastAsia="Times New Roman" w:hAnsi="Times New Roman"/>
          <w:sz w:val="24"/>
          <w:szCs w:val="24"/>
        </w:rPr>
        <w:t xml:space="preserve"/>
      </w:r>
    </w:p>
    <w:p>
      <w:pPr>
        <w:spacing w:after="0" w:before="120" w:line="276" w:lineRule="auto"/>
        <w:jc w:val="center"/>
      </w:pPr>
      <w:r>
        <w:rPr>
          <w:rFonts w:ascii="Times New Roman" w:cs="Times New Roman" w:eastAsia="Times New Roman" w:hAnsi="Times New Roman"/>
          <w:b/>
          <w:bCs/>
          <w:color w:val="555555"/>
          <w:sz w:val="22"/>
          <w:szCs w:val="22"/>
        </w:rPr>
        <w:t xml:space="preserve">Année académique : 2024 - 2025</w:t>
      </w:r>
    </w:p>
    <w:p>
      <w:pPr>
        <w:sectPr>
          <w:pgSz w:w="11906" w:h="16838" w:orient="portrait"/>
          <w:pgMar w:top="850" w:right="1000" w:bottom="850" w:left="1000" w:header="708" w:footer="708" w:gutter="0"/>
          <w:pgNumType/>
          <w:docGrid w:linePitch="360"/>
        </w:sectPr>
      </w:pPr>
    </w:p>
    <w:p>
      <w:pPr>
        <w:pStyle w:val="Heading1"/>
        <w:spacing w:after="120" w:before="300" w:line="276" w:lineRule="auto"/>
      </w:pPr>
      <w:r>
        <w:rPr>
          <w:rFonts w:ascii="Arial" w:cs="Arial" w:eastAsia="Arial" w:hAnsi="Arial"/>
          <w:b/>
          <w:bCs/>
          <w:color w:val="C00000"/>
          <w:sz w:val="30"/>
          <w:szCs w:val="30"/>
        </w:rPr>
        <w:t xml:space="preserve">Sommaire</w:t>
      </w:r>
    </w:p>
    <w:p>
      <w:pPr>
        <w:spacing w:after="80" w:before="80" w:line="280" w:lineRule="auto"/>
        <w:jc w:val="both"/>
      </w:pPr>
      <w:r>
        <w:rPr>
          <w:rFonts w:ascii="Times New Roman" w:cs="Times New Roman" w:eastAsia="Times New Roman" w:hAnsi="Times New Roman"/>
          <w:sz w:val="24"/>
          <w:szCs w:val="24"/>
        </w:rPr>
        <w:t xml:space="preserve">1.  Introduction &amp; Cadrage ......................................................................................  2</w:t>
      </w:r>
    </w:p>
    <w:p>
      <w:pPr>
        <w:spacing w:after="80" w:before="80" w:line="280" w:lineRule="auto"/>
        <w:jc w:val="both"/>
      </w:pPr>
      <w:r>
        <w:rPr>
          <w:rFonts w:ascii="Times New Roman" w:cs="Times New Roman" w:eastAsia="Times New Roman" w:hAnsi="Times New Roman"/>
          <w:sz w:val="24"/>
          <w:szCs w:val="24"/>
        </w:rPr>
        <w:t xml:space="preserve">2.  Analyse Exploratoire des Données (EDA) ................................................................  3</w:t>
      </w:r>
    </w:p>
    <w:p>
      <w:pPr>
        <w:spacing w:after="80" w:before="80" w:line="280" w:lineRule="auto"/>
        <w:jc w:val="both"/>
      </w:pPr>
      <w:r>
        <w:rPr>
          <w:rFonts w:ascii="Times New Roman" w:cs="Times New Roman" w:eastAsia="Times New Roman" w:hAnsi="Times New Roman"/>
          <w:sz w:val="24"/>
          <w:szCs w:val="24"/>
        </w:rPr>
        <w:t xml:space="preserve">3.  Architecture Système &amp; Choix Technologiques ........................................................  6</w:t>
      </w:r>
    </w:p>
    <w:p>
      <w:pPr>
        <w:spacing w:after="80" w:before="80" w:line="280" w:lineRule="auto"/>
        <w:jc w:val="both"/>
      </w:pPr>
      <w:r>
        <w:rPr>
          <w:rFonts w:ascii="Times New Roman" w:cs="Times New Roman" w:eastAsia="Times New Roman" w:hAnsi="Times New Roman"/>
          <w:sz w:val="24"/>
          <w:szCs w:val="24"/>
        </w:rPr>
        <w:t xml:space="preserve">4.  Modélisation, RAG &amp; Évolution V2 ........................................................................  8</w:t>
      </w:r>
    </w:p>
    <w:p>
      <w:pPr>
        <w:spacing w:after="80" w:before="80" w:line="280" w:lineRule="auto"/>
        <w:jc w:val="both"/>
      </w:pPr>
      <w:r>
        <w:rPr>
          <w:rFonts w:ascii="Times New Roman" w:cs="Times New Roman" w:eastAsia="Times New Roman" w:hAnsi="Times New Roman"/>
          <w:sz w:val="24"/>
          <w:szCs w:val="24"/>
        </w:rPr>
        <w:t xml:space="preserve">5.  Déploiement &amp; Reproductibilité ............................................................................  11</w:t>
      </w:r>
    </w:p>
    <w:p>
      <w:pPr>
        <w:spacing w:after="80" w:before="80" w:line="280" w:lineRule="auto"/>
        <w:jc w:val="both"/>
      </w:pPr>
      <w:r>
        <w:rPr>
          <w:rFonts w:ascii="Times New Roman" w:cs="Times New Roman" w:eastAsia="Times New Roman" w:hAnsi="Times New Roman"/>
          <w:sz w:val="24"/>
          <w:szCs w:val="24"/>
        </w:rPr>
        <w:t xml:space="preserve">6.  Répartition du travail .............................................................................................  13</w:t>
      </w:r>
    </w:p>
    <w:p>
      <w:r>
        <w:br w:type="page"/>
      </w:r>
    </w:p>
    <w:p>
      <w:pPr>
        <w:pStyle w:val="Heading1"/>
        <w:spacing w:after="120" w:before="300" w:line="276" w:lineRule="auto"/>
      </w:pPr>
      <w:r>
        <w:rPr>
          <w:rFonts w:ascii="Arial" w:cs="Arial" w:eastAsia="Arial" w:hAnsi="Arial"/>
          <w:b/>
          <w:bCs/>
          <w:color w:val="C00000"/>
          <w:sz w:val="30"/>
          <w:szCs w:val="30"/>
        </w:rPr>
        <w:t xml:space="preserve">1. Introduction &amp; Cadrage</w:t>
      </w:r>
    </w:p>
    <w:p>
      <w:pPr>
        <w:pStyle w:val="Heading2"/>
        <w:spacing w:after="80" w:before="200" w:line="276" w:lineRule="auto"/>
      </w:pPr>
      <w:r>
        <w:rPr>
          <w:rFonts w:ascii="Arial" w:cs="Arial" w:eastAsia="Arial" w:hAnsi="Arial"/>
          <w:b/>
          <w:bCs/>
          <w:sz w:val="26"/>
          <w:szCs w:val="26"/>
        </w:rPr>
        <w:t xml:space="preserve">1.1 Le problème de la recherche par mots-clés</w:t>
      </w:r>
    </w:p>
    <w:p>
      <w:pPr>
        <w:spacing w:after="80" w:before="80" w:line="280" w:lineRule="auto"/>
        <w:jc w:val="both"/>
      </w:pPr>
      <w:r>
        <w:rPr>
          <w:rFonts w:ascii="Times New Roman" w:cs="Times New Roman" w:eastAsia="Times New Roman" w:hAnsi="Times New Roman"/>
          <w:sz w:val="24"/>
          <w:szCs w:val="24"/>
        </w:rPr>
        <w:t xml:space="preserve">Les moteurs de recherche alimentaires classiques reposent sur la correspondance exacte de mots-clés. Un utilisateur qui saisit « protéines végétales à faible indice glycémique » ne trouvera aucun résultat si aucun produit ne contient exactement ces termes dans sa description. Cette limite structurelle conduit à deux problèmes distincts : le silence (résultats pertinents non retournés) et le bruit (résultats non pertinents contenant les mots-clés). Pour les produits alimentaires, où les descripteurs varient selon la langue, la marque et le contexte culturel, ce gap est particulièrement critique.</w:t>
      </w:r>
    </w:p>
    <w:p>
      <w:pPr>
        <w:spacing w:after="80" w:before="80" w:line="280" w:lineRule="auto"/>
        <w:jc w:val="both"/>
      </w:pPr>
      <w:r>
        <w:rPr>
          <w:rFonts w:ascii="Times New Roman" w:cs="Times New Roman" w:eastAsia="Times New Roman" w:hAnsi="Times New Roman"/>
          <w:sz w:val="24"/>
          <w:szCs w:val="24"/>
        </w:rPr>
        <w:t xml:space="preserve">La recherche sémantique répond à ce problème en comparant le sens des requêtes et des documents plutôt que leurs mots. Un produit décrit comme « riche en protéines et pauvre en glucides » sera retrouvé par une requête sur les « aliments pour sportifs à faible teneur en sucre » sans aucune correspondance lexicale directe.</w:t>
      </w:r>
    </w:p>
    <w:p>
      <w:pPr>
        <w:pStyle w:val="Heading2"/>
        <w:spacing w:after="80" w:before="200" w:line="276" w:lineRule="auto"/>
      </w:pPr>
      <w:r>
        <w:rPr>
          <w:rFonts w:ascii="Arial" w:cs="Arial" w:eastAsia="Arial" w:hAnsi="Arial"/>
          <w:b/>
          <w:bCs/>
          <w:sz w:val="26"/>
          <w:szCs w:val="26"/>
        </w:rPr>
        <w:t xml:space="preserve">1.2 FoodSense : objectif et périmètre</w:t>
      </w:r>
    </w:p>
    <w:p>
      <w:pPr>
        <w:spacing w:after="80" w:before="80" w:line="280" w:lineRule="auto"/>
        <w:jc w:val="both"/>
      </w:pPr>
      <w:r>
        <w:rPr>
          <w:rFonts w:ascii="Times New Roman" w:cs="Times New Roman" w:eastAsia="Times New Roman" w:hAnsi="Times New Roman"/>
          <w:sz w:val="24"/>
          <w:szCs w:val="24"/>
        </w:rPr>
        <w:t xml:space="preserve">FoodSense est un moteur de recherche sémantique pour produits alimentaires construit avec une architecture complète de bout en bout : pipeline de données, modèle d'embedding, base vectorielle, API et interface utilisateur. Le projet est structuré en deux versions successives.</w:t>
      </w:r>
    </w:p>
    <w:p>
      <w:pPr>
        <w:spacing w:after="80" w:before="80" w:line="280" w:lineRule="auto"/>
        <w:jc w:val="both"/>
      </w:pPr>
      <w:r>
        <w:rPr>
          <w:rFonts w:ascii="Times New Roman" w:cs="Times New Roman" w:eastAsia="Times New Roman" w:hAnsi="Times New Roman"/>
          <w:sz w:val="24"/>
          <w:szCs w:val="24"/>
        </w:rPr>
        <w:t xml:space="preserve">La V1 exploite le dataset Amazon Fine Food Reviews, imposé dans le cadre du projet. En l'absence de catalogue produit officiel dans ce dataset, le document de recherche est reconstruit depuis les avis utilisateurs agrégés. Ce cadrage est assumé et documenté : la V1 démontre la viabilité de l'architecture sur des données imparfaites, avec des métriques d'évaluation mesurables.</w:t>
      </w:r>
    </w:p>
    <w:p>
      <w:pPr>
        <w:spacing w:after="80" w:before="80" w:line="280" w:lineRule="auto"/>
        <w:jc w:val="both"/>
      </w:pPr>
      <w:r>
        <w:rPr>
          <w:rFonts w:ascii="Times New Roman" w:cs="Times New Roman" w:eastAsia="Times New Roman" w:hAnsi="Times New Roman"/>
          <w:sz w:val="24"/>
          <w:szCs w:val="24"/>
        </w:rPr>
        <w:t xml:space="preserve">La V2, en cours de déploiement, corrige les limites fondamentales de la V1 en intégrant trois sources institutionnelles : Open Food Facts (fiches produits), USDA Foundation Foods (données nutritionnelles certifiées) et ESCI (benchmark d'évaluation). Cette transition illustre la démarche itérative d'amélioration continue propre à tout projet IA.</w:t>
      </w:r>
    </w:p>
    <w:p>
      <w:r>
        <w:br w:type="page"/>
      </w:r>
    </w:p>
    <w:p>
      <w:pPr>
        <w:pStyle w:val="Heading1"/>
        <w:spacing w:after="120" w:before="300" w:line="276" w:lineRule="auto"/>
      </w:pPr>
      <w:r>
        <w:rPr>
          <w:rFonts w:ascii="Arial" w:cs="Arial" w:eastAsia="Arial" w:hAnsi="Arial"/>
          <w:b/>
          <w:bCs/>
          <w:color w:val="C00000"/>
          <w:sz w:val="30"/>
          <w:szCs w:val="30"/>
        </w:rPr>
        <w:t xml:space="preserve">2. Analyse Exploratoire des Données (EDA)</w:t>
      </w:r>
    </w:p>
    <w:p>
      <w:pPr>
        <w:spacing w:after="80" w:before="80" w:line="280" w:lineRule="auto"/>
        <w:jc w:val="both"/>
      </w:pPr>
      <w:r>
        <w:rPr>
          <w:rFonts w:ascii="Times New Roman" w:cs="Times New Roman" w:eastAsia="Times New Roman" w:hAnsi="Times New Roman"/>
          <w:sz w:val="24"/>
          <w:szCs w:val="24"/>
        </w:rPr>
        <w:t xml:space="preserve">Cette section présente l'analyse exploratoire menée exclusivement sur le dataset Amazon Fine Food Reviews, source de données principale de la V1. L'EDA est une étape critique : elle conditionne les choix de transformation et révèle les biais à anticiper dans l'évaluation.</w:t>
      </w:r>
    </w:p>
    <w:p>
      <w:pPr>
        <w:pStyle w:val="Heading2"/>
        <w:spacing w:after="80" w:before="200" w:line="276" w:lineRule="auto"/>
      </w:pPr>
      <w:r>
        <w:rPr>
          <w:rFonts w:ascii="Arial" w:cs="Arial" w:eastAsia="Arial" w:hAnsi="Arial"/>
          <w:b/>
          <w:bCs/>
          <w:sz w:val="26"/>
          <w:szCs w:val="26"/>
        </w:rPr>
        <w:t xml:space="preserve">2.1 Présentation du dataset</w:t>
      </w:r>
    </w:p>
    <w:p>
      <w:pPr>
        <w:spacing w:after="80" w:before="80" w:line="280" w:lineRule="auto"/>
        <w:jc w:val="both"/>
      </w:pPr>
      <w:r>
        <w:rPr>
          <w:rFonts w:ascii="Times New Roman" w:cs="Times New Roman" w:eastAsia="Times New Roman" w:hAnsi="Times New Roman"/>
          <w:sz w:val="24"/>
          <w:szCs w:val="24"/>
        </w:rPr>
        <w:t xml:space="preserve">Le dataset Amazon Fine Food Reviews contient 568 454 avis clients publiés sur Amazon entre octobre 1999 et octobre 2012. Il couvre 74 258 identifiants produits uniques (ProductId) et 256 059 utilisateurs distincts. Chaque enregistrement comprend un identifiant produit, un identifiant utilisateur, une note (1 à 5 étoiles), un résumé court (Summary) et un texte d'avis long (Text). La colonne ProductId est un code alphanumérique opaque (ex. B001E4KFG0) sans correspondance avec un nom de produit officiel.</w:t>
      </w:r>
    </w:p>
    <w:p>
      <w:pPr>
        <w:spacing w:after="60" w:before="60" w:line="276" w:lineRule="auto"/>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Attribut</w:t>
            </w:r>
          </w:p>
        </w:tc>
        <w:tc>
          <w:tcPr>
            <w:tcW w:type="dxa" w:w="5026"/>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Valeur</w:t>
            </w:r>
          </w:p>
        </w:tc>
      </w:tr>
      <w:tr>
        <w:trPr>
          <w:tblHeader w:val="false"/>
        </w:trP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Nombre total d'avis</w:t>
            </w:r>
          </w:p>
        </w:tc>
        <w:tc>
          <w:tcPr>
            <w:tcW w:type="dxa" w:w="5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568 454</w:t>
            </w:r>
          </w:p>
        </w:tc>
      </w:tr>
      <w:tr>
        <w:trPr>
          <w:tblHeader w:val="false"/>
        </w:trP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Produits uniques (ProductId)</w:t>
            </w:r>
          </w:p>
        </w:tc>
        <w:tc>
          <w:tcPr>
            <w:tcW w:type="dxa" w:w="5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74 258</w:t>
            </w:r>
          </w:p>
        </w:tc>
      </w:tr>
      <w:tr>
        <w:trPr>
          <w:tblHeader w:val="false"/>
        </w:trP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Utilisateurs uniques</w:t>
            </w:r>
          </w:p>
        </w:tc>
        <w:tc>
          <w:tcPr>
            <w:tcW w:type="dxa" w:w="5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256 059</w:t>
            </w:r>
          </w:p>
        </w:tc>
      </w:tr>
      <w:tr>
        <w:trPr>
          <w:tblHeader w:val="false"/>
        </w:trP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Période couverte</w:t>
            </w:r>
          </w:p>
        </w:tc>
        <w:tc>
          <w:tcPr>
            <w:tcW w:type="dxa" w:w="5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Oct. 1999 — Oct. 2012</w:t>
            </w:r>
          </w:p>
        </w:tc>
      </w:tr>
      <w:tr>
        <w:trPr>
          <w:tblHeader w:val="false"/>
        </w:trP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Note minimale / maximale</w:t>
            </w:r>
          </w:p>
        </w:tc>
        <w:tc>
          <w:tcPr>
            <w:tcW w:type="dxa" w:w="5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1★ / 5★</w:t>
            </w:r>
          </w:p>
        </w:tc>
      </w:tr>
      <w:tr>
        <w:trPr>
          <w:tblHeader w:val="false"/>
        </w:trP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Taille moyenne du texte d'avis</w:t>
            </w:r>
          </w:p>
        </w:tc>
        <w:tc>
          <w:tcPr>
            <w:tcW w:type="dxa" w:w="5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~80 mots</w:t>
            </w:r>
          </w:p>
        </w:tc>
      </w:tr>
      <w:tr>
        <w:trPr>
          <w:tblHeader w:val="false"/>
        </w:trP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Taille moyenne du résumé</w:t>
            </w:r>
          </w:p>
        </w:tc>
        <w:tc>
          <w:tcPr>
            <w:tcW w:type="dxa" w:w="5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~5 mots</w:t>
            </w:r>
          </w:p>
        </w:tc>
      </w:tr>
    </w:tbl>
    <w:p>
      <w:pPr>
        <w:spacing w:after="60" w:before="60" w:line="276" w:lineRule="auto"/>
      </w:pPr>
      <w:r>
        <w:rPr>
          <w:rFonts w:ascii="Times New Roman" w:cs="Times New Roman" w:eastAsia="Times New Roman" w:hAnsi="Times New Roman"/>
          <w:sz w:val="24"/>
          <w:szCs w:val="24"/>
        </w:rPr>
        <w:t xml:space="preserve"/>
      </w:r>
    </w:p>
    <w:p>
      <w:pPr>
        <w:pStyle w:val="Heading2"/>
        <w:spacing w:after="80" w:before="200" w:line="276" w:lineRule="auto"/>
      </w:pPr>
      <w:r>
        <w:rPr>
          <w:rFonts w:ascii="Arial" w:cs="Arial" w:eastAsia="Arial" w:hAnsi="Arial"/>
          <w:b/>
          <w:bCs/>
          <w:sz w:val="26"/>
          <w:szCs w:val="26"/>
        </w:rPr>
        <w:t xml:space="preserve">2.2 Distribution des notes</w:t>
      </w:r>
    </w:p>
    <w:p>
      <w:pPr>
        <w:spacing w:after="80" w:before="80" w:line="280" w:lineRule="auto"/>
        <w:jc w:val="both"/>
      </w:pPr>
      <w:r>
        <w:rPr>
          <w:rFonts w:ascii="Times New Roman" w:cs="Times New Roman" w:eastAsia="Times New Roman" w:hAnsi="Times New Roman"/>
          <w:sz w:val="24"/>
          <w:szCs w:val="24"/>
        </w:rPr>
        <w:t xml:space="preserve">La distribution des notes présente une forte asymétrie vers les notes positives, phénomène bien documenté dans la littérature sur les avis en ligne (J-shaped distribution). Les avis à 5 étoiles représentent à eux seuls 56,6 % du corpus, suivis des avis à 4 étoiles (18,1 %). Les avis négatifs (1 et 2 étoiles) ne représentent que 15,8 % du total.</w:t>
      </w:r>
    </w:p>
    <w:p>
      <w:pPr>
        <w:spacing w:after="60" w:before="60" w:line="276" w:lineRule="auto"/>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Note</w:t>
            </w:r>
          </w:p>
        </w:tc>
        <w:tc>
          <w:tcPr>
            <w:tcW w:type="dxa" w:w="35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Nombre d'avis</w:t>
            </w:r>
          </w:p>
        </w:tc>
        <w:tc>
          <w:tcPr>
            <w:tcW w:type="dxa" w:w="3026"/>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Proportion</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5 étoiles</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321 538</w:t>
            </w:r>
          </w:p>
        </w:tc>
        <w:tc>
          <w:tcPr>
            <w:tcW w:type="dxa" w:w="3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56,6 %</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4 étoiles</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102 856</w:t>
            </w:r>
          </w:p>
        </w:tc>
        <w:tc>
          <w:tcPr>
            <w:tcW w:type="dxa" w:w="3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18,1 %</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3 étoiles</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53 982</w:t>
            </w:r>
          </w:p>
        </w:tc>
        <w:tc>
          <w:tcPr>
            <w:tcW w:type="dxa" w:w="3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9,5 %</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2 étoiles</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33 498</w:t>
            </w:r>
          </w:p>
        </w:tc>
        <w:tc>
          <w:tcPr>
            <w:tcW w:type="dxa" w:w="3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5,9 %</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1 étoile</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56 580</w:t>
            </w:r>
          </w:p>
        </w:tc>
        <w:tc>
          <w:tcPr>
            <w:tcW w:type="dxa" w:w="3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9,9 %</w:t>
            </w:r>
          </w:p>
        </w:tc>
      </w:tr>
    </w:tbl>
    <w:p>
      <w:pPr>
        <w:spacing w:after="60" w:before="60" w:line="276" w:lineRule="auto"/>
      </w:pPr>
      <w:r>
        <w:rPr>
          <w:rFonts w:ascii="Times New Roman" w:cs="Times New Roman" w:eastAsia="Times New Roman" w:hAnsi="Times New Roman"/>
          <w:sz w:val="24"/>
          <w:szCs w:val="24"/>
        </w:rPr>
        <w:t xml:space="preserve"/>
      </w:r>
    </w:p>
    <w:p>
      <w:pPr>
        <w:spacing w:after="80" w:before="80" w:line="280" w:lineRule="auto"/>
        <w:jc w:val="both"/>
      </w:pPr>
      <w:r>
        <w:rPr>
          <w:rFonts w:ascii="Times New Roman" w:cs="Times New Roman" w:eastAsia="Times New Roman" w:hAnsi="Times New Roman"/>
          <w:sz w:val="24"/>
          <w:szCs w:val="24"/>
        </w:rPr>
        <w:t xml:space="preserve">Ce déséquilibre a une implication directe sur la construction des documents produits : les résumés extraits des avis seront naturellement biaisés vers le positif. Pour compenser, la note moyenne pondérée (HelpfulnessNumerator / HelpfulnessDenominator) est intégrée dans le score de document afin de pondérer les avis jugés les plus utiles.</w:t>
      </w:r>
    </w:p>
    <w:p>
      <w:pPr>
        <w:pStyle w:val="Heading2"/>
        <w:spacing w:after="80" w:before="200" w:line="276" w:lineRule="auto"/>
      </w:pPr>
      <w:r>
        <w:rPr>
          <w:rFonts w:ascii="Arial" w:cs="Arial" w:eastAsia="Arial" w:hAnsi="Arial"/>
          <w:b/>
          <w:bCs/>
          <w:sz w:val="26"/>
          <w:szCs w:val="26"/>
        </w:rPr>
        <w:t xml:space="preserve">2.3 Distribution des avis par produit</w:t>
      </w:r>
    </w:p>
    <w:p>
      <w:pPr>
        <w:spacing w:after="80" w:before="80" w:line="280" w:lineRule="auto"/>
        <w:jc w:val="both"/>
      </w:pPr>
      <w:r>
        <w:rPr>
          <w:rFonts w:ascii="Times New Roman" w:cs="Times New Roman" w:eastAsia="Times New Roman" w:hAnsi="Times New Roman"/>
          <w:sz w:val="24"/>
          <w:szCs w:val="24"/>
        </w:rPr>
        <w:t xml:space="preserve">La distribution des avis par produit est très concentrée. 62,4 % des produits n'ont qu'un seul avis, rendant la construction d'un document de recherche agrégé statistiquement peu fiable pour cette majorité. Seuls 8,2 % des produits disposent de plus de 10 avis, représentant pourtant 53,7 % du volume total d'avis. Le pipeline de données intègre un filtre de seuil minimum de 3 avis par produit pour garantir une représentation suffisante.</w:t>
      </w:r>
    </w:p>
    <w:p>
      <w:pPr>
        <w:spacing w:after="60" w:before="60" w:line="276" w:lineRule="auto"/>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rPr>
          <w:tblHeader/>
        </w:trPr>
        <w:tc>
          <w:tcPr>
            <w:tcW w:type="dxa" w:w="32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Seuil d'avis</w:t>
            </w:r>
          </w:p>
        </w:tc>
        <w:tc>
          <w:tcPr>
            <w:tcW w:type="dxa" w:w="32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Produits concernés</w:t>
            </w:r>
          </w:p>
        </w:tc>
        <w:tc>
          <w:tcPr>
            <w:tcW w:type="dxa" w:w="2626"/>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 du total produits</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1 avis uniquement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46 337</w:t>
            </w:r>
          </w:p>
        </w:tc>
        <w:tc>
          <w:tcPr>
            <w:tcW w:type="dxa" w:w="2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62,4 %</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2 à 5 avis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18 521</w:t>
            </w:r>
          </w:p>
        </w:tc>
        <w:tc>
          <w:tcPr>
            <w:tcW w:type="dxa" w:w="2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24,9 %</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6 à 10 avis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3 297</w:t>
            </w:r>
          </w:p>
        </w:tc>
        <w:tc>
          <w:tcPr>
            <w:tcW w:type="dxa" w:w="2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4,4 %</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Plus de 10 avis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6 103</w:t>
            </w:r>
          </w:p>
        </w:tc>
        <w:tc>
          <w:tcPr>
            <w:tcW w:type="dxa" w:w="2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8,2 %</w:t>
            </w:r>
          </w:p>
        </w:tc>
      </w:tr>
    </w:tbl>
    <w:p>
      <w:pPr>
        <w:spacing w:after="60" w:before="60" w:line="276" w:lineRule="auto"/>
      </w:pPr>
      <w:r>
        <w:rPr>
          <w:rFonts w:ascii="Times New Roman" w:cs="Times New Roman" w:eastAsia="Times New Roman" w:hAnsi="Times New Roman"/>
          <w:sz w:val="24"/>
          <w:szCs w:val="24"/>
        </w:rPr>
        <w:t xml:space="preserve"/>
      </w:r>
    </w:p>
    <w:p>
      <w:pPr>
        <w:pStyle w:val="Heading2"/>
        <w:spacing w:after="80" w:before="200" w:line="276" w:lineRule="auto"/>
      </w:pPr>
      <w:r>
        <w:rPr>
          <w:rFonts w:ascii="Arial" w:cs="Arial" w:eastAsia="Arial" w:hAnsi="Arial"/>
          <w:b/>
          <w:bCs/>
          <w:sz w:val="26"/>
          <w:szCs w:val="26"/>
        </w:rPr>
        <w:t xml:space="preserve">2.4 Longueur des avis</w:t>
      </w:r>
    </w:p>
    <w:p>
      <w:pPr>
        <w:spacing w:after="80" w:before="80" w:line="280" w:lineRule="auto"/>
        <w:jc w:val="both"/>
      </w:pPr>
      <w:r>
        <w:rPr>
          <w:rFonts w:ascii="Times New Roman" w:cs="Times New Roman" w:eastAsia="Times New Roman" w:hAnsi="Times New Roman"/>
          <w:sz w:val="24"/>
          <w:szCs w:val="24"/>
        </w:rPr>
        <w:t xml:space="preserve">La longueur médiane du texte d'avis est de 62 mots, avec une forte variance : certains avis dépassent 500 mots, d'autres se réduisent à un seul mot. Le résumé (Summary) est systématiquement plus court, avec une médiane de 4 mots. Ces deux champs constituent la matière première du search_text construit en V1.</w:t>
      </w:r>
    </w:p>
    <w:p>
      <w:pPr>
        <w:pStyle w:val="Heading2"/>
        <w:spacing w:after="80" w:before="200" w:line="276" w:lineRule="auto"/>
      </w:pPr>
      <w:r>
        <w:rPr>
          <w:rFonts w:ascii="Arial" w:cs="Arial" w:eastAsia="Arial" w:hAnsi="Arial"/>
          <w:b/>
          <w:bCs/>
          <w:sz w:val="26"/>
          <w:szCs w:val="26"/>
        </w:rPr>
        <w:t xml:space="preserve">2.5 Biais identifiés et implications</w:t>
      </w:r>
    </w:p>
    <w:p>
      <w:pPr>
        <w:spacing w:after="80" w:before="80" w:line="280" w:lineRule="auto"/>
        <w:jc w:val="both"/>
      </w:pPr>
      <w:r>
        <w:rPr>
          <w:rFonts w:ascii="Times New Roman" w:cs="Times New Roman" w:eastAsia="Times New Roman" w:hAnsi="Times New Roman"/>
          <w:sz w:val="24"/>
          <w:szCs w:val="24"/>
        </w:rPr>
        <w:t xml:space="preserve">L'EDA révèle trois biais structurels majeurs dans le dataset.</w:t>
      </w:r>
    </w:p>
    <w:p>
      <w:pPr>
        <w:spacing w:after="80" w:before="80" w:line="280" w:lineRule="auto"/>
        <w:jc w:val="both"/>
      </w:pPr>
      <w:r>
        <w:rPr>
          <w:rFonts w:ascii="Times New Roman" w:cs="Times New Roman" w:eastAsia="Times New Roman" w:hAnsi="Times New Roman"/>
          <w:sz w:val="24"/>
          <w:szCs w:val="24"/>
        </w:rPr>
        <w:t xml:space="preserve">Le biais de complaisance (positivity bias) : 74,7 % des avis sont à 4 ou 5 étoiles. Les documents produits construits depuis ces avis surestiment systématiquement la qualité perçue.</w:t>
      </w:r>
    </w:p>
    <w:p>
      <w:pPr>
        <w:spacing w:after="80" w:before="80" w:line="280" w:lineRule="auto"/>
        <w:jc w:val="both"/>
      </w:pPr>
      <w:r>
        <w:rPr>
          <w:rFonts w:ascii="Times New Roman" w:cs="Times New Roman" w:eastAsia="Times New Roman" w:hAnsi="Times New Roman"/>
          <w:sz w:val="24"/>
          <w:szCs w:val="24"/>
        </w:rPr>
        <w:t xml:space="preserve">Le biais de popularité (popularity bias) : les produits très commentés sont surreprésentés dans l'espace vectoriel, ce qui peut avantager les produits populaires dans les résultats de recherche indépendamment de leur pertinence sémantique réelle.</w:t>
      </w:r>
    </w:p>
    <w:p>
      <w:pPr>
        <w:spacing w:after="80" w:before="80" w:line="280" w:lineRule="auto"/>
        <w:jc w:val="both"/>
      </w:pPr>
      <w:r>
        <w:rPr>
          <w:rFonts w:ascii="Times New Roman" w:cs="Times New Roman" w:eastAsia="Times New Roman" w:hAnsi="Times New Roman"/>
          <w:sz w:val="24"/>
          <w:szCs w:val="24"/>
        </w:rPr>
        <w:t xml:space="preserve">L'absence de catalogue produit est la limite la plus critique : le ProductId est un identifiant opaque sans nom, marque, catégorie ni données nutritionnelles. Le moteur V1 cherche dans des avis reconstitués, non dans de vraies fiches produits. C'est cette limite qui motive directement la construction de la V2 avec Open Food Facts et USDA.</w:t>
      </w:r>
    </w:p>
    <w:p>
      <w:r>
        <w:br w:type="page"/>
      </w:r>
    </w:p>
    <w:p>
      <w:pPr>
        <w:pStyle w:val="Heading1"/>
        <w:spacing w:after="120" w:before="300" w:line="276" w:lineRule="auto"/>
      </w:pPr>
      <w:r>
        <w:rPr>
          <w:rFonts w:ascii="Arial" w:cs="Arial" w:eastAsia="Arial" w:hAnsi="Arial"/>
          <w:b/>
          <w:bCs/>
          <w:color w:val="C00000"/>
          <w:sz w:val="30"/>
          <w:szCs w:val="30"/>
        </w:rPr>
        <w:t xml:space="preserve">3. Architecture Système &amp; Choix Technologiques</w:t>
      </w:r>
    </w:p>
    <w:p>
      <w:pPr>
        <w:pStyle w:val="Heading2"/>
        <w:spacing w:after="80" w:before="200" w:line="276" w:lineRule="auto"/>
      </w:pPr>
      <w:r>
        <w:rPr>
          <w:rFonts w:ascii="Arial" w:cs="Arial" w:eastAsia="Arial" w:hAnsi="Arial"/>
          <w:b/>
          <w:bCs/>
          <w:sz w:val="26"/>
          <w:szCs w:val="26"/>
        </w:rPr>
        <w:t xml:space="preserve">3.1 Vue d'ensemble de l'architecture</w:t>
      </w:r>
    </w:p>
    <w:p>
      <w:pPr>
        <w:spacing w:after="80" w:before="80" w:line="280" w:lineRule="auto"/>
        <w:jc w:val="both"/>
      </w:pPr>
      <w:r>
        <w:rPr>
          <w:rFonts w:ascii="Times New Roman" w:cs="Times New Roman" w:eastAsia="Times New Roman" w:hAnsi="Times New Roman"/>
          <w:sz w:val="24"/>
          <w:szCs w:val="24"/>
        </w:rPr>
        <w:t xml:space="preserve">FoodSense adopte une architecture en couches indépendantes communicant via HTTP/JSON. Chaque couche peut être remplacée ou mise à l'échelle indépendamment des autres.</w:t>
      </w:r>
    </w:p>
    <w:p>
      <w:pPr>
        <w:spacing w:after="60" w:before="60" w:line="276" w:lineRule="auto"/>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Couche</w:t>
            </w:r>
          </w:p>
        </w:tc>
        <w:tc>
          <w:tcPr>
            <w:tcW w:type="dxa" w:w="2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Composant</w:t>
            </w:r>
          </w:p>
        </w:tc>
        <w:tc>
          <w:tcPr>
            <w:tcW w:type="dxa" w:w="4226"/>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Rôle</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Données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PostgreSQL + Parquet</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Stockage relationnel et artefacts pipeline</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Modèle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Ollama / bge-m3</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Génération des embeddings textuels</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Vectoriel</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Qdrant</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Indexation et recherche par similarité</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API</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FastAPI</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Exposition des routes /search et /summarize</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Frontend</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Next.js + TypeScript</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Interface utilisateur web</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Orchestration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Docker Compose</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Déploiement multi-conteneurs reproductible</w:t>
            </w:r>
          </w:p>
        </w:tc>
      </w:tr>
    </w:tbl>
    <w:p>
      <w:pPr>
        <w:spacing w:after="60" w:before="60" w:line="276" w:lineRule="auto"/>
      </w:pPr>
      <w:r>
        <w:rPr>
          <w:rFonts w:ascii="Times New Roman" w:cs="Times New Roman" w:eastAsia="Times New Roman" w:hAnsi="Times New Roman"/>
          <w:sz w:val="24"/>
          <w:szCs w:val="24"/>
        </w:rPr>
        <w:t xml:space="preserve"/>
      </w:r>
    </w:p>
    <w:p>
      <w:pPr>
        <w:pStyle w:val="Heading2"/>
        <w:spacing w:after="80" w:before="200" w:line="276" w:lineRule="auto"/>
      </w:pPr>
      <w:r>
        <w:rPr>
          <w:rFonts w:ascii="Arial" w:cs="Arial" w:eastAsia="Arial" w:hAnsi="Arial"/>
          <w:b/>
          <w:bCs/>
          <w:sz w:val="26"/>
          <w:szCs w:val="26"/>
        </w:rPr>
        <w:t xml:space="preserve">3.2 Polars pour le traitement des données</w:t>
      </w:r>
    </w:p>
    <w:p>
      <w:pPr>
        <w:spacing w:after="80" w:before="80" w:line="280" w:lineRule="auto"/>
        <w:jc w:val="both"/>
      </w:pPr>
      <w:r>
        <w:rPr>
          <w:rFonts w:ascii="Times New Roman" w:cs="Times New Roman" w:eastAsia="Times New Roman" w:hAnsi="Times New Roman"/>
          <w:sz w:val="24"/>
          <w:szCs w:val="24"/>
        </w:rPr>
        <w:t xml:space="preserve">Polars est retenu à la place de Pandas pour trois raisons techniques. Premièrement, Polars utilise un moteur d'exécution columnar en Rust, avec traitement paresseux (lazy evaluation) qui évite de charger le dataset entier en mémoire. Le dump CSV Open Food Facts (plusieurs gigaoctets) est traité en un seul passage avec un budget mémoire maîtrisé grâce au paramètre n_rows. Deuxièmement, l'API Polars permet d'exprimer les transformations comme des expressions vectorisées (pl.col, .str.strip_chars, .filter), sans boucles Python qui seraient plusieurs fois plus lentes. Troisièmement, la lecture et écriture du format Parquet est native dans Polars, ce qui simplifie les échanges entre les étapes du pipeline.</w:t>
      </w:r>
    </w:p>
    <w:p>
      <w:pPr>
        <w:pStyle w:val="Heading2"/>
        <w:spacing w:after="80" w:before="200" w:line="276" w:lineRule="auto"/>
      </w:pPr>
      <w:r>
        <w:rPr>
          <w:rFonts w:ascii="Arial" w:cs="Arial" w:eastAsia="Arial" w:hAnsi="Arial"/>
          <w:b/>
          <w:bCs/>
          <w:sz w:val="26"/>
          <w:szCs w:val="26"/>
        </w:rPr>
        <w:t xml:space="preserve">3.3 Qdrant pour l'indexation vectorielle</w:t>
      </w:r>
    </w:p>
    <w:p>
      <w:pPr>
        <w:spacing w:after="80" w:before="80" w:line="280" w:lineRule="auto"/>
        <w:jc w:val="both"/>
      </w:pPr>
      <w:r>
        <w:rPr>
          <w:rFonts w:ascii="Times New Roman" w:cs="Times New Roman" w:eastAsia="Times New Roman" w:hAnsi="Times New Roman"/>
          <w:sz w:val="24"/>
          <w:szCs w:val="24"/>
        </w:rPr>
        <w:t xml:space="preserve">Qdrant est une base de données vectorielle open source spécialisée dans la recherche par similarité. Elle est retenue pour quatre raisons. Le support natif de la similarité cosinus est essentiel pour les embeddings de texte, où la direction du vecteur compte plus que sa norme. Le payload filtering permet de filtrer les résultats par métadonnées (Nutri-Score, catégorie) sans post-traitement côté application. La compatibilité Docker simplifie le déploiement local et cloud (Qdrant Cloud). Enfin, l'API REST/gRPC permet une intégration directe avec FastAPI sans dépendance lourde.</w:t>
      </w:r>
    </w:p>
    <w:p>
      <w:pPr>
        <w:pStyle w:val="Heading2"/>
        <w:spacing w:after="80" w:before="200" w:line="276" w:lineRule="auto"/>
      </w:pPr>
      <w:r>
        <w:rPr>
          <w:rFonts w:ascii="Arial" w:cs="Arial" w:eastAsia="Arial" w:hAnsi="Arial"/>
          <w:b/>
          <w:bCs/>
          <w:sz w:val="26"/>
          <w:szCs w:val="26"/>
        </w:rPr>
        <w:t xml:space="preserve">3.4 PostgreSQL pour le stockage relationnel</w:t>
      </w:r>
    </w:p>
    <w:p>
      <w:pPr>
        <w:spacing w:after="80" w:before="80" w:line="280" w:lineRule="auto"/>
        <w:jc w:val="both"/>
      </w:pPr>
      <w:r>
        <w:rPr>
          <w:rFonts w:ascii="Times New Roman" w:cs="Times New Roman" w:eastAsia="Times New Roman" w:hAnsi="Times New Roman"/>
          <w:sz w:val="24"/>
          <w:szCs w:val="24"/>
        </w:rPr>
        <w:t xml:space="preserve">PostgreSQL joue le rôle de couche de référence relationnelle en V2. Le schéma foodsense_v2 centralise les données issues des trois sources (Open Food Facts, USDA, ESCI) dans des tables normalisées. L'idempotence est garantie par la clause ON CONFLICT DO UPDATE sur chaque import, ce qui permet de relancer le pipeline sans créer de doublons. PostgreSQL stocke également les payloads JSON bruts pour auditabilité.</w:t>
      </w:r>
    </w:p>
    <w:p>
      <w:pPr>
        <w:pStyle w:val="Heading2"/>
        <w:spacing w:after="80" w:before="200" w:line="276" w:lineRule="auto"/>
      </w:pPr>
      <w:r>
        <w:rPr>
          <w:rFonts w:ascii="Arial" w:cs="Arial" w:eastAsia="Arial" w:hAnsi="Arial"/>
          <w:b/>
          <w:bCs/>
          <w:sz w:val="26"/>
          <w:szCs w:val="26"/>
        </w:rPr>
        <w:t xml:space="preserve">3.5 Ollama pour l'indépendance locale</w:t>
      </w:r>
    </w:p>
    <w:p>
      <w:pPr>
        <w:spacing w:after="80" w:before="80" w:line="280" w:lineRule="auto"/>
        <w:jc w:val="both"/>
      </w:pPr>
      <w:r>
        <w:rPr>
          <w:rFonts w:ascii="Times New Roman" w:cs="Times New Roman" w:eastAsia="Times New Roman" w:hAnsi="Times New Roman"/>
          <w:sz w:val="24"/>
          <w:szCs w:val="24"/>
        </w:rPr>
        <w:t xml:space="preserve">Ollama est un gestionnaire de modèles LLM qui permet d'exécuter des modèles de grande taille localement, sans dépendance à des API payantes (OpenAI, Cohere, etc.). Il expose une API REST locale compatible avec le format OpenAI, ce qui simplifie l'intégration dans FastAPI. Le modèle bge-m3 (BAAI General Embedding, version multilingue) est déployé via Ollama. Ce choix garantit que le projet est entièrement exécutable sur une machine locale sans coût d'API et sans dépendance réseau externe en production.</w:t>
      </w:r>
    </w:p>
    <w:p>
      <w:r>
        <w:br w:type="page"/>
      </w:r>
    </w:p>
    <w:p>
      <w:pPr>
        <w:pStyle w:val="Heading1"/>
        <w:spacing w:after="120" w:before="300" w:line="276" w:lineRule="auto"/>
      </w:pPr>
      <w:r>
        <w:rPr>
          <w:rFonts w:ascii="Arial" w:cs="Arial" w:eastAsia="Arial" w:hAnsi="Arial"/>
          <w:b/>
          <w:bCs/>
          <w:color w:val="C00000"/>
          <w:sz w:val="30"/>
          <w:szCs w:val="30"/>
        </w:rPr>
        <w:t xml:space="preserve">4. Modélisation, RAG &amp; Évolution V2</w:t>
      </w:r>
    </w:p>
    <w:p>
      <w:pPr>
        <w:pStyle w:val="Heading2"/>
        <w:spacing w:after="80" w:before="200" w:line="276" w:lineRule="auto"/>
      </w:pPr>
      <w:r>
        <w:rPr>
          <w:rFonts w:ascii="Arial" w:cs="Arial" w:eastAsia="Arial" w:hAnsi="Arial"/>
          <w:b/>
          <w:bCs/>
          <w:sz w:val="26"/>
          <w:szCs w:val="26"/>
        </w:rPr>
        <w:t xml:space="preserve">4.1 Choix de l'approche : recherche sémantique non supervisée</w:t>
      </w:r>
    </w:p>
    <w:p>
      <w:pPr>
        <w:spacing w:after="80" w:before="80" w:line="280" w:lineRule="auto"/>
        <w:jc w:val="both"/>
      </w:pPr>
      <w:r>
        <w:rPr>
          <w:rFonts w:ascii="Times New Roman" w:cs="Times New Roman" w:eastAsia="Times New Roman" w:hAnsi="Times New Roman"/>
          <w:sz w:val="24"/>
          <w:szCs w:val="24"/>
        </w:rPr>
        <w:t xml:space="preserve">FoodSense est un problème de recherche d'information, non de classification ni de régression. Il n'existe pas de labels « pertinent / non pertinent » pour toutes les paires requête-produit possibles, ce qui exclut l'apprentissage supervisé classique. L'approche retenue est la recherche sémantique par similarité vectorielle : chaque document produit et chaque requête sont transformés en vecteur dense dans un espace de haute dimension. La recherche consiste à trouver les vecteurs produits les plus proches du vecteur requête selon la distance cosinus.</w:t>
      </w:r>
    </w:p>
    <w:p>
      <w:pPr>
        <w:pStyle w:val="Heading2"/>
        <w:spacing w:after="80" w:before="200" w:line="276" w:lineRule="auto"/>
      </w:pPr>
      <w:r>
        <w:rPr>
          <w:rFonts w:ascii="Arial" w:cs="Arial" w:eastAsia="Arial" w:hAnsi="Arial"/>
          <w:b/>
          <w:bCs/>
          <w:sz w:val="26"/>
          <w:szCs w:val="26"/>
        </w:rPr>
        <w:t xml:space="preserve">4.2 Embeddings avec bge-m3</w:t>
      </w:r>
    </w:p>
    <w:p>
      <w:pPr>
        <w:spacing w:after="80" w:before="80" w:line="280" w:lineRule="auto"/>
        <w:jc w:val="both"/>
      </w:pPr>
      <w:r>
        <w:rPr>
          <w:rFonts w:ascii="Times New Roman" w:cs="Times New Roman" w:eastAsia="Times New Roman" w:hAnsi="Times New Roman"/>
          <w:sz w:val="24"/>
          <w:szCs w:val="24"/>
        </w:rPr>
        <w:t xml:space="preserve">Le modèle BGE-M3 (BAAI General Embedding) est un modèle Transformer multilingue qui produit des vecteurs de 1 024 dimensions. Il est entraîné sur des données couvrant plus de 100 langues, ce qui le rend particulièrement adapté aux requêtes alimentaires françaises qui mêlent souvent des termes d'origine diverse (latin scientifique, anglicismes, marques). Les textes sont tronqués à 1 200 caractères avant vectorisation pour stabiliser Ollama sur les machines à ressources limitées.</w:t>
      </w:r>
    </w:p>
    <w:p>
      <w:pPr>
        <w:spacing w:after="80" w:before="80" w:line="280" w:lineRule="auto"/>
        <w:jc w:val="both"/>
      </w:pPr>
      <w:r>
        <w:rPr>
          <w:rFonts w:ascii="Times New Roman" w:cs="Times New Roman" w:eastAsia="Times New Roman" w:hAnsi="Times New Roman"/>
          <w:sz w:val="24"/>
          <w:szCs w:val="24"/>
        </w:rPr>
        <w:t xml:space="preserve">La génération des embeddings est orchestrée par le script 03_generate_embeddings.py. Il intègre un système de checkpoint toutes les 100 embeddings qui sauvegarde les vecteurs sur disque et permet la reprise automatique sur interruption. La progression est tracée en temps réel dans embedding_status.json, consultable depuis le notebook EDA.</w:t>
      </w:r>
    </w:p>
    <w:p>
      <w:pPr>
        <w:pStyle w:val="Heading2"/>
        <w:spacing w:after="80" w:before="200" w:line="276" w:lineRule="auto"/>
      </w:pPr>
      <w:r>
        <w:rPr>
          <w:rFonts w:ascii="Arial" w:cs="Arial" w:eastAsia="Arial" w:hAnsi="Arial"/>
          <w:b/>
          <w:bCs/>
          <w:sz w:val="26"/>
          <w:szCs w:val="26"/>
        </w:rPr>
        <w:t xml:space="preserve">4.3 Construction du search_text</w:t>
      </w:r>
    </w:p>
    <w:p>
      <w:pPr>
        <w:spacing w:after="80" w:before="80" w:line="280" w:lineRule="auto"/>
        <w:jc w:val="both"/>
      </w:pPr>
      <w:r>
        <w:rPr>
          <w:rFonts w:ascii="Times New Roman" w:cs="Times New Roman" w:eastAsia="Times New Roman" w:hAnsi="Times New Roman"/>
          <w:sz w:val="24"/>
          <w:szCs w:val="24"/>
        </w:rPr>
        <w:t xml:space="preserve">La qualité des embeddings dépend directement du texte vectorisé. En V1, le search_text est construit depuis les avis Amazon agrégés : résumé (Summary), texte long (Text), note moyenne et nombre d'avis. En V2, le search_text intègre les champs structurés des fiches produits : nom du produit, marque, catégories nettoyées, les 400 premiers caractères des ingrédients, les allergènes et le Nutri-Score (exprimé en langage naturel : « Nutri-Score A »). Les valeurs nutritionnelles brutes (chiffres) sont explicitement exclues pour éviter d'introduire du bruit dans l'espace sémantique.</w:t>
      </w:r>
    </w:p>
    <w:p>
      <w:pPr>
        <w:pStyle w:val="Heading2"/>
        <w:spacing w:after="80" w:before="200" w:line="276" w:lineRule="auto"/>
      </w:pPr>
      <w:r>
        <w:rPr>
          <w:rFonts w:ascii="Arial" w:cs="Arial" w:eastAsia="Arial" w:hAnsi="Arial"/>
          <w:b/>
          <w:bCs/>
          <w:sz w:val="26"/>
          <w:szCs w:val="26"/>
        </w:rPr>
        <w:t xml:space="preserve">4.4 Stratégie semantic_hybrid et évaluation</w:t>
      </w:r>
    </w:p>
    <w:p>
      <w:pPr>
        <w:spacing w:after="80" w:before="80" w:line="280" w:lineRule="auto"/>
        <w:jc w:val="both"/>
      </w:pPr>
      <w:r>
        <w:rPr>
          <w:rFonts w:ascii="Times New Roman" w:cs="Times New Roman" w:eastAsia="Times New Roman" w:hAnsi="Times New Roman"/>
          <w:sz w:val="24"/>
          <w:szCs w:val="24"/>
        </w:rPr>
        <w:t xml:space="preserve">La stratégie semantic_hybrid combine la recherche vectorielle dans Qdrant avec un fallback lexical par correspondance de mots-clés. En cas d'échec de l'embedding (Ollama indisponible ou timeout), la recherche bascule automatiquement en mode lexical. Ce mécanisme garantit la disponibilité du service dans tous les contextes.</w:t>
      </w:r>
    </w:p>
    <w:p>
      <w:pPr>
        <w:spacing w:after="60" w:before="60" w:line="276" w:lineRule="auto"/>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526"/>
      </w:tblGrid>
      <w:tr>
        <w:trPr>
          <w:tblHeader/>
        </w:trPr>
        <w:tc>
          <w:tcPr>
            <w:tcW w:type="dxa" w:w="25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Métrique</w:t>
            </w:r>
          </w:p>
        </w:tc>
        <w:tc>
          <w:tcPr>
            <w:tcW w:type="dxa" w:w="25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Baseline keyword</w:t>
            </w:r>
          </w:p>
        </w:tc>
        <w:tc>
          <w:tcPr>
            <w:tcW w:type="dxa" w:w="25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Sémantique hybrid</w:t>
            </w:r>
          </w:p>
        </w:tc>
        <w:tc>
          <w:tcPr>
            <w:tcW w:type="dxa" w:w="1526"/>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Gain</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Precision@3</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0.6667</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0.7500</w:t>
            </w:r>
          </w:p>
        </w:tc>
        <w:tc>
          <w:tcPr>
            <w:tcW w:type="dxa" w:w="1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+8,3 pts</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Success@3</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0.7500</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1.0000</w:t>
            </w:r>
          </w:p>
        </w:tc>
        <w:tc>
          <w:tcPr>
            <w:tcW w:type="dxa" w:w="1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+25,0 pts</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MRR</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0.7500</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0.8333</w:t>
            </w:r>
          </w:p>
        </w:tc>
        <w:tc>
          <w:tcPr>
            <w:tcW w:type="dxa" w:w="1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+8,3 pts</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Fallback déclenché</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0 (0 %)</w:t>
            </w:r>
          </w:p>
        </w:tc>
        <w:tc>
          <w:tcPr>
            <w:tcW w:type="dxa" w:w="1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w:t>
            </w:r>
          </w:p>
        </w:tc>
      </w:tr>
    </w:tbl>
    <w:p>
      <w:pPr>
        <w:spacing w:after="60" w:before="60" w:line="276" w:lineRule="auto"/>
      </w:pPr>
      <w:r>
        <w:rPr>
          <w:rFonts w:ascii="Times New Roman" w:cs="Times New Roman" w:eastAsia="Times New Roman" w:hAnsi="Times New Roman"/>
          <w:sz w:val="24"/>
          <w:szCs w:val="24"/>
        </w:rPr>
        <w:t xml:space="preserve"/>
      </w:r>
    </w:p>
    <w:p>
      <w:pPr>
        <w:spacing w:after="80" w:before="80" w:line="280" w:lineRule="auto"/>
        <w:jc w:val="both"/>
      </w:pPr>
      <w:r>
        <w:rPr>
          <w:rFonts w:ascii="Times New Roman" w:cs="Times New Roman" w:eastAsia="Times New Roman" w:hAnsi="Times New Roman"/>
          <w:sz w:val="24"/>
          <w:szCs w:val="24"/>
        </w:rPr>
        <w:t xml:space="preserve">Le gain le plus significatif est sur le Success@3 (+25 points) : le moteur sémantique trouve un résultat pertinent dans les 3 premiers pour 100 % des requêtes, contre 75 % pour la baseline. Aucun fallback n'a été déclenché lors des tests, confirmant la stabilité de la chaîne Ollama → Qdrant.</w:t>
      </w:r>
    </w:p>
    <w:p>
      <w:pPr>
        <w:pStyle w:val="Heading2"/>
        <w:spacing w:after="80" w:before="200" w:line="276" w:lineRule="auto"/>
      </w:pPr>
      <w:r>
        <w:rPr>
          <w:rFonts w:ascii="Arial" w:cs="Arial" w:eastAsia="Arial" w:hAnsi="Arial"/>
          <w:b/>
          <w:bCs/>
          <w:sz w:val="26"/>
          <w:szCs w:val="26"/>
        </w:rPr>
        <w:t xml:space="preserve">4.5 Transition vers la V2 : RAG local sans API payante</w:t>
      </w:r>
    </w:p>
    <w:p>
      <w:pPr>
        <w:spacing w:after="80" w:before="80" w:line="280" w:lineRule="auto"/>
        <w:jc w:val="both"/>
      </w:pPr>
      <w:r>
        <w:rPr>
          <w:rFonts w:ascii="Times New Roman" w:cs="Times New Roman" w:eastAsia="Times New Roman" w:hAnsi="Times New Roman"/>
          <w:sz w:val="24"/>
          <w:szCs w:val="24"/>
        </w:rPr>
        <w:t xml:space="preserve">Les limites de la V1 ont conduit à une refonte de la couche de données en V2. L'objectif est de construire un système RAG (Retrieval-Augmented Generation) local : l'utilisateur pose une question nutritionnelle, le moteur récupère les fiches produits pertinentes depuis Qdrant, et un LLM local (via Ollama) génère une réponse enrichie des données récupérées. Ce pipeline RAG fonctionne entièrement en local, sans dépendance à des API payantes comme GPT-4 ou Claude API.</w:t>
      </w:r>
    </w:p>
    <w:p>
      <w:pPr>
        <w:spacing w:after="80" w:before="80" w:line="280" w:lineRule="auto"/>
        <w:jc w:val="both"/>
      </w:pPr>
      <w:r>
        <w:rPr>
          <w:rFonts w:ascii="Times New Roman" w:cs="Times New Roman" w:eastAsia="Times New Roman" w:hAnsi="Times New Roman"/>
          <w:sz w:val="24"/>
          <w:szCs w:val="24"/>
        </w:rPr>
        <w:t xml:space="preserve">L'intégration d'Open Food Facts comme source principale répond aux trois limites identifiées en V1 : les ProductId opaques sont remplacés par de vrais noms de produits, le Nutri-Score et les informations nutritionnelles officielles enrichissent les résultats, et les catégories structurées permettent un filtrage facette côté frontend. USDA Foundation Foods apporte une dimension d'enrichissement nutritionnel certifié pour les aliments de base non couverts par Open Food Facts. ESCI fournit un benchmark d'évaluation basé sur de vraies requêtes avec labels de pertinence annotés par Amazon.</w:t>
      </w:r>
    </w:p>
    <w:p>
      <w:r>
        <w:br w:type="page"/>
      </w:r>
    </w:p>
    <w:p>
      <w:pPr>
        <w:pStyle w:val="Heading1"/>
        <w:spacing w:after="120" w:before="300" w:line="276" w:lineRule="auto"/>
      </w:pPr>
      <w:r>
        <w:rPr>
          <w:rFonts w:ascii="Arial" w:cs="Arial" w:eastAsia="Arial" w:hAnsi="Arial"/>
          <w:b/>
          <w:bCs/>
          <w:color w:val="C00000"/>
          <w:sz w:val="30"/>
          <w:szCs w:val="30"/>
        </w:rPr>
        <w:t xml:space="preserve">5. Déploiement &amp; Reproductibilité</w:t>
      </w:r>
    </w:p>
    <w:p>
      <w:pPr>
        <w:pStyle w:val="Heading2"/>
        <w:spacing w:after="80" w:before="200" w:line="276" w:lineRule="auto"/>
      </w:pPr>
      <w:r>
        <w:rPr>
          <w:rFonts w:ascii="Arial" w:cs="Arial" w:eastAsia="Arial" w:hAnsi="Arial"/>
          <w:b/>
          <w:bCs/>
          <w:sz w:val="26"/>
          <w:szCs w:val="26"/>
        </w:rPr>
        <w:t xml:space="preserve">5.1 Orchestration Docker Compose</w:t>
      </w:r>
    </w:p>
    <w:p>
      <w:pPr>
        <w:spacing w:after="80" w:before="80" w:line="280" w:lineRule="auto"/>
        <w:jc w:val="both"/>
      </w:pPr>
      <w:r>
        <w:rPr>
          <w:rFonts w:ascii="Times New Roman" w:cs="Times New Roman" w:eastAsia="Times New Roman" w:hAnsi="Times New Roman"/>
          <w:sz w:val="24"/>
          <w:szCs w:val="24"/>
        </w:rPr>
        <w:t xml:space="preserve">L'ensemble du système est orchestré par Docker Compose. Chaque service dispose de son propre conteneur isolé et communique avec les autres via le réseau interne Docker. Cette approche garantit la reproductibilité : le système démarrera identiquement sur n'importe quelle machine disposant de Docker, sans configuration manuelle des dépendances. Conformément à l'exigence de l'encadrant, le démarrage complet s'effectue en une commande :</w:t>
      </w:r>
    </w:p>
    <w:p>
      <w:pPr>
        <w:spacing w:after="80" w:before="80" w:line="280" w:lineRule="auto"/>
        <w:jc w:val="left"/>
      </w:pPr>
      <w:r>
        <w:rPr>
          <w:rFonts w:ascii="Times New Roman" w:cs="Times New Roman" w:eastAsia="Times New Roman" w:hAnsi="Times New Roman"/>
          <w:sz w:val="24"/>
          <w:szCs w:val="24"/>
        </w:rPr>
        <w:t xml:space="preserve">.\scripts\start_docker_stack.ps1 -IncludePostgres -IncludeUI</w:t>
      </w:r>
    </w:p>
    <w:p>
      <w:pPr>
        <w:spacing w:after="60" w:before="60" w:line="276" w:lineRule="auto"/>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800"/>
        <w:gridCol w:w="2926"/>
      </w:tblGrid>
      <w:tr>
        <w:trPr>
          <w:tblHeader/>
        </w:trPr>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Service</w:t>
            </w:r>
          </w:p>
        </w:tc>
        <w:tc>
          <w:tcPr>
            <w:tcW w:type="dxa" w:w="25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Image / Source</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Port exposé</w:t>
            </w:r>
          </w:p>
        </w:tc>
        <w:tc>
          <w:tcPr>
            <w:tcW w:type="dxa" w:w="2926"/>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Rôle</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qdrant</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qdrant/qdrant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6333</w:t>
            </w:r>
          </w:p>
        </w:tc>
        <w:tc>
          <w:tcPr>
            <w:tcW w:type="dxa" w:w="29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Base vectorielle + dashboard</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postgres</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postgres:15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5432</w:t>
            </w:r>
          </w:p>
        </w:tc>
        <w:tc>
          <w:tcPr>
            <w:tcW w:type="dxa" w:w="29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Stockage relationnel V2</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backend</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build ./backend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8000</w:t>
            </w:r>
          </w:p>
        </w:tc>
        <w:tc>
          <w:tcPr>
            <w:tcW w:type="dxa" w:w="29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API FastAPI + Swagger</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frontend</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build ./frontend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3000</w:t>
            </w:r>
          </w:p>
        </w:tc>
        <w:tc>
          <w:tcPr>
            <w:tcW w:type="dxa" w:w="29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Interface Next.js</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ollama</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ollama/ollama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11434</w:t>
            </w:r>
          </w:p>
        </w:tc>
        <w:tc>
          <w:tcPr>
            <w:tcW w:type="dxa" w:w="29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Serveur LLM et embedding</w:t>
            </w:r>
          </w:p>
        </w:tc>
      </w:tr>
    </w:tbl>
    <w:p>
      <w:pPr>
        <w:spacing w:after="60" w:before="60" w:line="276" w:lineRule="auto"/>
      </w:pPr>
      <w:r>
        <w:rPr>
          <w:rFonts w:ascii="Times New Roman" w:cs="Times New Roman" w:eastAsia="Times New Roman" w:hAnsi="Times New Roman"/>
          <w:sz w:val="24"/>
          <w:szCs w:val="24"/>
        </w:rPr>
        <w:t xml:space="preserve"/>
      </w:r>
    </w:p>
    <w:p>
      <w:pPr>
        <w:pStyle w:val="Heading2"/>
        <w:spacing w:after="80" w:before="200" w:line="276" w:lineRule="auto"/>
      </w:pPr>
      <w:r>
        <w:rPr>
          <w:rFonts w:ascii="Arial" w:cs="Arial" w:eastAsia="Arial" w:hAnsi="Arial"/>
          <w:b/>
          <w:bCs/>
          <w:sz w:val="26"/>
          <w:szCs w:val="26"/>
        </w:rPr>
        <w:t xml:space="preserve">5.2 Configuration par variables d'environnement</w:t>
      </w:r>
    </w:p>
    <w:p>
      <w:pPr>
        <w:spacing w:after="80" w:before="80" w:line="280" w:lineRule="auto"/>
        <w:jc w:val="both"/>
      </w:pPr>
      <w:r>
        <w:rPr>
          <w:rFonts w:ascii="Times New Roman" w:cs="Times New Roman" w:eastAsia="Times New Roman" w:hAnsi="Times New Roman"/>
          <w:sz w:val="24"/>
          <w:szCs w:val="24"/>
        </w:rPr>
        <w:t xml:space="preserve">Toute la configuration sensible (clés d'API, mots de passe, URLs) est externalisée dans un fichier .env chargé au démarrage. Un fichier .env.example versionné dans le dépôt documente l'ensemble des variables sans exposer les valeurs réelles. Le script enable_low_resource_mode.ps1 génère automatiquement un profil réduit adapté aux machines avec peu de RAM, en ajustant les timeouts, la taille du pool de candidats et le modèle de résumé.</w:t>
      </w:r>
    </w:p>
    <w:p>
      <w:pPr>
        <w:pStyle w:val="Heading2"/>
        <w:spacing w:after="80" w:before="200" w:line="276" w:lineRule="auto"/>
      </w:pPr>
      <w:r>
        <w:rPr>
          <w:rFonts w:ascii="Arial" w:cs="Arial" w:eastAsia="Arial" w:hAnsi="Arial"/>
          <w:b/>
          <w:bCs/>
          <w:sz w:val="26"/>
          <w:szCs w:val="26"/>
        </w:rPr>
        <w:t xml:space="preserve">5.3 Variables d'environnement clés</w:t>
      </w:r>
    </w:p>
    <w:p>
      <w:pPr>
        <w:spacing w:after="60" w:before="60" w:line="276" w:lineRule="auto"/>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Variable</w:t>
            </w:r>
          </w:p>
        </w:tc>
        <w:tc>
          <w:tcPr>
            <w:tcW w:type="dxa" w:w="25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Valeur par défaut</w:t>
            </w:r>
          </w:p>
        </w:tc>
        <w:tc>
          <w:tcPr>
            <w:tcW w:type="dxa" w:w="3526"/>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Description</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QDRANT_HOST</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localhost</w:t>
            </w:r>
          </w:p>
        </w:tc>
        <w:tc>
          <w:tcPr>
            <w:tcW w:type="dxa" w:w="3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Adresse du serveur Qdrant local</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QDRANT_URL</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(vide)</w:t>
            </w:r>
          </w:p>
        </w:tc>
        <w:tc>
          <w:tcPr>
            <w:tcW w:type="dxa" w:w="3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URL Qdrant Cloud (prioritaire si renseigné)</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OLLAMA_HOST</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http://localhost:11434</w:t>
            </w:r>
          </w:p>
        </w:tc>
        <w:tc>
          <w:tcPr>
            <w:tcW w:type="dxa" w:w="3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Endpoint Ollama</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EMBEDDING_MODEL</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bge-m3</w:t>
            </w:r>
          </w:p>
        </w:tc>
        <w:tc>
          <w:tcPr>
            <w:tcW w:type="dxa" w:w="3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Modèle d'embedding actif</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QDRANT_COLLECTION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foodsense_products_v2</w:t>
            </w:r>
          </w:p>
        </w:tc>
        <w:tc>
          <w:tcPr>
            <w:tcW w:type="dxa" w:w="3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Collection Qdrant cible</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SUMMARY_STRATEGY</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extractive</w:t>
            </w:r>
          </w:p>
        </w:tc>
        <w:tc>
          <w:tcPr>
            <w:tcW w:type="dxa" w:w="3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Mode de résumé (extractive / ollama)</w:t>
            </w:r>
          </w:p>
        </w:tc>
      </w:tr>
    </w:tbl>
    <w:p>
      <w:pPr>
        <w:spacing w:after="60" w:before="60" w:line="276" w:lineRule="auto"/>
      </w:pPr>
      <w:r>
        <w:rPr>
          <w:rFonts w:ascii="Times New Roman" w:cs="Times New Roman" w:eastAsia="Times New Roman" w:hAnsi="Times New Roman"/>
          <w:sz w:val="24"/>
          <w:szCs w:val="24"/>
        </w:rPr>
        <w:t xml:space="preserve"/>
      </w:r>
    </w:p>
    <w:p>
      <w:pPr>
        <w:pStyle w:val="Heading2"/>
        <w:spacing w:after="80" w:before="200" w:line="276" w:lineRule="auto"/>
      </w:pPr>
      <w:r>
        <w:rPr>
          <w:rFonts w:ascii="Arial" w:cs="Arial" w:eastAsia="Arial" w:hAnsi="Arial"/>
          <w:b/>
          <w:bCs/>
          <w:sz w:val="26"/>
          <w:szCs w:val="26"/>
        </w:rPr>
        <w:t xml:space="preserve">5.4 Flux de déploiement V2</w:t>
      </w:r>
    </w:p>
    <w:p>
      <w:pPr>
        <w:spacing w:after="80" w:before="80" w:line="280" w:lineRule="auto"/>
        <w:jc w:val="both"/>
      </w:pPr>
      <w:r>
        <w:rPr>
          <w:rFonts w:ascii="Times New Roman" w:cs="Times New Roman" w:eastAsia="Times New Roman" w:hAnsi="Times New Roman"/>
          <w:sz w:val="24"/>
          <w:szCs w:val="24"/>
        </w:rPr>
        <w:t xml:space="preserve">Le flux de déploiement V2 suit cinq étapes séquentielles. L'import PostgreSQL charge les 10 000 produits Open Food Facts et les aliments USDA via le script 05_ingest_v2_to_postgres.py. L'export Parquet produit les fichiers products_master_v2.parquet et product_search_documents_v2.parquet via 06_export_v2_parquets.py. La vectorisation génère les embeddings bge-m3 avec 03_generate_embeddings.py, avec checkpoint toutes les 100 embeddings. L'indexation Qdrant charge les vecteurs dans la collection foodsense_products_v2 via 04_index_qdrant.py. Le démarrage applicatif lance les conteneurs Docker (backend + frontend + Qdrant).</w:t>
      </w:r>
    </w:p>
    <w:p>
      <w:r>
        <w:br w:type="page"/>
      </w:r>
    </w:p>
    <w:p>
      <w:pPr>
        <w:pStyle w:val="Heading1"/>
        <w:spacing w:after="120" w:before="300" w:line="276" w:lineRule="auto"/>
      </w:pPr>
      <w:r>
        <w:rPr>
          <w:rFonts w:ascii="Arial" w:cs="Arial" w:eastAsia="Arial" w:hAnsi="Arial"/>
          <w:b/>
          <w:bCs/>
          <w:color w:val="C00000"/>
          <w:sz w:val="30"/>
          <w:szCs w:val="30"/>
        </w:rPr>
        <w:t xml:space="preserve">6. Répartition du Travail</w:t>
      </w:r>
    </w:p>
    <w:p>
      <w:pPr>
        <w:spacing w:after="80" w:before="80" w:line="280" w:lineRule="auto"/>
        <w:jc w:val="both"/>
      </w:pPr>
      <w:r>
        <w:rPr>
          <w:rFonts w:ascii="Times New Roman" w:cs="Times New Roman" w:eastAsia="Times New Roman" w:hAnsi="Times New Roman"/>
          <w:sz w:val="24"/>
          <w:szCs w:val="24"/>
        </w:rPr>
        <w:t xml:space="preserve">Conformément aux exigences du barème, cette section détaille formellement la contribution de chaque membre de l'équipe par rôle et par livrable. L'équipe est composée de [N] étudiants en Licence 3 Intelligence Artificielle &amp; Big Data à l'ESGIS.</w:t>
      </w:r>
    </w:p>
    <w:p>
      <w:pPr>
        <w:spacing w:after="60" w:before="60" w:line="276" w:lineRule="auto"/>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600"/>
        <w:gridCol w:w="1826"/>
      </w:tblGrid>
      <w:tr>
        <w:trPr>
          <w:tblHeader/>
        </w:trPr>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Rôle</w:t>
            </w:r>
          </w:p>
        </w:tc>
        <w:tc>
          <w:tcPr>
            <w:tcW w:type="dxa" w:w="18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Responsable(s)</w:t>
            </w:r>
          </w:p>
        </w:tc>
        <w:tc>
          <w:tcPr>
            <w:tcW w:type="dxa" w:w="36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Tâches réalisées</w:t>
            </w:r>
          </w:p>
        </w:tc>
        <w:tc>
          <w:tcPr>
            <w:tcW w:type="dxa" w:w="1826"/>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Livrables</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Data Engineer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[Nom(s)]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Pipeline ETL (extraction CSV OFF, nettoyage Polars, ingestion PostgreSQL, export Parquet). Écriture de 05_ingest_v2_to_postgres.py et 06_export_v2_parquets.py.</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Schema PostgreSQL foodsense_v2, Parquet V2, scripts ETL</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ML Engineer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[Nom(s)]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Sélection et validation du modèle bge-m3. Développement du script de vectorisation avec checkpoint. Indexation Qdrant. Benchmark d'évaluation (Precision@3, Success@3, MRR).</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product_embeddings_v2_bge_m3.parquet, collection Qdrant, rapports d'évaluation</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Backend Developer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[Nom(s)]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Implémentation de l'API FastAPI (routes /search, /summarize, /health). Intégration Qdrant et Ollama. Gestion du fallback lexical.</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backend/ (FastAPI), Swagger, service embedding</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Frontend Developer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[Nom(s)]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Développement de l'interface Next.js. Connexion aux routes /search et /summarize. Affichage des scores de pertinence et du bouton Résumé.</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frontend/ (Next.js + TypeScript)</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DevOps / Infra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[Nom(s)]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Configuration Docker Compose multi-services. Scripts PowerShell de démarrage et de gestion de l'environnement. Profil ressources réduites (enable_low_resource_mode.ps1).</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docker-compose.yml, scripts/, .env.example</w:t>
            </w:r>
          </w:p>
        </w:tc>
      </w:tr>
    </w:tbl>
    <w:p>
      <w:pPr>
        <w:spacing w:after="60" w:before="60" w:line="276" w:lineRule="auto"/>
      </w:pPr>
      <w:r>
        <w:rPr>
          <w:rFonts w:ascii="Times New Roman" w:cs="Times New Roman" w:eastAsia="Times New Roman" w:hAnsi="Times New Roman"/>
          <w:sz w:val="24"/>
          <w:szCs w:val="24"/>
        </w:rPr>
        <w:t xml:space="preserve"/>
      </w:r>
    </w:p>
    <w:p>
      <w:pPr>
        <w:spacing w:after="80" w:before="80" w:line="280" w:lineRule="auto"/>
        <w:jc w:val="both"/>
      </w:pPr>
      <w:r>
        <w:rPr>
          <w:rFonts w:ascii="Times New Roman" w:cs="Times New Roman" w:eastAsia="Times New Roman" w:hAnsi="Times New Roman"/>
          <w:sz w:val="24"/>
          <w:szCs w:val="24"/>
        </w:rPr>
        <w:t xml:space="preserve">Note : dans le cadre d'un projet individuel, toutes les responsabilités listées ci-dessus ont été prises en charge par un seul étudiant. Le tableau reflète la répartition des rôles telle qu'elle s'appliquerait dans une équipe de 2 à 3 personnes, conformément au cadre du cours.</w:t>
      </w:r>
    </w:p>
    <w:p>
      <w:pPr>
        <w:spacing w:after="60" w:before="60" w:line="276" w:lineRule="auto"/>
      </w:pPr>
      <w:r>
        <w:rPr>
          <w:rFonts w:ascii="Times New Roman" w:cs="Times New Roman" w:eastAsia="Times New Roman" w:hAnsi="Times New Roman"/>
          <w:sz w:val="24"/>
          <w:szCs w:val="24"/>
        </w:rPr>
        <w:t xml:space="preserve"/>
      </w:r>
    </w:p>
    <w:p>
      <w:pPr>
        <w:pStyle w:val="Heading2"/>
        <w:spacing w:after="80" w:before="200" w:line="276" w:lineRule="auto"/>
      </w:pPr>
      <w:r>
        <w:rPr>
          <w:rFonts w:ascii="Arial" w:cs="Arial" w:eastAsia="Arial" w:hAnsi="Arial"/>
          <w:b/>
          <w:bCs/>
          <w:sz w:val="26"/>
          <w:szCs w:val="26"/>
        </w:rPr>
        <w:t xml:space="preserve">6.1 Outils et méthodes de travail</w:t>
      </w:r>
    </w:p>
    <w:p>
      <w:pPr>
        <w:spacing w:after="60" w:before="60" w:line="276" w:lineRule="auto"/>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Outil / Pratique</w:t>
            </w:r>
          </w:p>
        </w:tc>
        <w:tc>
          <w:tcPr>
            <w:tcW w:type="dxa" w:w="5826"/>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Usage dans le projet</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Git / GitHub</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Versionnement du code, branches feature/*, protection de main</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Docker Compose</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Reproductibilité et isolation de l'environnement</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Jupyter Notebooks</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EDA, visualisation, suivi temps réel de la vectorisation</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PowerShell Scripts</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Automatisation du démarrage, bootstrap, profils env.</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JSON status files</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000000"/>
                <w:sz w:val="20"/>
                <w:szCs w:val="20"/>
              </w:rPr>
              <w:t xml:space="preserve">Observabilité de la vectorisation (embedding_status.json)</w:t>
            </w:r>
          </w:p>
        </w:tc>
      </w:tr>
    </w:tbl>
    <w:p>
      <w:pPr>
        <w:spacing w:after="60" w:before="60" w:line="276" w:lineRule="auto"/>
      </w:pPr>
      <w:r>
        <w:rPr>
          <w:rFonts w:ascii="Times New Roman" w:cs="Times New Roman" w:eastAsia="Times New Roman" w:hAnsi="Times New Roman"/>
          <w:sz w:val="24"/>
          <w:szCs w:val="24"/>
        </w:rPr>
        <w:t xml:space="preserve"/>
      </w:r>
    </w:p>
    <w:p>
      <w:pPr>
        <w:pStyle w:val="Heading1"/>
        <w:spacing w:after="120" w:before="300" w:line="276" w:lineRule="auto"/>
      </w:pPr>
      <w:r>
        <w:rPr>
          <w:rFonts w:ascii="Arial" w:cs="Arial" w:eastAsia="Arial" w:hAnsi="Arial"/>
          <w:b/>
          <w:bCs/>
          <w:color w:val="C00000"/>
          <w:sz w:val="30"/>
          <w:szCs w:val="30"/>
        </w:rPr>
        <w:t xml:space="preserve">Conclusion</w:t>
      </w:r>
    </w:p>
    <w:p>
      <w:pPr>
        <w:spacing w:after="80" w:before="80" w:line="280" w:lineRule="auto"/>
        <w:jc w:val="both"/>
      </w:pPr>
      <w:r>
        <w:rPr>
          <w:rFonts w:ascii="Times New Roman" w:cs="Times New Roman" w:eastAsia="Times New Roman" w:hAnsi="Times New Roman"/>
          <w:sz w:val="24"/>
          <w:szCs w:val="24"/>
        </w:rPr>
        <w:t xml:space="preserve">FoodSense démontre qu'un moteur de recherche sémantique alimentaire complet peut être construit et évalué avec des outils open source déployés localement. La V1 prouve la viabilité de l'architecture sur un dataset imparfait, avec des métriques mesurables et une démarche d'évaluation rigoureuse. La recherche sémantique surpasse la baseline lexicale sur les trois métriques retenues (Precision@3 = 0,75 ; Success@3 = 1,0 ; MRR = 0,8333).</w:t>
      </w:r>
    </w:p>
    <w:p>
      <w:pPr>
        <w:spacing w:after="80" w:before="80" w:line="280" w:lineRule="auto"/>
        <w:jc w:val="both"/>
      </w:pPr>
      <w:r>
        <w:rPr>
          <w:rFonts w:ascii="Times New Roman" w:cs="Times New Roman" w:eastAsia="Times New Roman" w:hAnsi="Times New Roman"/>
          <w:sz w:val="24"/>
          <w:szCs w:val="24"/>
        </w:rPr>
        <w:t xml:space="preserve">La V2 corrige les limites structurelles de la V1 en substituant les avis Amazon par trois sources institutionnelles de qualité. Le pipeline ETL batch, les données nettoyées, les embeddings avec checkpoint et l'architecture Docker constituent une base solide pour un déploiement production. Les étapes restantes — branchement du frontend V2 et élargissement du benchmark ESCI — feront l'objet d'une démonstration lors de la soutenance.</w:t>
      </w:r>
    </w:p>
    <w:p>
      <w:pPr>
        <w:spacing w:after="60" w:before="60" w:line="276" w:lineRule="auto"/>
      </w:pPr>
      <w:r>
        <w:rPr>
          <w:rFonts w:ascii="Times New Roman" w:cs="Times New Roman" w:eastAsia="Times New Roman" w:hAnsi="Times New Roman"/>
          <w:sz w:val="24"/>
          <w:szCs w:val="24"/>
        </w:rPr>
        <w:t xml:space="preserve"/>
      </w:r>
    </w:p>
    <w:p>
      <w:pPr>
        <w:pStyle w:val="Heading1"/>
        <w:spacing w:after="120" w:before="300" w:line="276" w:lineRule="auto"/>
      </w:pPr>
      <w:r>
        <w:rPr>
          <w:rFonts w:ascii="Arial" w:cs="Arial" w:eastAsia="Arial" w:hAnsi="Arial"/>
          <w:b/>
          <w:bCs/>
          <w:color w:val="C00000"/>
          <w:sz w:val="30"/>
          <w:szCs w:val="30"/>
        </w:rPr>
        <w:t xml:space="preserve">Références</w:t>
      </w:r>
    </w:p>
    <w:p>
      <w:pPr>
        <w:spacing w:after="80" w:before="80" w:line="280" w:lineRule="auto"/>
        <w:jc w:val="both"/>
      </w:pPr>
      <w:r>
        <w:rPr>
          <w:rFonts w:ascii="Times New Roman" w:cs="Times New Roman" w:eastAsia="Times New Roman" w:hAnsi="Times New Roman"/>
          <w:sz w:val="24"/>
          <w:szCs w:val="24"/>
        </w:rPr>
        <w:t xml:space="preserve">[1] McAuley J. et al. (2013). From Amateurs to Connoisseurs. Amazon Fine Food Reviews Dataset. Stanford SNAP.</w:t>
      </w:r>
    </w:p>
    <w:p>
      <w:pPr>
        <w:spacing w:after="80" w:before="80" w:line="280" w:lineRule="auto"/>
        <w:jc w:val="both"/>
      </w:pPr>
      <w:r>
        <w:rPr>
          <w:rFonts w:ascii="Times New Roman" w:cs="Times New Roman" w:eastAsia="Times New Roman" w:hAnsi="Times New Roman"/>
          <w:sz w:val="24"/>
          <w:szCs w:val="24"/>
        </w:rPr>
        <w:t xml:space="preserve">[2] Open Food Facts. Base de données collaborative ouverte. https://world.openfoodfacts.org</w:t>
      </w:r>
    </w:p>
    <w:p>
      <w:pPr>
        <w:spacing w:after="80" w:before="80" w:line="280" w:lineRule="auto"/>
        <w:jc w:val="both"/>
      </w:pPr>
      <w:r>
        <w:rPr>
          <w:rFonts w:ascii="Times New Roman" w:cs="Times New Roman" w:eastAsia="Times New Roman" w:hAnsi="Times New Roman"/>
          <w:sz w:val="24"/>
          <w:szCs w:val="24"/>
        </w:rPr>
        <w:t xml:space="preserve">[3] USDA Agricultural Research Service. FoodData Central Foundation Foods, April 2026. https://fdc.nal.usda.gov</w:t>
      </w:r>
    </w:p>
    <w:p>
      <w:pPr>
        <w:spacing w:after="80" w:before="80" w:line="280" w:lineRule="auto"/>
        <w:jc w:val="both"/>
      </w:pPr>
      <w:r>
        <w:rPr>
          <w:rFonts w:ascii="Times New Roman" w:cs="Times New Roman" w:eastAsia="Times New Roman" w:hAnsi="Times New Roman"/>
          <w:sz w:val="24"/>
          <w:szCs w:val="24"/>
        </w:rPr>
        <w:t xml:space="preserve">[4] Reddy et al. (2022). Shopping Queries Dataset (ESCI). Amazon Research.</w:t>
      </w:r>
    </w:p>
    <w:p>
      <w:pPr>
        <w:spacing w:after="80" w:before="80" w:line="280" w:lineRule="auto"/>
        <w:jc w:val="both"/>
      </w:pPr>
      <w:r>
        <w:rPr>
          <w:rFonts w:ascii="Times New Roman" w:cs="Times New Roman" w:eastAsia="Times New Roman" w:hAnsi="Times New Roman"/>
          <w:sz w:val="24"/>
          <w:szCs w:val="24"/>
        </w:rPr>
        <w:t xml:space="preserve">[5] Chen et al. (2024). BGE M3-Embedding: Multi-Linguality, Multi-Functionality, Multi-Granularity. BAAI / arXiv:2402.03216.</w:t>
      </w:r>
    </w:p>
    <w:p>
      <w:pPr>
        <w:spacing w:after="80" w:before="80" w:line="280" w:lineRule="auto"/>
        <w:jc w:val="both"/>
      </w:pPr>
      <w:r>
        <w:rPr>
          <w:rFonts w:ascii="Times New Roman" w:cs="Times New Roman" w:eastAsia="Times New Roman" w:hAnsi="Times New Roman"/>
          <w:sz w:val="24"/>
          <w:szCs w:val="24"/>
        </w:rPr>
        <w:t xml:space="preserve">[6] Qdrant Team. Qdrant Vector Search Engine Documentation. https://qdrant.tech/documentation</w:t>
      </w:r>
    </w:p>
    <w:p>
      <w:pPr>
        <w:spacing w:after="80" w:before="80" w:line="280" w:lineRule="auto"/>
        <w:jc w:val="both"/>
      </w:pPr>
      <w:r>
        <w:rPr>
          <w:rFonts w:ascii="Times New Roman" w:cs="Times New Roman" w:eastAsia="Times New Roman" w:hAnsi="Times New Roman"/>
          <w:sz w:val="24"/>
          <w:szCs w:val="24"/>
        </w:rPr>
        <w:t xml:space="preserve">[7] Polars Development Team. Polars User Guide. https://docs.pola.rs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jc w:val="right"/>
    </w:pPr>
    <w:r>
      <w:rPr>
        <w:rFonts w:ascii="Arial" w:cs="Arial" w:eastAsia="Arial" w:hAnsi="Arial"/>
        <w:color w:val="888888"/>
        <w:sz w:val="18"/>
        <w:szCs w:val="18"/>
      </w:rPr>
      <w:t xml:space="preserve">FoodSense — Rapport de Projet Tutoré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1F1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DDDD" w:sz="6" w:space="4"/>
      </w:pBdr>
      <w:spacing w:after="120" w:before="300"/>
      <w:outlineLvl w:val="0"/>
    </w:pPr>
    <w:rPr>
      <w:rFonts w:ascii="Arial" w:cs="Arial" w:eastAsia="Arial" w:hAnsi="Arial"/>
      <w:b/>
      <w:bCs/>
      <w:color w:val="C00000"/>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2026-06-12T22:01:11.145Z</dcterms:created>
  <dcterms:modified xsi:type="dcterms:W3CDTF">2026-06-12T22:01:11.156Z</dcterms:modified>
</cp:coreProperties>
</file>

<file path=docProps/custom.xml><?xml version="1.0" encoding="utf-8"?>
<Properties xmlns="http://schemas.openxmlformats.org/officeDocument/2006/custom-properties" xmlns:vt="http://schemas.openxmlformats.org/officeDocument/2006/docPropsVTypes"/>
</file>