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0" w:type="dxa"/>
        <w:tblInd w:w="-946" w:type="dxa"/>
        <w:tblCellMar>
          <w:top w:w="254" w:type="dxa"/>
          <w:left w:w="922" w:type="dxa"/>
          <w:bottom w:w="0" w:type="dxa"/>
          <w:right w:w="870" w:type="dxa"/>
        </w:tblCellMar>
        <w:tblLook w:val="04A0" w:firstRow="1" w:lastRow="0" w:firstColumn="1" w:lastColumn="0" w:noHBand="0" w:noVBand="1"/>
      </w:tblPr>
      <w:tblGrid>
        <w:gridCol w:w="10920"/>
      </w:tblGrid>
      <w:tr w:rsidR="00C40990" w14:paraId="376D8D50" w14:textId="77777777">
        <w:trPr>
          <w:trHeight w:val="15852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BABC2E" w14:textId="58371378" w:rsidR="00C40990" w:rsidRDefault="00C40990">
            <w:pPr>
              <w:spacing w:after="633"/>
            </w:pPr>
          </w:p>
          <w:p w14:paraId="1AD215DE" w14:textId="77777777" w:rsidR="00C40990" w:rsidRDefault="00000000">
            <w:pPr>
              <w:spacing w:after="179"/>
              <w:ind w:left="55"/>
              <w:jc w:val="center"/>
            </w:pPr>
            <w:r>
              <w:rPr>
                <w:rFonts w:ascii="Book Antiqua" w:eastAsia="Book Antiqua" w:hAnsi="Book Antiqua" w:cs="Book Antiqua"/>
                <w:sz w:val="44"/>
              </w:rPr>
              <w:t xml:space="preserve"> </w:t>
            </w:r>
          </w:p>
          <w:p w14:paraId="089DA15F" w14:textId="77777777" w:rsidR="00C40990" w:rsidRDefault="00000000">
            <w:pPr>
              <w:spacing w:after="0"/>
              <w:ind w:right="60"/>
              <w:jc w:val="center"/>
            </w:pPr>
            <w:r>
              <w:rPr>
                <w:rFonts w:ascii="Book Antiqua" w:eastAsia="Book Antiqua" w:hAnsi="Book Antiqua" w:cs="Book Antiqua"/>
                <w:sz w:val="44"/>
                <w:u w:val="single" w:color="000000"/>
              </w:rPr>
              <w:t>DAP PROCEDURE</w:t>
            </w:r>
            <w:r>
              <w:rPr>
                <w:rFonts w:ascii="Book Antiqua" w:eastAsia="Book Antiqua" w:hAnsi="Book Antiqua" w:cs="Book Antiqua"/>
                <w:sz w:val="44"/>
              </w:rPr>
              <w:t xml:space="preserve"> </w:t>
            </w:r>
          </w:p>
          <w:p w14:paraId="22446413" w14:textId="77777777" w:rsidR="00C40990" w:rsidRDefault="00000000">
            <w:pPr>
              <w:spacing w:after="266"/>
              <w:ind w:right="56"/>
              <w:jc w:val="center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(Upon Bank Guarantee SBLC / DLC) </w:t>
            </w:r>
          </w:p>
          <w:p w14:paraId="34BFE6F9" w14:textId="77777777" w:rsidR="00C40990" w:rsidRDefault="00000000">
            <w:pPr>
              <w:spacing w:after="31"/>
            </w:pPr>
            <w:r>
              <w:rPr>
                <w:rFonts w:ascii="Book Antiqua" w:eastAsia="Book Antiqua" w:hAnsi="Book Antiqua" w:cs="Book Antiqua"/>
                <w:sz w:val="36"/>
              </w:rPr>
              <w:t xml:space="preserve"> </w:t>
            </w:r>
          </w:p>
          <w:p w14:paraId="410CAF88" w14:textId="77777777" w:rsidR="00C40990" w:rsidRDefault="00000000">
            <w:pPr>
              <w:numPr>
                <w:ilvl w:val="0"/>
                <w:numId w:val="1"/>
              </w:numPr>
              <w:spacing w:after="146"/>
              <w:ind w:hanging="130"/>
            </w:pPr>
            <w:r>
              <w:rPr>
                <w:rFonts w:ascii="Book Antiqua" w:eastAsia="Book Antiqua" w:hAnsi="Book Antiqua" w:cs="Book Antiqua"/>
                <w:b/>
              </w:rPr>
              <w:t>Commodity</w:t>
            </w:r>
            <w:r>
              <w:rPr>
                <w:rFonts w:ascii="Book Antiqua" w:eastAsia="Book Antiqua" w:hAnsi="Book Antiqua" w:cs="Book Antiqua"/>
              </w:rPr>
              <w:t xml:space="preserve">: Au Gold Dore Bars Bullion </w:t>
            </w:r>
          </w:p>
          <w:p w14:paraId="1EB6BC6A" w14:textId="77777777" w:rsidR="00C40990" w:rsidRDefault="00000000">
            <w:pPr>
              <w:numPr>
                <w:ilvl w:val="0"/>
                <w:numId w:val="1"/>
              </w:numPr>
              <w:spacing w:after="149"/>
              <w:ind w:hanging="130"/>
            </w:pPr>
            <w:r>
              <w:rPr>
                <w:rFonts w:ascii="Book Antiqua" w:eastAsia="Book Antiqua" w:hAnsi="Book Antiqua" w:cs="Book Antiqua"/>
                <w:b/>
              </w:rPr>
              <w:t>Purity</w:t>
            </w:r>
            <w:r>
              <w:rPr>
                <w:rFonts w:ascii="Book Antiqua" w:eastAsia="Book Antiqua" w:hAnsi="Book Antiqua" w:cs="Book Antiqua"/>
              </w:rPr>
              <w:t xml:space="preserve">: 97 or Better </w:t>
            </w:r>
          </w:p>
          <w:p w14:paraId="6366F756" w14:textId="77777777" w:rsidR="00C40990" w:rsidRDefault="00000000">
            <w:pPr>
              <w:numPr>
                <w:ilvl w:val="0"/>
                <w:numId w:val="1"/>
              </w:numPr>
              <w:spacing w:after="150"/>
              <w:ind w:hanging="130"/>
            </w:pPr>
            <w:r>
              <w:rPr>
                <w:rFonts w:ascii="Book Antiqua" w:eastAsia="Book Antiqua" w:hAnsi="Book Antiqua" w:cs="Book Antiqua"/>
                <w:b/>
              </w:rPr>
              <w:t>Monthly delivery</w:t>
            </w:r>
            <w:r>
              <w:rPr>
                <w:rFonts w:ascii="Book Antiqua" w:eastAsia="Book Antiqua" w:hAnsi="Book Antiqua" w:cs="Book Antiqua"/>
              </w:rPr>
              <w:t xml:space="preserve">: Up to 500 kg + </w:t>
            </w:r>
          </w:p>
          <w:p w14:paraId="002B8D5D" w14:textId="77777777" w:rsidR="00C40990" w:rsidRDefault="00000000">
            <w:pPr>
              <w:numPr>
                <w:ilvl w:val="0"/>
                <w:numId w:val="1"/>
              </w:numPr>
              <w:spacing w:after="150"/>
              <w:ind w:hanging="130"/>
            </w:pPr>
            <w:r>
              <w:rPr>
                <w:rFonts w:ascii="Book Antiqua" w:eastAsia="Book Antiqua" w:hAnsi="Book Antiqua" w:cs="Book Antiqua"/>
                <w:b/>
              </w:rPr>
              <w:t>Carats</w:t>
            </w:r>
            <w:r>
              <w:rPr>
                <w:rFonts w:ascii="Book Antiqua" w:eastAsia="Book Antiqua" w:hAnsi="Book Antiqua" w:cs="Book Antiqua"/>
              </w:rPr>
              <w:t xml:space="preserve">: 22+ </w:t>
            </w:r>
          </w:p>
          <w:p w14:paraId="21DAEA93" w14:textId="77777777" w:rsidR="00C40990" w:rsidRDefault="00000000">
            <w:pPr>
              <w:numPr>
                <w:ilvl w:val="0"/>
                <w:numId w:val="1"/>
              </w:numPr>
              <w:spacing w:after="147"/>
              <w:ind w:hanging="130"/>
            </w:pPr>
            <w:r>
              <w:rPr>
                <w:rFonts w:ascii="Book Antiqua" w:eastAsia="Book Antiqua" w:hAnsi="Book Antiqua" w:cs="Book Antiqua"/>
                <w:b/>
              </w:rPr>
              <w:t>Size in shape</w:t>
            </w:r>
            <w:r>
              <w:rPr>
                <w:rFonts w:ascii="Book Antiqua" w:eastAsia="Book Antiqua" w:hAnsi="Book Antiqua" w:cs="Book Antiqua"/>
              </w:rPr>
              <w:t xml:space="preserve">: One kg Bar </w:t>
            </w:r>
          </w:p>
          <w:p w14:paraId="6665CF4F" w14:textId="77777777" w:rsidR="00C40990" w:rsidRDefault="00000000">
            <w:pPr>
              <w:numPr>
                <w:ilvl w:val="0"/>
                <w:numId w:val="1"/>
              </w:numPr>
              <w:spacing w:after="149"/>
              <w:ind w:hanging="130"/>
            </w:pPr>
            <w:r>
              <w:rPr>
                <w:rFonts w:ascii="Book Antiqua" w:eastAsia="Book Antiqua" w:hAnsi="Book Antiqua" w:cs="Book Antiqua"/>
                <w:b/>
              </w:rPr>
              <w:t>Packing</w:t>
            </w:r>
            <w:r>
              <w:rPr>
                <w:rFonts w:ascii="Book Antiqua" w:eastAsia="Book Antiqua" w:hAnsi="Book Antiqua" w:cs="Book Antiqua"/>
              </w:rPr>
              <w:t xml:space="preserve">: Export Grade Metal Boxes </w:t>
            </w:r>
          </w:p>
          <w:p w14:paraId="6ACF03FB" w14:textId="77777777" w:rsidR="00C40990" w:rsidRDefault="00000000">
            <w:pPr>
              <w:numPr>
                <w:ilvl w:val="0"/>
                <w:numId w:val="1"/>
              </w:numPr>
              <w:spacing w:after="150"/>
              <w:ind w:hanging="130"/>
            </w:pPr>
            <w:r>
              <w:rPr>
                <w:rFonts w:ascii="Book Antiqua" w:eastAsia="Book Antiqua" w:hAnsi="Book Antiqua" w:cs="Book Antiqua"/>
                <w:b/>
              </w:rPr>
              <w:t>Weight per package</w:t>
            </w:r>
            <w:r>
              <w:rPr>
                <w:rFonts w:ascii="Book Antiqua" w:eastAsia="Book Antiqua" w:hAnsi="Book Antiqua" w:cs="Book Antiqua"/>
              </w:rPr>
              <w:t xml:space="preserve">: 50 kg (50x1) per Box </w:t>
            </w:r>
          </w:p>
          <w:p w14:paraId="22D89ECF" w14:textId="77777777" w:rsidR="00C40990" w:rsidRDefault="00000000">
            <w:pPr>
              <w:numPr>
                <w:ilvl w:val="0"/>
                <w:numId w:val="1"/>
              </w:numPr>
              <w:spacing w:after="150"/>
              <w:ind w:hanging="130"/>
            </w:pPr>
            <w:r>
              <w:rPr>
                <w:rFonts w:ascii="Book Antiqua" w:eastAsia="Book Antiqua" w:hAnsi="Book Antiqua" w:cs="Book Antiqua"/>
                <w:b/>
              </w:rPr>
              <w:t>Mode of delivery</w:t>
            </w:r>
            <w:r>
              <w:rPr>
                <w:rFonts w:ascii="Book Antiqua" w:eastAsia="Book Antiqua" w:hAnsi="Book Antiqua" w:cs="Book Antiqua"/>
              </w:rPr>
              <w:t xml:space="preserve">: By Air </w:t>
            </w:r>
          </w:p>
          <w:p w14:paraId="6B5130F5" w14:textId="77777777" w:rsidR="00C40990" w:rsidRDefault="00000000">
            <w:pPr>
              <w:numPr>
                <w:ilvl w:val="0"/>
                <w:numId w:val="1"/>
              </w:numPr>
              <w:spacing w:after="147"/>
              <w:ind w:hanging="130"/>
            </w:pPr>
            <w:r>
              <w:rPr>
                <w:rFonts w:ascii="Book Antiqua" w:eastAsia="Book Antiqua" w:hAnsi="Book Antiqua" w:cs="Book Antiqua"/>
                <w:b/>
              </w:rPr>
              <w:t>Duration of the contract</w:t>
            </w:r>
            <w:r>
              <w:rPr>
                <w:rFonts w:ascii="Book Antiqua" w:eastAsia="Book Antiqua" w:hAnsi="Book Antiqua" w:cs="Book Antiqua"/>
              </w:rPr>
              <w:t xml:space="preserve">: 12 months, payment after refining. </w:t>
            </w:r>
          </w:p>
          <w:p w14:paraId="24D004F7" w14:textId="77777777" w:rsidR="00C40990" w:rsidRDefault="00000000">
            <w:pPr>
              <w:numPr>
                <w:ilvl w:val="0"/>
                <w:numId w:val="1"/>
              </w:numPr>
              <w:spacing w:after="144"/>
              <w:ind w:hanging="130"/>
            </w:pPr>
            <w:r>
              <w:rPr>
                <w:rFonts w:ascii="Book Antiqua" w:eastAsia="Book Antiqua" w:hAnsi="Book Antiqua" w:cs="Book Antiqua"/>
                <w:b/>
              </w:rPr>
              <w:t>Price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>
              <w:rPr>
                <w:rFonts w:ascii="Book Antiqua" w:eastAsia="Book Antiqua" w:hAnsi="Book Antiqua" w:cs="Book Antiqua"/>
                <w:b/>
                <w:color w:val="FF0000"/>
              </w:rPr>
              <w:t>Gross -10% Net -8% for buyer, -2 % commission.</w:t>
            </w:r>
            <w:r>
              <w:rPr>
                <w:rFonts w:ascii="Book Antiqua" w:eastAsia="Book Antiqua" w:hAnsi="Book Antiqua" w:cs="Book Antiqua"/>
                <w:color w:val="FF0000"/>
              </w:rPr>
              <w:t xml:space="preserve">  </w:t>
            </w:r>
          </w:p>
          <w:p w14:paraId="5B5B492D" w14:textId="77777777" w:rsidR="00C40990" w:rsidRDefault="00000000">
            <w:pPr>
              <w:spacing w:after="143"/>
            </w:pPr>
            <w:r>
              <w:rPr>
                <w:rFonts w:ascii="Book Antiqua" w:eastAsia="Book Antiqua" w:hAnsi="Book Antiqua" w:cs="Book Antiqua"/>
                <w:i/>
              </w:rPr>
              <w:t xml:space="preserve">(LBMA second fixing of London on the date of the exchange). </w:t>
            </w:r>
          </w:p>
          <w:p w14:paraId="58132E32" w14:textId="77777777" w:rsidR="00C40990" w:rsidRDefault="00000000">
            <w:pPr>
              <w:spacing w:after="138"/>
            </w:pPr>
            <w:r>
              <w:rPr>
                <w:rFonts w:ascii="Book Antiqua" w:eastAsia="Book Antiqua" w:hAnsi="Book Antiqua" w:cs="Book Antiqua"/>
                <w:b/>
              </w:rPr>
              <w:t xml:space="preserve"> </w:t>
            </w:r>
          </w:p>
          <w:p w14:paraId="72E00EC0" w14:textId="77777777" w:rsidR="00C40990" w:rsidRDefault="00000000">
            <w:pPr>
              <w:spacing w:after="119" w:line="284" w:lineRule="auto"/>
              <w:jc w:val="both"/>
            </w:pPr>
            <w:r>
              <w:rPr>
                <w:rFonts w:ascii="Book Antiqua" w:eastAsia="Book Antiqua" w:hAnsi="Book Antiqua" w:cs="Book Antiqua"/>
                <w:b/>
              </w:rPr>
              <w:t>Delivery conditions</w:t>
            </w:r>
            <w:r>
              <w:rPr>
                <w:rFonts w:ascii="Book Antiqua" w:eastAsia="Book Antiqua" w:hAnsi="Book Antiqua" w:cs="Book Antiqua"/>
              </w:rPr>
              <w:t xml:space="preserve">: After signing the contract and setting up by the buyer of a bank payment guarantee such as SBLC, block fund or DLC.  </w:t>
            </w:r>
          </w:p>
          <w:p w14:paraId="18A2CCBF" w14:textId="77777777" w:rsidR="00C40990" w:rsidRDefault="00000000">
            <w:pPr>
              <w:spacing w:after="117" w:line="284" w:lineRule="auto"/>
            </w:pPr>
            <w:r>
              <w:rPr>
                <w:rFonts w:ascii="Book Antiqua" w:eastAsia="Book Antiqua" w:hAnsi="Book Antiqua" w:cs="Book Antiqua"/>
                <w:b/>
              </w:rPr>
              <w:t>Terms of payment</w:t>
            </w:r>
            <w:r>
              <w:rPr>
                <w:rFonts w:ascii="Book Antiqua" w:eastAsia="Book Antiqua" w:hAnsi="Book Antiqua" w:cs="Book Antiqua"/>
              </w:rPr>
              <w:t xml:space="preserve">: Payment after refining in the buyer's refinery, based on the report of the refinery. </w:t>
            </w:r>
          </w:p>
          <w:p w14:paraId="38956B91" w14:textId="77777777" w:rsidR="00C40990" w:rsidRDefault="00000000">
            <w:pPr>
              <w:spacing w:after="149"/>
            </w:pPr>
            <w:r>
              <w:rPr>
                <w:rFonts w:ascii="Book Antiqua" w:eastAsia="Book Antiqua" w:hAnsi="Book Antiqua" w:cs="Book Antiqua"/>
                <w:b/>
              </w:rPr>
              <w:t>Method of payment</w:t>
            </w:r>
            <w:r>
              <w:rPr>
                <w:rFonts w:ascii="Book Antiqua" w:eastAsia="Book Antiqua" w:hAnsi="Book Antiqua" w:cs="Book Antiqua"/>
              </w:rPr>
              <w:t xml:space="preserve">: Swift 103 transfer in favor of the seller's bank account. </w:t>
            </w:r>
          </w:p>
          <w:p w14:paraId="574C6BA5" w14:textId="77777777" w:rsidR="00C40990" w:rsidRDefault="00000000">
            <w:pPr>
              <w:spacing w:after="148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14:paraId="29CA8E35" w14:textId="77777777" w:rsidR="00C40990" w:rsidRDefault="00000000">
            <w:pPr>
              <w:spacing w:after="117" w:line="285" w:lineRule="auto"/>
              <w:jc w:val="both"/>
            </w:pPr>
            <w:r>
              <w:rPr>
                <w:rFonts w:ascii="Book Antiqua" w:eastAsia="Book Antiqua" w:hAnsi="Book Antiqua" w:cs="Book Antiqua"/>
                <w:b/>
              </w:rPr>
              <w:t>SELLER WILL INSTRUCT HIS BANK TO SEND 2% BPU</w:t>
            </w:r>
            <w:r>
              <w:rPr>
                <w:rFonts w:ascii="Book Antiqua" w:eastAsia="Book Antiqua" w:hAnsi="Book Antiqua" w:cs="Book Antiqua"/>
              </w:rPr>
              <w:t xml:space="preserve"> (Bank Payment Undertaking, Performance Bond 2%) </w:t>
            </w:r>
            <w:r>
              <w:rPr>
                <w:rFonts w:ascii="Book Antiqua" w:eastAsia="Book Antiqua" w:hAnsi="Book Antiqua" w:cs="Book Antiqua"/>
                <w:b/>
              </w:rPr>
              <w:t>TO BUYER BANK</w:t>
            </w:r>
            <w:r>
              <w:rPr>
                <w:rFonts w:ascii="Book Antiqua" w:eastAsia="Book Antiqua" w:hAnsi="Book Antiqua" w:cs="Book Antiqua"/>
              </w:rPr>
              <w:t xml:space="preserve">. </w:t>
            </w:r>
          </w:p>
          <w:p w14:paraId="5ABE44FE" w14:textId="77777777" w:rsidR="00C40990" w:rsidRDefault="00000000">
            <w:pPr>
              <w:spacing w:after="148"/>
            </w:pPr>
            <w:r>
              <w:rPr>
                <w:rFonts w:ascii="Book Antiqua" w:eastAsia="Book Antiqua" w:hAnsi="Book Antiqua" w:cs="Book Antiqua"/>
              </w:rPr>
              <w:t xml:space="preserve">The SBLC will be for one year (twelve month) and one day. </w:t>
            </w:r>
          </w:p>
          <w:p w14:paraId="5069B7E3" w14:textId="77777777" w:rsidR="00C40990" w:rsidRDefault="00000000">
            <w:pPr>
              <w:spacing w:after="148"/>
            </w:pPr>
            <w:r>
              <w:rPr>
                <w:rFonts w:ascii="Book Antiqua" w:eastAsia="Book Antiqua" w:hAnsi="Book Antiqua" w:cs="Book Antiqua"/>
              </w:rPr>
              <w:t xml:space="preserve">We would like to point out to our new customers that we do not do trial. </w:t>
            </w:r>
          </w:p>
          <w:p w14:paraId="02C063B9" w14:textId="77777777" w:rsidR="00C40990" w:rsidRDefault="00000000">
            <w:pPr>
              <w:spacing w:after="148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14:paraId="29BE6508" w14:textId="77777777" w:rsidR="00C40990" w:rsidRDefault="00000000">
            <w:pPr>
              <w:spacing w:after="145"/>
            </w:pPr>
            <w:r>
              <w:rPr>
                <w:rFonts w:ascii="Book Antiqua" w:eastAsia="Book Antiqua" w:hAnsi="Book Antiqua" w:cs="Book Antiqua"/>
                <w:b/>
              </w:rPr>
              <w:t>NB</w:t>
            </w:r>
            <w:r>
              <w:rPr>
                <w:rFonts w:ascii="Book Antiqua" w:eastAsia="Book Antiqua" w:hAnsi="Book Antiqua" w:cs="Book Antiqua"/>
              </w:rPr>
              <w:t xml:space="preserve">: If you are interested in our </w:t>
            </w:r>
            <w:proofErr w:type="gramStart"/>
            <w:r>
              <w:rPr>
                <w:rFonts w:ascii="Book Antiqua" w:eastAsia="Book Antiqua" w:hAnsi="Book Antiqua" w:cs="Book Antiqua"/>
              </w:rPr>
              <w:t>procedure</w:t>
            </w:r>
            <w:proofErr w:type="gramEnd"/>
            <w:r>
              <w:rPr>
                <w:rFonts w:ascii="Book Antiqua" w:eastAsia="Book Antiqua" w:hAnsi="Book Antiqua" w:cs="Book Antiqua"/>
              </w:rPr>
              <w:t xml:space="preserve"> please send us a LOI for the prosecution.  </w:t>
            </w:r>
          </w:p>
          <w:p w14:paraId="0836BFED" w14:textId="77777777" w:rsidR="00C40990" w:rsidRDefault="00000000">
            <w:pPr>
              <w:spacing w:after="0"/>
            </w:pPr>
            <w:r>
              <w:rPr>
                <w:rFonts w:ascii="Book Antiqua" w:eastAsia="Book Antiqua" w:hAnsi="Book Antiqua" w:cs="Book Antiqua"/>
              </w:rPr>
              <w:t xml:space="preserve">We remain at your disposal Greetings </w:t>
            </w:r>
          </w:p>
        </w:tc>
      </w:tr>
    </w:tbl>
    <w:p w14:paraId="00D301F8" w14:textId="77777777" w:rsidR="002F3236" w:rsidRDefault="002F3236" w:rsidP="002F62D9"/>
    <w:sectPr w:rsidR="002F3236">
      <w:pgSz w:w="11906" w:h="16838"/>
      <w:pgMar w:top="494" w:right="1440" w:bottom="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02960"/>
    <w:multiLevelType w:val="hybridMultilevel"/>
    <w:tmpl w:val="085AA184"/>
    <w:lvl w:ilvl="0" w:tplc="C136B1F4">
      <w:start w:val="1"/>
      <w:numFmt w:val="bullet"/>
      <w:lvlText w:val="-"/>
      <w:lvlJc w:val="left"/>
      <w:pPr>
        <w:ind w:left="13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C68E52">
      <w:start w:val="1"/>
      <w:numFmt w:val="bullet"/>
      <w:lvlText w:val="o"/>
      <w:lvlJc w:val="left"/>
      <w:pPr>
        <w:ind w:left="2002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E899FA">
      <w:start w:val="1"/>
      <w:numFmt w:val="bullet"/>
      <w:lvlText w:val="▪"/>
      <w:lvlJc w:val="left"/>
      <w:pPr>
        <w:ind w:left="2722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221858">
      <w:start w:val="1"/>
      <w:numFmt w:val="bullet"/>
      <w:lvlText w:val="•"/>
      <w:lvlJc w:val="left"/>
      <w:pPr>
        <w:ind w:left="3442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4CD5EA">
      <w:start w:val="1"/>
      <w:numFmt w:val="bullet"/>
      <w:lvlText w:val="o"/>
      <w:lvlJc w:val="left"/>
      <w:pPr>
        <w:ind w:left="4162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8CC280">
      <w:start w:val="1"/>
      <w:numFmt w:val="bullet"/>
      <w:lvlText w:val="▪"/>
      <w:lvlJc w:val="left"/>
      <w:pPr>
        <w:ind w:left="4882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10F534">
      <w:start w:val="1"/>
      <w:numFmt w:val="bullet"/>
      <w:lvlText w:val="•"/>
      <w:lvlJc w:val="left"/>
      <w:pPr>
        <w:ind w:left="5602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F8B532">
      <w:start w:val="1"/>
      <w:numFmt w:val="bullet"/>
      <w:lvlText w:val="o"/>
      <w:lvlJc w:val="left"/>
      <w:pPr>
        <w:ind w:left="6322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CC8C28">
      <w:start w:val="1"/>
      <w:numFmt w:val="bullet"/>
      <w:lvlText w:val="▪"/>
      <w:lvlJc w:val="left"/>
      <w:pPr>
        <w:ind w:left="7042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838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990"/>
    <w:rsid w:val="002F3236"/>
    <w:rsid w:val="002F62D9"/>
    <w:rsid w:val="00C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C8DC"/>
  <w15:docId w15:val="{4B9FCCDD-7268-40C4-B2C3-C43C73FD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Avognon Kossi</dc:creator>
  <cp:keywords/>
  <cp:lastModifiedBy>Joyce Akey</cp:lastModifiedBy>
  <cp:revision>2</cp:revision>
  <dcterms:created xsi:type="dcterms:W3CDTF">2024-04-02T10:04:00Z</dcterms:created>
  <dcterms:modified xsi:type="dcterms:W3CDTF">2024-04-02T10:04:00Z</dcterms:modified>
</cp:coreProperties>
</file>