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before="0"/>
      </w:pPr>
      <w:r>
        <w:rPr>
          <w:rFonts w:ascii="Times New Roman" w:hAnsi="Times New Roman" w:eastAsia="Times New Roman"/>
          <w:b/>
          <w:sz w:val="32"/>
        </w:rPr>
        <w:t>Practical No.4</w:t>
      </w:r>
    </w:p>
    <w:p>
      <w:pPr>
        <w:spacing w:after="240" w:before="0"/>
      </w:pPr>
      <w:r>
        <w:rPr>
          <w:rFonts w:ascii="Times New Roman" w:hAnsi="Times New Roman" w:eastAsia="Times New Roman"/>
          <w:b/>
          <w:sz w:val="28"/>
        </w:rPr>
        <w:t>Aim: To explore Ethereum accounts, balances, validators, blocks, blockchain structure, node information, and transaction pools using Geth commands on a private Ethereum blockchain.</w:t>
      </w: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1: List accounts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eth.accounts</w:t>
      </w:r>
    </w:p>
    <w:p>
      <w:r>
        <w:drawing>
          <wp:inline>
            <wp:extent cx="5303520" cy="707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accou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2: Check validator account balance (ether)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web3.fromWei(eth.getBalance(eth.accounts[0]), "ether")</w:t>
      </w:r>
    </w:p>
    <w:p>
      <w:r>
        <w:drawing>
          <wp:inline>
            <wp:extent cx="5303520" cy="707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al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3: Check user account balance (ether)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web3.fromWei(eth.getBalance(eth.accounts[1]), "ether")</w:t>
      </w:r>
    </w:p>
    <w:p>
      <w:r>
        <w:drawing>
          <wp:inline>
            <wp:extent cx="5303520" cy="707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a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4: Verify Clique validators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clique.getSigners()</w:t>
      </w:r>
    </w:p>
    <w:p>
      <w:r>
        <w:drawing>
          <wp:inline>
            <wp:extent cx="5303520" cy="707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sig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5: Check network id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net.version</w:t>
      </w:r>
    </w:p>
    <w:p>
      <w:r>
        <w:drawing>
          <wp:inline>
            <wp:extent cx="5303520" cy="707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6: Check current block number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eth.blockNumber</w:t>
      </w:r>
    </w:p>
    <w:p>
      <w:r>
        <w:drawing>
          <wp:inline>
            <wp:extent cx="5303520" cy="707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lockn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7: View latest block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eth.getBlock("latest")</w:t>
      </w:r>
    </w:p>
    <w:p>
      <w:r>
        <w:drawing>
          <wp:inline>
            <wp:extent cx="5303520" cy="3286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la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8: Node id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admin.nodeInfo.id</w:t>
      </w:r>
    </w:p>
    <w:p>
      <w:r>
        <w:drawing>
          <wp:inline>
            <wp:extent cx="5303520" cy="707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n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 w:before="0"/>
      </w:pPr>
      <w:r>
        <w:rPr>
          <w:rFonts w:ascii="Times New Roman" w:hAnsi="Times New Roman" w:eastAsia="Times New Roman"/>
          <w:b/>
          <w:sz w:val="24"/>
        </w:rPr>
        <w:t>Step 9: Transaction pool status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  <w:t>txpool.status</w:t>
      </w:r>
    </w:p>
    <w:p>
      <w:r>
        <w:drawing>
          <wp:inline>
            <wp:extent cx="5303520" cy="1016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txpo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