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before="0"/>
      </w:pPr>
      <w:r>
        <w:rPr>
          <w:rFonts w:ascii="Times New Roman" w:hAnsi="Times New Roman" w:eastAsia="Times New Roman"/>
          <w:b/>
          <w:sz w:val="32"/>
        </w:rPr>
        <w:t>Practical No.4</w:t>
      </w:r>
    </w:p>
    <w:p>
      <w:pPr>
        <w:spacing w:after="240" w:before="0"/>
      </w:pPr>
      <w:r>
        <w:rPr>
          <w:rFonts w:ascii="Times New Roman" w:hAnsi="Times New Roman" w:eastAsia="Times New Roman"/>
          <w:b/>
          <w:sz w:val="28"/>
        </w:rPr>
        <w:t>Aim: To explore Ethereum accounts, balances, validators, blocks, blockchain structure, node information, and transaction pools using Geth commands on a private Ethereum blockchain.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1: List accounts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eth.accounts</w:t>
      </w:r>
    </w:p>
    <w:p>
      <w:r>
        <w:drawing>
          <wp:inline>
            <wp:extent cx="5303520" cy="707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accou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2: Check validator account balance (ether)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web3.fromWei(eth.getBalance(eth.accounts[0]), "ether")</w:t>
      </w:r>
    </w:p>
    <w:p>
      <w:r>
        <w:drawing>
          <wp:inline>
            <wp:extent cx="5303520" cy="707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al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3: Check user account balance (ether)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web3.fromWei(eth.getBalance(eth.accounts[1]), "ether")</w:t>
      </w:r>
    </w:p>
    <w:p>
      <w:r>
        <w:drawing>
          <wp:inline>
            <wp:extent cx="5303520" cy="707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a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4: Verify Clique validators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clique.getSigners()</w:t>
      </w:r>
    </w:p>
    <w:p>
      <w:r>
        <w:drawing>
          <wp:inline>
            <wp:extent cx="5303520" cy="707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sig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5: Check network id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net.version</w:t>
      </w:r>
    </w:p>
    <w:p>
      <w:r>
        <w:drawing>
          <wp:inline>
            <wp:extent cx="5303520" cy="707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6: Check current block number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eth.blockNumber</w:t>
      </w:r>
    </w:p>
    <w:p>
      <w:r>
        <w:drawing>
          <wp:inline>
            <wp:extent cx="5303520" cy="707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lockn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7: View latest block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eth.getBlock("latest")</w:t>
      </w:r>
    </w:p>
    <w:p>
      <w:r>
        <w:drawing>
          <wp:inline>
            <wp:extent cx="5303520" cy="3286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la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8: Node id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admin.nodeInfo.id</w:t>
      </w:r>
    </w:p>
    <w:p>
      <w:r>
        <w:drawing>
          <wp:inline>
            <wp:extent cx="5303520" cy="707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9: Transaction pool status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txpool.status</w:t>
      </w:r>
    </w:p>
    <w:p>
      <w:r>
        <w:drawing>
          <wp:inline>
            <wp:extent cx="5303520" cy="1016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txpo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>
      <w:headerReference r:id="rId6" w:type="default"/>
      <w:footerReference w:type="default" r:id="rId16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