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60" w:line="240" w:lineRule="auto"/>
      </w:pPr>
      <w:r>
        <w:rPr>
          <w:rFonts w:ascii="Times New Roman" w:hAnsi="Times New Roman"/>
          <w:b/>
          <w:sz w:val="28"/>
        </w:rPr>
        <w:t>Practical No.8</w:t>
      </w:r>
    </w:p>
    <w:p>
      <w:pPr>
        <w:spacing w:before="0" w:after="160" w:line="240" w:lineRule="auto"/>
      </w:pPr>
      <w:r>
        <w:rPr>
          <w:rFonts w:ascii="Times New Roman" w:hAnsi="Times New Roman"/>
          <w:b w:val="0"/>
          <w:sz w:val="24"/>
        </w:rPr>
        <w:t>Aim: To implement an owner-restricted Counter contract, deploy it on Remix VM, and read the count.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pragma solidity ^0.8.0;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contract Counter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address public owner;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uint256 public count;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constructor(uint256 start)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owner = msg.sender;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count = start;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modifier onlyOwner()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require(msg.sender == owner, "Not owner");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_;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increment() public onlyOwner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count += 1;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decrement() public onlyOwner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require(count &gt; 0, "Underflow");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count -= 1;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reset(uint256 value) public onlyOwner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count = value;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getCount() public view returns (uint256)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return count;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}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16"/>
        </w:rPr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Output:</w:t>
      </w:r>
    </w:p>
    <w:p>
      <w:pPr>
        <w:spacing w:before="40" w:after="40"/>
      </w:pPr>
      <w:r>
        <w:drawing>
          <wp:inline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compi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deplo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nter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6" w:type="default"/>
      <w:footerReference w:type="default" r:id="rId11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>Blockchain (3171618)</w:t>
      <w:tab/>
      <w:tab/>
      <w:tab/>
      <w:tab/>
      <w:tab/>
      <w:tab/>
      <w:t xml:space="preserve">   Enrollment Number 230090116020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