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8AEF" w14:textId="44F8C58E" w:rsidR="00791F8F" w:rsidRPr="001E03FB" w:rsidRDefault="00C0526F" w:rsidP="001E03FB">
      <w:pPr>
        <w:pStyle w:val="NonstandardBriefTitle"/>
      </w:pPr>
      <w:r>
        <w:t>A Look at 501(c)(3) Public Charities in Southeast Michigan</w:t>
      </w:r>
      <w:r w:rsidR="00AE275A" w:rsidRPr="001E03FB">
        <w:t xml:space="preserve"> </w:t>
      </w:r>
    </w:p>
    <w:p w14:paraId="7CAFDAAC" w14:textId="6431A2B9" w:rsidR="00745D59" w:rsidRPr="001E03FB" w:rsidRDefault="00C0526F" w:rsidP="001E03FB">
      <w:pPr>
        <w:pStyle w:val="NonstandardBriefSubtitle"/>
      </w:pPr>
      <w:r>
        <w:t>Data from the National Center for Charitable Statistics</w:t>
      </w:r>
      <w:r w:rsidR="00AE275A" w:rsidRPr="001E03FB">
        <w:t xml:space="preserve"> </w:t>
      </w:r>
    </w:p>
    <w:p w14:paraId="0164EF66" w14:textId="40BDA541" w:rsidR="00791F8F" w:rsidRDefault="00AC3B95" w:rsidP="00791F8F">
      <w:pPr>
        <w:pStyle w:val="AuthorsByline"/>
      </w:pPr>
      <w:commentRangeStart w:id="0"/>
      <w:r>
        <w:t>Christina Prinvil, Hannah Martin, Thiyaghessan Poongundranar, and Laura Tomasko</w:t>
      </w:r>
      <w:commentRangeEnd w:id="0"/>
      <w:r w:rsidR="006F458C">
        <w:rPr>
          <w:rStyle w:val="CommentReference"/>
          <w:sz w:val="21"/>
          <w:szCs w:val="20"/>
        </w:rPr>
        <w:commentReference w:id="0"/>
      </w:r>
    </w:p>
    <w:p w14:paraId="1840D9B9" w14:textId="4E09CA68" w:rsidR="009D148B" w:rsidRDefault="00AC3B95" w:rsidP="009D148B">
      <w:pPr>
        <w:pStyle w:val="AuthorsAffiliation"/>
        <w:tabs>
          <w:tab w:val="left" w:pos="2389"/>
          <w:tab w:val="left" w:pos="4779"/>
          <w:tab w:val="left" w:pos="7169"/>
        </w:tabs>
      </w:pPr>
      <w:r>
        <w:t>Urban institute</w:t>
      </w:r>
      <w:r w:rsidR="009D148B" w:rsidRPr="00E5508F">
        <w:t xml:space="preserve"> </w:t>
      </w:r>
    </w:p>
    <w:p w14:paraId="685DBB23" w14:textId="241A9C1E" w:rsidR="00AC3B95" w:rsidRDefault="00AC3B95" w:rsidP="00AC3B95">
      <w:pPr>
        <w:pStyle w:val="AuthorsByline"/>
      </w:pPr>
      <w:r>
        <w:t>Lewis Faulk</w:t>
      </w:r>
    </w:p>
    <w:p w14:paraId="53CFDCFD" w14:textId="24060EAB" w:rsidR="00AC3B95" w:rsidRDefault="00AC3B95" w:rsidP="00AC3B95">
      <w:pPr>
        <w:pStyle w:val="AuthorsAffiliation"/>
        <w:tabs>
          <w:tab w:val="left" w:pos="2389"/>
          <w:tab w:val="left" w:pos="4779"/>
          <w:tab w:val="left" w:pos="7169"/>
        </w:tabs>
      </w:pPr>
      <w:r>
        <w:t>American University</w:t>
      </w:r>
    </w:p>
    <w:p w14:paraId="3C2FDD6F" w14:textId="0E23EA52" w:rsidR="00AC3B95" w:rsidRDefault="00AC3B95" w:rsidP="00AC3B95">
      <w:pPr>
        <w:pStyle w:val="AuthorsByline"/>
      </w:pPr>
      <w:r>
        <w:t>Mirae Kim</w:t>
      </w:r>
    </w:p>
    <w:p w14:paraId="63D34CA2" w14:textId="27F89EBB" w:rsidR="00AC3B95" w:rsidRPr="005C107B" w:rsidRDefault="00AC3B95" w:rsidP="00AC3B95">
      <w:pPr>
        <w:pStyle w:val="AuthorsAffiliation"/>
        <w:tabs>
          <w:tab w:val="left" w:pos="2389"/>
          <w:tab w:val="left" w:pos="4779"/>
          <w:tab w:val="left" w:pos="7169"/>
        </w:tabs>
      </w:pPr>
      <w:r>
        <w:t>George Mason University</w:t>
      </w:r>
    </w:p>
    <w:p w14:paraId="0AED547F" w14:textId="64D74410" w:rsidR="00910BF5" w:rsidRPr="00910BF5" w:rsidRDefault="006F458C" w:rsidP="00910BF5">
      <w:pPr>
        <w:pStyle w:val="Date"/>
      </w:pPr>
      <w:r>
        <w:t>January</w:t>
      </w:r>
      <w:r w:rsidR="00AC3B95">
        <w:t xml:space="preserve"> 202</w:t>
      </w:r>
      <w:r>
        <w:t>7</w:t>
      </w:r>
      <w:r w:rsidR="00AE275A">
        <w:t xml:space="preserve"> </w:t>
      </w:r>
    </w:p>
    <w:p w14:paraId="4DCF3349" w14:textId="4171A163" w:rsidR="001D6E32" w:rsidRDefault="005C29CA" w:rsidP="00686C71">
      <w:pPr>
        <w:pStyle w:val="BodyText"/>
      </w:pPr>
      <w:r>
        <w:t xml:space="preserve">501(c)(3) public charities provide important programs and services to </w:t>
      </w:r>
      <w:r w:rsidR="002E0D5A">
        <w:t>the 4,827,615 residents</w:t>
      </w:r>
      <w:r w:rsidR="002E0D5A">
        <w:rPr>
          <w:rStyle w:val="EndnoteReference"/>
        </w:rPr>
        <w:endnoteReference w:id="2"/>
      </w:r>
      <w:r w:rsidR="002E0D5A">
        <w:t xml:space="preserve"> living in </w:t>
      </w:r>
      <w:r>
        <w:t xml:space="preserve">Southeast Michigan’s seven-county region of Livingston, Macomb, Monroe, Oakland, St. Clair, Washtenaw, and Wayne Counties. This brief provides a look at these 501(c)(3) public charities, including how many there are, what subsectors they operate in, how old they are, </w:t>
      </w:r>
      <w:r w:rsidR="008B17BA">
        <w:t xml:space="preserve">what version of the Form 990 they file, </w:t>
      </w:r>
      <w:r>
        <w:t>what their finances look like, and how many employees they have.</w:t>
      </w:r>
    </w:p>
    <w:p w14:paraId="1A685D18" w14:textId="04C14853" w:rsidR="00791F8F" w:rsidRDefault="00BB560C" w:rsidP="00791F8F">
      <w:pPr>
        <w:pStyle w:val="Heading1"/>
      </w:pPr>
      <w:r>
        <w:t xml:space="preserve">Number of </w:t>
      </w:r>
      <w:r w:rsidR="007960EC">
        <w:t xml:space="preserve">Registered </w:t>
      </w:r>
      <w:r>
        <w:t>501(c)(3) Public Charities</w:t>
      </w:r>
    </w:p>
    <w:p w14:paraId="30C82861" w14:textId="3CD02915" w:rsidR="00CD4EFA" w:rsidRDefault="007960EC" w:rsidP="00CD4EFA">
      <w:pPr>
        <w:pStyle w:val="BodyText"/>
      </w:pPr>
      <w:r w:rsidRPr="007960EC">
        <w:t xml:space="preserve">Southeast Michigan has </w:t>
      </w:r>
      <w:r w:rsidRPr="007960EC">
        <w:rPr>
          <w:highlight w:val="yellow"/>
        </w:rPr>
        <w:t>X</w:t>
      </w:r>
      <w:r w:rsidRPr="007960EC">
        <w:t xml:space="preserve"> </w:t>
      </w:r>
      <w:r>
        <w:t xml:space="preserve">registered </w:t>
      </w:r>
      <w:r w:rsidRPr="007960EC">
        <w:t>501(c)(3) public charities</w:t>
      </w:r>
      <w:r>
        <w:t>. “Registered” means these organizations have received tax-exempt status from the Internal Revenue Service (IRS).</w:t>
      </w:r>
      <w:r w:rsidR="003E390C">
        <w:t xml:space="preserve"> </w:t>
      </w:r>
      <w:r w:rsidR="00F710B4">
        <w:t>Figure</w:t>
      </w:r>
      <w:r w:rsidR="003E390C">
        <w:t xml:space="preserve"> 1 shows the geographic distribution of these organizations.</w:t>
      </w:r>
    </w:p>
    <w:p w14:paraId="5803AFBE" w14:textId="7F087E7D" w:rsidR="00F710B4" w:rsidRDefault="00F710B4" w:rsidP="00F710B4">
      <w:pPr>
        <w:pStyle w:val="FigureTableNumber"/>
      </w:pPr>
      <w:r>
        <w:t>figure 1</w:t>
      </w:r>
    </w:p>
    <w:p w14:paraId="2079E38B" w14:textId="7F93E319" w:rsidR="00F710B4" w:rsidRDefault="00F710B4" w:rsidP="00F710B4">
      <w:pPr>
        <w:pStyle w:val="FigureTableTitle"/>
      </w:pPr>
      <w:r>
        <w:t xml:space="preserve">Number of Registered 501(c)(3) Public Charities in Southeast Michigan, </w:t>
      </w:r>
      <w:r w:rsidRPr="00F710B4">
        <w:rPr>
          <w:highlight w:val="yellow"/>
        </w:rPr>
        <w:t>Year</w:t>
      </w:r>
    </w:p>
    <w:p w14:paraId="33D9DDF7" w14:textId="38EFEA83" w:rsidR="00F710B4" w:rsidRPr="00F710B4" w:rsidRDefault="00F710B4" w:rsidP="00F710B4">
      <w:pPr>
        <w:pStyle w:val="FigureTableSubtitle"/>
        <w:rPr>
          <w:i w:val="0"/>
          <w:iCs/>
        </w:rPr>
      </w:pPr>
      <w:r w:rsidRPr="00FA158D">
        <w:rPr>
          <w:i w:val="0"/>
          <w:iCs/>
          <w:highlight w:val="yellow"/>
        </w:rPr>
        <w:t>[</w:t>
      </w:r>
      <w:r w:rsidR="00B77B56">
        <w:rPr>
          <w:i w:val="0"/>
          <w:iCs/>
          <w:highlight w:val="yellow"/>
        </w:rPr>
        <w:t>placeholder for</w:t>
      </w:r>
      <w:r w:rsidRPr="00FA158D">
        <w:rPr>
          <w:i w:val="0"/>
          <w:iCs/>
          <w:highlight w:val="yellow"/>
        </w:rPr>
        <w:t xml:space="preserve"> a map of the 7-county region with each county’s name and number of registered 501(c)(3) public charities]</w:t>
      </w:r>
    </w:p>
    <w:p w14:paraId="4A9A5DC8" w14:textId="138C2220" w:rsidR="00F710B4" w:rsidRPr="0091214F" w:rsidRDefault="00F710B4" w:rsidP="00F710B4">
      <w:pPr>
        <w:pStyle w:val="FigurePlacer"/>
        <w:rPr>
          <w:b/>
          <w:smallCaps/>
          <w:spacing w:val="10"/>
        </w:rPr>
      </w:pPr>
      <w:r w:rsidRPr="0091214F">
        <w:rPr>
          <w:b/>
          <w:bCs/>
          <w:smallCaps/>
          <w:color w:val="1696D2" w:themeColor="accent1"/>
          <w:spacing w:val="10"/>
        </w:rPr>
        <w:t xml:space="preserve">urban </w:t>
      </w:r>
      <w:r>
        <w:rPr>
          <w:b/>
          <w:smallCaps/>
          <w:spacing w:val="10"/>
        </w:rPr>
        <w:t>institute</w:t>
      </w:r>
    </w:p>
    <w:p w14:paraId="0AB189E4" w14:textId="3C962BAD" w:rsidR="00F710B4" w:rsidRPr="002E7F75" w:rsidRDefault="00F710B4" w:rsidP="002E7F75">
      <w:pPr>
        <w:pStyle w:val="FigureTableNotes"/>
      </w:pPr>
      <w:r w:rsidRPr="000F6AF8">
        <w:rPr>
          <w:b/>
        </w:rPr>
        <w:t xml:space="preserve">Source: </w:t>
      </w:r>
      <w:r w:rsidR="002E7F75" w:rsidRPr="002E7F75">
        <w:t>National Center for Charitable Statistics Unified Business Master File</w:t>
      </w:r>
      <w:r w:rsidRPr="000F6AF8">
        <w:t>.</w:t>
      </w:r>
    </w:p>
    <w:p w14:paraId="09C1CFBB" w14:textId="12EF028F" w:rsidR="00910BF5" w:rsidRDefault="00B77B56" w:rsidP="00B77B56">
      <w:pPr>
        <w:pStyle w:val="Heading1"/>
      </w:pPr>
      <w:r>
        <w:t>Subsectors of Registered 501(c)(3) Public Charities</w:t>
      </w:r>
    </w:p>
    <w:p w14:paraId="6EE74372" w14:textId="6BAF4B41" w:rsidR="00B77B56" w:rsidRPr="00B77B56" w:rsidRDefault="00B77B56" w:rsidP="00B77B56">
      <w:pPr>
        <w:pStyle w:val="BodyText"/>
      </w:pPr>
      <w:r w:rsidRPr="00837302">
        <w:rPr>
          <w:highlight w:val="yellow"/>
        </w:rPr>
        <w:t>[placeholder for text commenting on</w:t>
      </w:r>
      <w:r w:rsidR="004D1D0F">
        <w:rPr>
          <w:highlight w:val="yellow"/>
        </w:rPr>
        <w:t xml:space="preserve"> table 1</w:t>
      </w:r>
      <w:r w:rsidRPr="00837302">
        <w:rPr>
          <w:highlight w:val="yellow"/>
        </w:rPr>
        <w:t>]</w:t>
      </w:r>
      <w:r>
        <w:t xml:space="preserve"> </w:t>
      </w:r>
      <w:r w:rsidR="00333B29">
        <w:t>(table 1).</w:t>
      </w:r>
    </w:p>
    <w:p w14:paraId="372AE97C" w14:textId="5E3EB9C1" w:rsidR="001D6E32" w:rsidRDefault="006623D6" w:rsidP="00422013">
      <w:pPr>
        <w:pStyle w:val="FigureTableNumber"/>
      </w:pPr>
      <w:r>
        <w:t>table</w:t>
      </w:r>
      <w:r w:rsidR="001D6E32">
        <w:t xml:space="preserve"> 1</w:t>
      </w:r>
    </w:p>
    <w:p w14:paraId="76673457" w14:textId="60D093B4" w:rsidR="001D6E32" w:rsidRDefault="000A1684" w:rsidP="000A1684">
      <w:pPr>
        <w:pStyle w:val="FigureTableTitle"/>
      </w:pPr>
      <w:r>
        <w:t xml:space="preserve">Subsector Breakdown of Registered 501(c)(3) Public Charities in Southeast Michigan, </w:t>
      </w:r>
      <w:r w:rsidRPr="000A1684">
        <w:rPr>
          <w:highlight w:val="yellow"/>
        </w:rPr>
        <w:t>Year</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6"/>
        <w:gridCol w:w="1113"/>
        <w:gridCol w:w="1098"/>
        <w:gridCol w:w="1193"/>
        <w:gridCol w:w="896"/>
        <w:gridCol w:w="977"/>
        <w:gridCol w:w="810"/>
        <w:gridCol w:w="1311"/>
        <w:gridCol w:w="846"/>
      </w:tblGrid>
      <w:tr w:rsidR="000A1684" w:rsidRPr="006623D6" w14:paraId="74E7F25E" w14:textId="3677453A" w:rsidTr="00F81945">
        <w:tc>
          <w:tcPr>
            <w:tcW w:w="1836" w:type="dxa"/>
            <w:tcBorders>
              <w:bottom w:val="single" w:sz="8" w:space="0" w:color="auto"/>
            </w:tcBorders>
            <w:vAlign w:val="bottom"/>
          </w:tcPr>
          <w:p w14:paraId="704FE1AB" w14:textId="0B37F2CD" w:rsidR="000A1684" w:rsidRPr="006623D6" w:rsidRDefault="000A1684" w:rsidP="000A1684">
            <w:pPr>
              <w:pStyle w:val="TableColumnHeading"/>
              <w:jc w:val="left"/>
            </w:pPr>
          </w:p>
        </w:tc>
        <w:tc>
          <w:tcPr>
            <w:tcW w:w="1113" w:type="dxa"/>
            <w:tcBorders>
              <w:bottom w:val="single" w:sz="8" w:space="0" w:color="auto"/>
            </w:tcBorders>
          </w:tcPr>
          <w:p w14:paraId="439144E6" w14:textId="49926792" w:rsidR="000A1684" w:rsidRPr="006623D6" w:rsidRDefault="000A1684" w:rsidP="000A1684">
            <w:pPr>
              <w:pStyle w:val="TableColumnHeading"/>
            </w:pPr>
            <w:r w:rsidRPr="00EB6DEA">
              <w:t>Southeast Michigan</w:t>
            </w:r>
          </w:p>
        </w:tc>
        <w:tc>
          <w:tcPr>
            <w:tcW w:w="1098" w:type="dxa"/>
            <w:tcBorders>
              <w:bottom w:val="single" w:sz="8" w:space="0" w:color="auto"/>
            </w:tcBorders>
          </w:tcPr>
          <w:p w14:paraId="370CF50F" w14:textId="52C1CAC3" w:rsidR="000A1684" w:rsidRPr="006623D6" w:rsidRDefault="000A1684" w:rsidP="000A1684">
            <w:pPr>
              <w:pStyle w:val="TableColumnHeading"/>
            </w:pPr>
            <w:r w:rsidRPr="00EB6DEA">
              <w:t>Livingston</w:t>
            </w:r>
          </w:p>
        </w:tc>
        <w:tc>
          <w:tcPr>
            <w:tcW w:w="1193" w:type="dxa"/>
            <w:tcBorders>
              <w:bottom w:val="single" w:sz="8" w:space="0" w:color="auto"/>
            </w:tcBorders>
          </w:tcPr>
          <w:p w14:paraId="0722218F" w14:textId="7A56A987" w:rsidR="000A1684" w:rsidRPr="006623D6" w:rsidRDefault="000A1684" w:rsidP="000A1684">
            <w:pPr>
              <w:pStyle w:val="TableColumnHeading"/>
            </w:pPr>
            <w:r w:rsidRPr="00EB6DEA">
              <w:t>Macomb</w:t>
            </w:r>
          </w:p>
        </w:tc>
        <w:tc>
          <w:tcPr>
            <w:tcW w:w="896" w:type="dxa"/>
            <w:tcBorders>
              <w:bottom w:val="single" w:sz="8" w:space="0" w:color="auto"/>
            </w:tcBorders>
          </w:tcPr>
          <w:p w14:paraId="436E2E03" w14:textId="0202C1EF" w:rsidR="000A1684" w:rsidRPr="006623D6" w:rsidRDefault="000A1684" w:rsidP="000A1684">
            <w:pPr>
              <w:pStyle w:val="TableColumnHeading"/>
            </w:pPr>
            <w:r w:rsidRPr="00EB6DEA">
              <w:t>Monroe</w:t>
            </w:r>
          </w:p>
        </w:tc>
        <w:tc>
          <w:tcPr>
            <w:tcW w:w="977" w:type="dxa"/>
            <w:tcBorders>
              <w:bottom w:val="single" w:sz="8" w:space="0" w:color="auto"/>
            </w:tcBorders>
          </w:tcPr>
          <w:p w14:paraId="06E739C3" w14:textId="4BEB2DA7" w:rsidR="000A1684" w:rsidRPr="006623D6" w:rsidRDefault="000A1684" w:rsidP="000A1684">
            <w:pPr>
              <w:pStyle w:val="TableColumnHeading"/>
            </w:pPr>
            <w:r w:rsidRPr="00EB6DEA">
              <w:t>Oakland</w:t>
            </w:r>
          </w:p>
        </w:tc>
        <w:tc>
          <w:tcPr>
            <w:tcW w:w="810" w:type="dxa"/>
            <w:tcBorders>
              <w:bottom w:val="single" w:sz="8" w:space="0" w:color="auto"/>
            </w:tcBorders>
          </w:tcPr>
          <w:p w14:paraId="7E0684CD" w14:textId="68A2A3A2" w:rsidR="000A1684" w:rsidRPr="006623D6" w:rsidRDefault="000A1684" w:rsidP="000A1684">
            <w:pPr>
              <w:pStyle w:val="TableColumnHeading"/>
            </w:pPr>
            <w:r w:rsidRPr="00EB6DEA">
              <w:t>St. Clair</w:t>
            </w:r>
          </w:p>
        </w:tc>
        <w:tc>
          <w:tcPr>
            <w:tcW w:w="1311" w:type="dxa"/>
            <w:tcBorders>
              <w:bottom w:val="single" w:sz="8" w:space="0" w:color="auto"/>
            </w:tcBorders>
          </w:tcPr>
          <w:p w14:paraId="6B52245A" w14:textId="56523A96" w:rsidR="000A1684" w:rsidRPr="006623D6" w:rsidRDefault="000A1684" w:rsidP="000A1684">
            <w:pPr>
              <w:pStyle w:val="TableColumnHeading"/>
            </w:pPr>
            <w:r w:rsidRPr="00EB6DEA">
              <w:t>Washtenaw</w:t>
            </w:r>
          </w:p>
        </w:tc>
        <w:tc>
          <w:tcPr>
            <w:tcW w:w="846" w:type="dxa"/>
            <w:tcBorders>
              <w:bottom w:val="single" w:sz="8" w:space="0" w:color="auto"/>
            </w:tcBorders>
          </w:tcPr>
          <w:p w14:paraId="18ABA5BD" w14:textId="77A8D276" w:rsidR="000A1684" w:rsidRPr="006623D6" w:rsidRDefault="000A1684" w:rsidP="000A1684">
            <w:pPr>
              <w:pStyle w:val="TableColumnHeading"/>
            </w:pPr>
            <w:r w:rsidRPr="00EB6DEA">
              <w:t>Wayne</w:t>
            </w:r>
          </w:p>
        </w:tc>
      </w:tr>
      <w:tr w:rsidR="000A1684" w:rsidRPr="006623D6" w14:paraId="3865E766" w14:textId="71C7434C" w:rsidTr="00F81945">
        <w:tc>
          <w:tcPr>
            <w:tcW w:w="1836" w:type="dxa"/>
          </w:tcPr>
          <w:p w14:paraId="54FE7F2B" w14:textId="308F99B6" w:rsidR="000A1684" w:rsidRPr="006623D6" w:rsidRDefault="000A1684" w:rsidP="000A1684">
            <w:pPr>
              <w:pStyle w:val="TableRow"/>
            </w:pPr>
            <w:r w:rsidRPr="00196A5D">
              <w:t>Arts, culture, and humanities</w:t>
            </w:r>
          </w:p>
        </w:tc>
        <w:tc>
          <w:tcPr>
            <w:tcW w:w="1113" w:type="dxa"/>
            <w:vAlign w:val="bottom"/>
          </w:tcPr>
          <w:p w14:paraId="426178E0" w14:textId="01C21FEA" w:rsidR="000A1684" w:rsidRPr="006623D6" w:rsidRDefault="000A1684" w:rsidP="000A1684">
            <w:pPr>
              <w:pStyle w:val="TableRow"/>
              <w:tabs>
                <w:tab w:val="decimal" w:pos="629"/>
              </w:tabs>
            </w:pPr>
          </w:p>
        </w:tc>
        <w:tc>
          <w:tcPr>
            <w:tcW w:w="1098" w:type="dxa"/>
            <w:vAlign w:val="bottom"/>
          </w:tcPr>
          <w:p w14:paraId="30670490" w14:textId="2271C5E8" w:rsidR="000A1684" w:rsidRPr="006623D6" w:rsidRDefault="000A1684" w:rsidP="000A1684">
            <w:pPr>
              <w:pStyle w:val="TableRow"/>
              <w:tabs>
                <w:tab w:val="decimal" w:pos="614"/>
              </w:tabs>
            </w:pPr>
          </w:p>
        </w:tc>
        <w:tc>
          <w:tcPr>
            <w:tcW w:w="1193" w:type="dxa"/>
            <w:vAlign w:val="bottom"/>
          </w:tcPr>
          <w:p w14:paraId="7B26E452" w14:textId="47EB2185" w:rsidR="000A1684" w:rsidRDefault="000A1684" w:rsidP="000A1684">
            <w:pPr>
              <w:pStyle w:val="TableRow"/>
              <w:tabs>
                <w:tab w:val="decimal" w:pos="675"/>
              </w:tabs>
            </w:pPr>
          </w:p>
        </w:tc>
        <w:tc>
          <w:tcPr>
            <w:tcW w:w="896" w:type="dxa"/>
            <w:vAlign w:val="bottom"/>
          </w:tcPr>
          <w:p w14:paraId="1E122017" w14:textId="1708CE9D" w:rsidR="000A1684" w:rsidRDefault="000A1684" w:rsidP="000A1684">
            <w:pPr>
              <w:pStyle w:val="TableRow"/>
              <w:tabs>
                <w:tab w:val="decimal" w:pos="675"/>
              </w:tabs>
            </w:pPr>
          </w:p>
        </w:tc>
        <w:tc>
          <w:tcPr>
            <w:tcW w:w="977" w:type="dxa"/>
          </w:tcPr>
          <w:p w14:paraId="5A0AD173" w14:textId="77777777" w:rsidR="000A1684" w:rsidRDefault="000A1684" w:rsidP="000A1684">
            <w:pPr>
              <w:pStyle w:val="TableRow"/>
              <w:tabs>
                <w:tab w:val="decimal" w:pos="675"/>
              </w:tabs>
            </w:pPr>
          </w:p>
        </w:tc>
        <w:tc>
          <w:tcPr>
            <w:tcW w:w="810" w:type="dxa"/>
          </w:tcPr>
          <w:p w14:paraId="365495BC" w14:textId="77777777" w:rsidR="000A1684" w:rsidRDefault="000A1684" w:rsidP="000A1684">
            <w:pPr>
              <w:pStyle w:val="TableRow"/>
              <w:tabs>
                <w:tab w:val="decimal" w:pos="675"/>
              </w:tabs>
            </w:pPr>
          </w:p>
        </w:tc>
        <w:tc>
          <w:tcPr>
            <w:tcW w:w="1311" w:type="dxa"/>
          </w:tcPr>
          <w:p w14:paraId="2437B119" w14:textId="77777777" w:rsidR="000A1684" w:rsidRDefault="000A1684" w:rsidP="000A1684">
            <w:pPr>
              <w:pStyle w:val="TableRow"/>
              <w:tabs>
                <w:tab w:val="decimal" w:pos="675"/>
              </w:tabs>
            </w:pPr>
          </w:p>
        </w:tc>
        <w:tc>
          <w:tcPr>
            <w:tcW w:w="846" w:type="dxa"/>
          </w:tcPr>
          <w:p w14:paraId="4613419D" w14:textId="77777777" w:rsidR="000A1684" w:rsidRDefault="000A1684" w:rsidP="000A1684">
            <w:pPr>
              <w:pStyle w:val="TableRow"/>
              <w:tabs>
                <w:tab w:val="decimal" w:pos="675"/>
              </w:tabs>
            </w:pPr>
          </w:p>
        </w:tc>
      </w:tr>
      <w:tr w:rsidR="000A1684" w:rsidRPr="006623D6" w14:paraId="4679AF3E" w14:textId="7CC7BBCB" w:rsidTr="00F81945">
        <w:tc>
          <w:tcPr>
            <w:tcW w:w="1836" w:type="dxa"/>
          </w:tcPr>
          <w:p w14:paraId="386B141D" w14:textId="41113B94" w:rsidR="000A1684" w:rsidRPr="006623D6" w:rsidRDefault="000A1684" w:rsidP="000A1684">
            <w:pPr>
              <w:pStyle w:val="TableRow"/>
            </w:pPr>
            <w:r w:rsidRPr="00196A5D">
              <w:t>Education</w:t>
            </w:r>
            <w:r w:rsidR="00F81945">
              <w:t xml:space="preserve"> (including universities)</w:t>
            </w:r>
          </w:p>
        </w:tc>
        <w:tc>
          <w:tcPr>
            <w:tcW w:w="1113" w:type="dxa"/>
            <w:vAlign w:val="bottom"/>
          </w:tcPr>
          <w:p w14:paraId="7EEF7120" w14:textId="4E19F066" w:rsidR="000A1684" w:rsidRPr="006623D6" w:rsidRDefault="000A1684" w:rsidP="000A1684">
            <w:pPr>
              <w:pStyle w:val="TableRow"/>
              <w:tabs>
                <w:tab w:val="decimal" w:pos="629"/>
              </w:tabs>
            </w:pPr>
          </w:p>
        </w:tc>
        <w:tc>
          <w:tcPr>
            <w:tcW w:w="1098" w:type="dxa"/>
            <w:vAlign w:val="bottom"/>
          </w:tcPr>
          <w:p w14:paraId="42D3DB9A" w14:textId="40D1DD0C" w:rsidR="000A1684" w:rsidRPr="006623D6" w:rsidRDefault="000A1684" w:rsidP="000A1684">
            <w:pPr>
              <w:pStyle w:val="TableRow"/>
              <w:tabs>
                <w:tab w:val="decimal" w:pos="614"/>
              </w:tabs>
            </w:pPr>
          </w:p>
        </w:tc>
        <w:tc>
          <w:tcPr>
            <w:tcW w:w="1193" w:type="dxa"/>
            <w:vAlign w:val="bottom"/>
          </w:tcPr>
          <w:p w14:paraId="549C69E7" w14:textId="65607769" w:rsidR="000A1684" w:rsidRDefault="000A1684" w:rsidP="000A1684">
            <w:pPr>
              <w:pStyle w:val="TableRow"/>
              <w:tabs>
                <w:tab w:val="decimal" w:pos="675"/>
              </w:tabs>
            </w:pPr>
          </w:p>
        </w:tc>
        <w:tc>
          <w:tcPr>
            <w:tcW w:w="896" w:type="dxa"/>
            <w:vAlign w:val="bottom"/>
          </w:tcPr>
          <w:p w14:paraId="0F979D49" w14:textId="0F4F0431" w:rsidR="000A1684" w:rsidRDefault="000A1684" w:rsidP="000A1684">
            <w:pPr>
              <w:pStyle w:val="TableRow"/>
              <w:tabs>
                <w:tab w:val="decimal" w:pos="675"/>
              </w:tabs>
            </w:pPr>
          </w:p>
        </w:tc>
        <w:tc>
          <w:tcPr>
            <w:tcW w:w="977" w:type="dxa"/>
          </w:tcPr>
          <w:p w14:paraId="0C961B12" w14:textId="77777777" w:rsidR="000A1684" w:rsidRDefault="000A1684" w:rsidP="000A1684">
            <w:pPr>
              <w:pStyle w:val="TableRow"/>
              <w:tabs>
                <w:tab w:val="decimal" w:pos="675"/>
              </w:tabs>
            </w:pPr>
          </w:p>
        </w:tc>
        <w:tc>
          <w:tcPr>
            <w:tcW w:w="810" w:type="dxa"/>
          </w:tcPr>
          <w:p w14:paraId="555B5A7B" w14:textId="77777777" w:rsidR="000A1684" w:rsidRDefault="000A1684" w:rsidP="000A1684">
            <w:pPr>
              <w:pStyle w:val="TableRow"/>
              <w:tabs>
                <w:tab w:val="decimal" w:pos="675"/>
              </w:tabs>
            </w:pPr>
          </w:p>
        </w:tc>
        <w:tc>
          <w:tcPr>
            <w:tcW w:w="1311" w:type="dxa"/>
          </w:tcPr>
          <w:p w14:paraId="02CF84AE" w14:textId="77777777" w:rsidR="000A1684" w:rsidRDefault="000A1684" w:rsidP="000A1684">
            <w:pPr>
              <w:pStyle w:val="TableRow"/>
              <w:tabs>
                <w:tab w:val="decimal" w:pos="675"/>
              </w:tabs>
            </w:pPr>
          </w:p>
        </w:tc>
        <w:tc>
          <w:tcPr>
            <w:tcW w:w="846" w:type="dxa"/>
          </w:tcPr>
          <w:p w14:paraId="1A6C98C8" w14:textId="77777777" w:rsidR="000A1684" w:rsidRDefault="000A1684" w:rsidP="000A1684">
            <w:pPr>
              <w:pStyle w:val="TableRow"/>
              <w:tabs>
                <w:tab w:val="decimal" w:pos="675"/>
              </w:tabs>
            </w:pPr>
          </w:p>
        </w:tc>
      </w:tr>
      <w:tr w:rsidR="000A1684" w:rsidRPr="006623D6" w14:paraId="47BA75B6" w14:textId="5F6F05F3" w:rsidTr="00F81945">
        <w:tc>
          <w:tcPr>
            <w:tcW w:w="1836" w:type="dxa"/>
          </w:tcPr>
          <w:p w14:paraId="4544C06E" w14:textId="3034E6AC" w:rsidR="000A1684" w:rsidRPr="006623D6" w:rsidRDefault="000A1684" w:rsidP="000A1684">
            <w:pPr>
              <w:pStyle w:val="TableRow"/>
            </w:pPr>
            <w:r w:rsidRPr="00196A5D">
              <w:lastRenderedPageBreak/>
              <w:t>Environment and animals</w:t>
            </w:r>
          </w:p>
        </w:tc>
        <w:tc>
          <w:tcPr>
            <w:tcW w:w="1113" w:type="dxa"/>
            <w:vAlign w:val="bottom"/>
          </w:tcPr>
          <w:p w14:paraId="79970CCE" w14:textId="04AB923E" w:rsidR="000A1684" w:rsidRPr="006623D6" w:rsidRDefault="000A1684" w:rsidP="000A1684">
            <w:pPr>
              <w:pStyle w:val="TableRow"/>
              <w:tabs>
                <w:tab w:val="decimal" w:pos="629"/>
              </w:tabs>
            </w:pPr>
          </w:p>
        </w:tc>
        <w:tc>
          <w:tcPr>
            <w:tcW w:w="1098" w:type="dxa"/>
            <w:vAlign w:val="bottom"/>
          </w:tcPr>
          <w:p w14:paraId="32D33AAA" w14:textId="5F5CC2D7" w:rsidR="000A1684" w:rsidRPr="006623D6" w:rsidRDefault="000A1684" w:rsidP="000A1684">
            <w:pPr>
              <w:pStyle w:val="TableRow"/>
              <w:tabs>
                <w:tab w:val="decimal" w:pos="614"/>
              </w:tabs>
            </w:pPr>
          </w:p>
        </w:tc>
        <w:tc>
          <w:tcPr>
            <w:tcW w:w="1193" w:type="dxa"/>
            <w:vAlign w:val="bottom"/>
          </w:tcPr>
          <w:p w14:paraId="6C7E6119" w14:textId="283DA12B" w:rsidR="000A1684" w:rsidRDefault="000A1684" w:rsidP="000A1684">
            <w:pPr>
              <w:pStyle w:val="TableRow"/>
              <w:tabs>
                <w:tab w:val="decimal" w:pos="675"/>
              </w:tabs>
            </w:pPr>
          </w:p>
        </w:tc>
        <w:tc>
          <w:tcPr>
            <w:tcW w:w="896" w:type="dxa"/>
            <w:vAlign w:val="bottom"/>
          </w:tcPr>
          <w:p w14:paraId="475FF803" w14:textId="54284721" w:rsidR="000A1684" w:rsidRDefault="000A1684" w:rsidP="000A1684">
            <w:pPr>
              <w:pStyle w:val="TableRow"/>
              <w:tabs>
                <w:tab w:val="decimal" w:pos="675"/>
              </w:tabs>
            </w:pPr>
          </w:p>
        </w:tc>
        <w:tc>
          <w:tcPr>
            <w:tcW w:w="977" w:type="dxa"/>
          </w:tcPr>
          <w:p w14:paraId="11FB2779" w14:textId="77777777" w:rsidR="000A1684" w:rsidRDefault="000A1684" w:rsidP="000A1684">
            <w:pPr>
              <w:pStyle w:val="TableRow"/>
              <w:tabs>
                <w:tab w:val="decimal" w:pos="675"/>
              </w:tabs>
            </w:pPr>
          </w:p>
        </w:tc>
        <w:tc>
          <w:tcPr>
            <w:tcW w:w="810" w:type="dxa"/>
          </w:tcPr>
          <w:p w14:paraId="37B588B4" w14:textId="77777777" w:rsidR="000A1684" w:rsidRDefault="000A1684" w:rsidP="000A1684">
            <w:pPr>
              <w:pStyle w:val="TableRow"/>
              <w:tabs>
                <w:tab w:val="decimal" w:pos="675"/>
              </w:tabs>
            </w:pPr>
          </w:p>
        </w:tc>
        <w:tc>
          <w:tcPr>
            <w:tcW w:w="1311" w:type="dxa"/>
          </w:tcPr>
          <w:p w14:paraId="1C54C286" w14:textId="77777777" w:rsidR="000A1684" w:rsidRDefault="000A1684" w:rsidP="000A1684">
            <w:pPr>
              <w:pStyle w:val="TableRow"/>
              <w:tabs>
                <w:tab w:val="decimal" w:pos="675"/>
              </w:tabs>
            </w:pPr>
          </w:p>
        </w:tc>
        <w:tc>
          <w:tcPr>
            <w:tcW w:w="846" w:type="dxa"/>
          </w:tcPr>
          <w:p w14:paraId="227EBF0F" w14:textId="77777777" w:rsidR="000A1684" w:rsidRDefault="000A1684" w:rsidP="000A1684">
            <w:pPr>
              <w:pStyle w:val="TableRow"/>
              <w:tabs>
                <w:tab w:val="decimal" w:pos="675"/>
              </w:tabs>
            </w:pPr>
          </w:p>
        </w:tc>
      </w:tr>
      <w:tr w:rsidR="000A1684" w:rsidRPr="006623D6" w14:paraId="68D66615" w14:textId="6F466AE6" w:rsidTr="00F81945">
        <w:tc>
          <w:tcPr>
            <w:tcW w:w="1836" w:type="dxa"/>
          </w:tcPr>
          <w:p w14:paraId="5742B32A" w14:textId="51048FAC" w:rsidR="000A1684" w:rsidRPr="006623D6" w:rsidRDefault="000A1684" w:rsidP="000A1684">
            <w:pPr>
              <w:pStyle w:val="TableRow"/>
            </w:pPr>
            <w:r w:rsidRPr="00196A5D">
              <w:t>Health</w:t>
            </w:r>
            <w:r w:rsidR="00F81945">
              <w:t xml:space="preserve"> (including hospitals)</w:t>
            </w:r>
          </w:p>
        </w:tc>
        <w:tc>
          <w:tcPr>
            <w:tcW w:w="1113" w:type="dxa"/>
            <w:vAlign w:val="bottom"/>
          </w:tcPr>
          <w:p w14:paraId="34E02940" w14:textId="77777777" w:rsidR="000A1684" w:rsidRPr="006623D6" w:rsidRDefault="000A1684" w:rsidP="000A1684">
            <w:pPr>
              <w:pStyle w:val="TableRowHeading"/>
              <w:tabs>
                <w:tab w:val="decimal" w:pos="629"/>
                <w:tab w:val="decimal" w:pos="735"/>
              </w:tabs>
            </w:pPr>
          </w:p>
        </w:tc>
        <w:tc>
          <w:tcPr>
            <w:tcW w:w="1098" w:type="dxa"/>
            <w:vAlign w:val="bottom"/>
          </w:tcPr>
          <w:p w14:paraId="169B51AC" w14:textId="77777777" w:rsidR="000A1684" w:rsidRPr="006623D6" w:rsidRDefault="000A1684" w:rsidP="000A1684">
            <w:pPr>
              <w:pStyle w:val="TableRowHeading"/>
            </w:pPr>
          </w:p>
        </w:tc>
        <w:tc>
          <w:tcPr>
            <w:tcW w:w="1193" w:type="dxa"/>
            <w:vAlign w:val="bottom"/>
          </w:tcPr>
          <w:p w14:paraId="5F98E9A8" w14:textId="77777777" w:rsidR="000A1684" w:rsidRPr="006623D6" w:rsidRDefault="000A1684" w:rsidP="000A1684">
            <w:pPr>
              <w:pStyle w:val="TableRowHeading"/>
            </w:pPr>
          </w:p>
        </w:tc>
        <w:tc>
          <w:tcPr>
            <w:tcW w:w="896" w:type="dxa"/>
            <w:vAlign w:val="bottom"/>
          </w:tcPr>
          <w:p w14:paraId="0848B863" w14:textId="77777777" w:rsidR="000A1684" w:rsidRPr="006623D6" w:rsidRDefault="000A1684" w:rsidP="000A1684">
            <w:pPr>
              <w:pStyle w:val="TableRowHeading"/>
            </w:pPr>
          </w:p>
        </w:tc>
        <w:tc>
          <w:tcPr>
            <w:tcW w:w="977" w:type="dxa"/>
          </w:tcPr>
          <w:p w14:paraId="2CA36BB9" w14:textId="77777777" w:rsidR="000A1684" w:rsidRPr="006623D6" w:rsidRDefault="000A1684" w:rsidP="000A1684">
            <w:pPr>
              <w:pStyle w:val="TableRowHeading"/>
            </w:pPr>
          </w:p>
        </w:tc>
        <w:tc>
          <w:tcPr>
            <w:tcW w:w="810" w:type="dxa"/>
          </w:tcPr>
          <w:p w14:paraId="1CC0B8C1" w14:textId="77777777" w:rsidR="000A1684" w:rsidRPr="006623D6" w:rsidRDefault="000A1684" w:rsidP="000A1684">
            <w:pPr>
              <w:pStyle w:val="TableRowHeading"/>
            </w:pPr>
          </w:p>
        </w:tc>
        <w:tc>
          <w:tcPr>
            <w:tcW w:w="1311" w:type="dxa"/>
          </w:tcPr>
          <w:p w14:paraId="64F2F8DF" w14:textId="77777777" w:rsidR="000A1684" w:rsidRPr="006623D6" w:rsidRDefault="000A1684" w:rsidP="000A1684">
            <w:pPr>
              <w:pStyle w:val="TableRowHeading"/>
            </w:pPr>
          </w:p>
        </w:tc>
        <w:tc>
          <w:tcPr>
            <w:tcW w:w="846" w:type="dxa"/>
          </w:tcPr>
          <w:p w14:paraId="55F0BEA4" w14:textId="77777777" w:rsidR="000A1684" w:rsidRPr="006623D6" w:rsidRDefault="000A1684" w:rsidP="000A1684">
            <w:pPr>
              <w:pStyle w:val="TableRowHeading"/>
            </w:pPr>
          </w:p>
        </w:tc>
      </w:tr>
      <w:tr w:rsidR="000A1684" w:rsidRPr="006623D6" w14:paraId="562E0137" w14:textId="50BC8EC0" w:rsidTr="00F81945">
        <w:tc>
          <w:tcPr>
            <w:tcW w:w="1836" w:type="dxa"/>
          </w:tcPr>
          <w:p w14:paraId="1AE3EBE9" w14:textId="2B6497E1" w:rsidR="000A1684" w:rsidRPr="006623D6" w:rsidRDefault="000A1684" w:rsidP="000A1684">
            <w:pPr>
              <w:pStyle w:val="TableRow"/>
            </w:pPr>
            <w:r w:rsidRPr="00196A5D">
              <w:t>Human services</w:t>
            </w:r>
          </w:p>
        </w:tc>
        <w:tc>
          <w:tcPr>
            <w:tcW w:w="1113" w:type="dxa"/>
            <w:vAlign w:val="bottom"/>
          </w:tcPr>
          <w:p w14:paraId="34DE0BF5" w14:textId="0FA23E96" w:rsidR="000A1684" w:rsidRPr="006623D6" w:rsidRDefault="000A1684" w:rsidP="000A1684">
            <w:pPr>
              <w:pStyle w:val="TableRow"/>
              <w:tabs>
                <w:tab w:val="decimal" w:pos="629"/>
              </w:tabs>
            </w:pPr>
          </w:p>
        </w:tc>
        <w:tc>
          <w:tcPr>
            <w:tcW w:w="1098" w:type="dxa"/>
            <w:vAlign w:val="bottom"/>
          </w:tcPr>
          <w:p w14:paraId="457D8654" w14:textId="085713E0" w:rsidR="000A1684" w:rsidRPr="006623D6" w:rsidRDefault="000A1684" w:rsidP="000A1684">
            <w:pPr>
              <w:pStyle w:val="TableRow"/>
              <w:tabs>
                <w:tab w:val="decimal" w:pos="614"/>
              </w:tabs>
            </w:pPr>
          </w:p>
        </w:tc>
        <w:tc>
          <w:tcPr>
            <w:tcW w:w="1193" w:type="dxa"/>
            <w:vAlign w:val="bottom"/>
          </w:tcPr>
          <w:p w14:paraId="7B971390" w14:textId="71D15FDA" w:rsidR="000A1684" w:rsidRDefault="000A1684" w:rsidP="000A1684">
            <w:pPr>
              <w:pStyle w:val="TableRow"/>
              <w:tabs>
                <w:tab w:val="decimal" w:pos="675"/>
              </w:tabs>
            </w:pPr>
          </w:p>
        </w:tc>
        <w:tc>
          <w:tcPr>
            <w:tcW w:w="896" w:type="dxa"/>
            <w:vAlign w:val="bottom"/>
          </w:tcPr>
          <w:p w14:paraId="6DD66D5A" w14:textId="7CFC302E" w:rsidR="000A1684" w:rsidRDefault="000A1684" w:rsidP="000A1684">
            <w:pPr>
              <w:pStyle w:val="TableRow"/>
              <w:tabs>
                <w:tab w:val="decimal" w:pos="675"/>
              </w:tabs>
            </w:pPr>
          </w:p>
        </w:tc>
        <w:tc>
          <w:tcPr>
            <w:tcW w:w="977" w:type="dxa"/>
          </w:tcPr>
          <w:p w14:paraId="12773A30" w14:textId="77777777" w:rsidR="000A1684" w:rsidRDefault="000A1684" w:rsidP="000A1684">
            <w:pPr>
              <w:pStyle w:val="TableRow"/>
              <w:tabs>
                <w:tab w:val="decimal" w:pos="675"/>
              </w:tabs>
            </w:pPr>
          </w:p>
        </w:tc>
        <w:tc>
          <w:tcPr>
            <w:tcW w:w="810" w:type="dxa"/>
          </w:tcPr>
          <w:p w14:paraId="7AAED017" w14:textId="77777777" w:rsidR="000A1684" w:rsidRDefault="000A1684" w:rsidP="000A1684">
            <w:pPr>
              <w:pStyle w:val="TableRow"/>
              <w:tabs>
                <w:tab w:val="decimal" w:pos="675"/>
              </w:tabs>
            </w:pPr>
          </w:p>
        </w:tc>
        <w:tc>
          <w:tcPr>
            <w:tcW w:w="1311" w:type="dxa"/>
          </w:tcPr>
          <w:p w14:paraId="12509981" w14:textId="77777777" w:rsidR="000A1684" w:rsidRDefault="000A1684" w:rsidP="000A1684">
            <w:pPr>
              <w:pStyle w:val="TableRow"/>
              <w:tabs>
                <w:tab w:val="decimal" w:pos="675"/>
              </w:tabs>
            </w:pPr>
          </w:p>
        </w:tc>
        <w:tc>
          <w:tcPr>
            <w:tcW w:w="846" w:type="dxa"/>
          </w:tcPr>
          <w:p w14:paraId="009CFAD1" w14:textId="77777777" w:rsidR="000A1684" w:rsidRDefault="000A1684" w:rsidP="000A1684">
            <w:pPr>
              <w:pStyle w:val="TableRow"/>
              <w:tabs>
                <w:tab w:val="decimal" w:pos="675"/>
              </w:tabs>
            </w:pPr>
          </w:p>
        </w:tc>
      </w:tr>
      <w:tr w:rsidR="000A1684" w:rsidRPr="006623D6" w14:paraId="34E98DE0" w14:textId="30EBDCF8" w:rsidTr="00F81945">
        <w:tc>
          <w:tcPr>
            <w:tcW w:w="1836" w:type="dxa"/>
          </w:tcPr>
          <w:p w14:paraId="3DF18DFF" w14:textId="623A44BF" w:rsidR="000A1684" w:rsidRPr="006623D6" w:rsidRDefault="000A1684" w:rsidP="000A1684">
            <w:pPr>
              <w:pStyle w:val="TableRow"/>
            </w:pPr>
            <w:r w:rsidRPr="00196A5D">
              <w:t>International, foreign affairs</w:t>
            </w:r>
          </w:p>
        </w:tc>
        <w:tc>
          <w:tcPr>
            <w:tcW w:w="1113" w:type="dxa"/>
            <w:vAlign w:val="bottom"/>
          </w:tcPr>
          <w:p w14:paraId="76E14281" w14:textId="74B123EC" w:rsidR="000A1684" w:rsidRPr="006623D6" w:rsidRDefault="000A1684" w:rsidP="000A1684">
            <w:pPr>
              <w:pStyle w:val="TableRow"/>
              <w:tabs>
                <w:tab w:val="decimal" w:pos="629"/>
              </w:tabs>
            </w:pPr>
          </w:p>
        </w:tc>
        <w:tc>
          <w:tcPr>
            <w:tcW w:w="1098" w:type="dxa"/>
            <w:vAlign w:val="bottom"/>
          </w:tcPr>
          <w:p w14:paraId="3AC14B05" w14:textId="6BCEB98C" w:rsidR="000A1684" w:rsidRPr="006623D6" w:rsidRDefault="000A1684" w:rsidP="000A1684">
            <w:pPr>
              <w:pStyle w:val="TableRow"/>
              <w:tabs>
                <w:tab w:val="decimal" w:pos="614"/>
              </w:tabs>
            </w:pPr>
          </w:p>
        </w:tc>
        <w:tc>
          <w:tcPr>
            <w:tcW w:w="1193" w:type="dxa"/>
            <w:vAlign w:val="bottom"/>
          </w:tcPr>
          <w:p w14:paraId="2467D7E8" w14:textId="00F255B5" w:rsidR="000A1684" w:rsidRDefault="000A1684" w:rsidP="000A1684">
            <w:pPr>
              <w:pStyle w:val="TableRow"/>
              <w:tabs>
                <w:tab w:val="decimal" w:pos="675"/>
              </w:tabs>
            </w:pPr>
          </w:p>
        </w:tc>
        <w:tc>
          <w:tcPr>
            <w:tcW w:w="896" w:type="dxa"/>
            <w:vAlign w:val="bottom"/>
          </w:tcPr>
          <w:p w14:paraId="3ED2B7FF" w14:textId="5E47BB89" w:rsidR="000A1684" w:rsidRDefault="000A1684" w:rsidP="000A1684">
            <w:pPr>
              <w:pStyle w:val="TableRow"/>
              <w:tabs>
                <w:tab w:val="decimal" w:pos="675"/>
              </w:tabs>
            </w:pPr>
          </w:p>
        </w:tc>
        <w:tc>
          <w:tcPr>
            <w:tcW w:w="977" w:type="dxa"/>
          </w:tcPr>
          <w:p w14:paraId="3321748D" w14:textId="77777777" w:rsidR="000A1684" w:rsidRDefault="000A1684" w:rsidP="000A1684">
            <w:pPr>
              <w:pStyle w:val="TableRow"/>
              <w:tabs>
                <w:tab w:val="decimal" w:pos="675"/>
              </w:tabs>
            </w:pPr>
          </w:p>
        </w:tc>
        <w:tc>
          <w:tcPr>
            <w:tcW w:w="810" w:type="dxa"/>
          </w:tcPr>
          <w:p w14:paraId="737FDDA1" w14:textId="77777777" w:rsidR="000A1684" w:rsidRDefault="000A1684" w:rsidP="000A1684">
            <w:pPr>
              <w:pStyle w:val="TableRow"/>
              <w:tabs>
                <w:tab w:val="decimal" w:pos="675"/>
              </w:tabs>
            </w:pPr>
          </w:p>
        </w:tc>
        <w:tc>
          <w:tcPr>
            <w:tcW w:w="1311" w:type="dxa"/>
          </w:tcPr>
          <w:p w14:paraId="3E977662" w14:textId="77777777" w:rsidR="000A1684" w:rsidRDefault="000A1684" w:rsidP="000A1684">
            <w:pPr>
              <w:pStyle w:val="TableRow"/>
              <w:tabs>
                <w:tab w:val="decimal" w:pos="675"/>
              </w:tabs>
            </w:pPr>
          </w:p>
        </w:tc>
        <w:tc>
          <w:tcPr>
            <w:tcW w:w="846" w:type="dxa"/>
          </w:tcPr>
          <w:p w14:paraId="673A6CA5" w14:textId="77777777" w:rsidR="000A1684" w:rsidRDefault="000A1684" w:rsidP="000A1684">
            <w:pPr>
              <w:pStyle w:val="TableRow"/>
              <w:tabs>
                <w:tab w:val="decimal" w:pos="675"/>
              </w:tabs>
            </w:pPr>
          </w:p>
        </w:tc>
      </w:tr>
      <w:tr w:rsidR="000A1684" w:rsidRPr="006623D6" w14:paraId="4112A6A9" w14:textId="77777777" w:rsidTr="00F81945">
        <w:tc>
          <w:tcPr>
            <w:tcW w:w="1836" w:type="dxa"/>
          </w:tcPr>
          <w:p w14:paraId="4A7E7479" w14:textId="706C48F2" w:rsidR="000A1684" w:rsidRPr="007D2755" w:rsidRDefault="000A1684" w:rsidP="000A1684">
            <w:pPr>
              <w:pStyle w:val="TableRow"/>
            </w:pPr>
            <w:r w:rsidRPr="00196A5D">
              <w:t>Public, societal benefit</w:t>
            </w:r>
          </w:p>
        </w:tc>
        <w:tc>
          <w:tcPr>
            <w:tcW w:w="1113" w:type="dxa"/>
            <w:vAlign w:val="bottom"/>
          </w:tcPr>
          <w:p w14:paraId="70472AF5" w14:textId="77777777" w:rsidR="000A1684" w:rsidRPr="006623D6" w:rsidRDefault="000A1684" w:rsidP="000A1684">
            <w:pPr>
              <w:pStyle w:val="TableRow"/>
              <w:tabs>
                <w:tab w:val="decimal" w:pos="629"/>
              </w:tabs>
            </w:pPr>
          </w:p>
        </w:tc>
        <w:tc>
          <w:tcPr>
            <w:tcW w:w="1098" w:type="dxa"/>
            <w:vAlign w:val="bottom"/>
          </w:tcPr>
          <w:p w14:paraId="7547F382" w14:textId="77777777" w:rsidR="000A1684" w:rsidRPr="006623D6" w:rsidRDefault="000A1684" w:rsidP="000A1684">
            <w:pPr>
              <w:pStyle w:val="TableRow"/>
              <w:tabs>
                <w:tab w:val="decimal" w:pos="614"/>
              </w:tabs>
            </w:pPr>
          </w:p>
        </w:tc>
        <w:tc>
          <w:tcPr>
            <w:tcW w:w="1193" w:type="dxa"/>
            <w:vAlign w:val="bottom"/>
          </w:tcPr>
          <w:p w14:paraId="6455C1D4" w14:textId="77777777" w:rsidR="000A1684" w:rsidRDefault="000A1684" w:rsidP="000A1684">
            <w:pPr>
              <w:pStyle w:val="TableRow"/>
              <w:tabs>
                <w:tab w:val="decimal" w:pos="675"/>
              </w:tabs>
            </w:pPr>
          </w:p>
        </w:tc>
        <w:tc>
          <w:tcPr>
            <w:tcW w:w="896" w:type="dxa"/>
            <w:vAlign w:val="bottom"/>
          </w:tcPr>
          <w:p w14:paraId="48F9C8BE" w14:textId="77777777" w:rsidR="000A1684" w:rsidRDefault="000A1684" w:rsidP="000A1684">
            <w:pPr>
              <w:pStyle w:val="TableRow"/>
              <w:tabs>
                <w:tab w:val="decimal" w:pos="675"/>
              </w:tabs>
            </w:pPr>
          </w:p>
        </w:tc>
        <w:tc>
          <w:tcPr>
            <w:tcW w:w="977" w:type="dxa"/>
          </w:tcPr>
          <w:p w14:paraId="3196FBFD" w14:textId="77777777" w:rsidR="000A1684" w:rsidRDefault="000A1684" w:rsidP="000A1684">
            <w:pPr>
              <w:pStyle w:val="TableRow"/>
              <w:tabs>
                <w:tab w:val="decimal" w:pos="675"/>
              </w:tabs>
            </w:pPr>
          </w:p>
        </w:tc>
        <w:tc>
          <w:tcPr>
            <w:tcW w:w="810" w:type="dxa"/>
          </w:tcPr>
          <w:p w14:paraId="084DE005" w14:textId="77777777" w:rsidR="000A1684" w:rsidRDefault="000A1684" w:rsidP="000A1684">
            <w:pPr>
              <w:pStyle w:val="TableRow"/>
              <w:tabs>
                <w:tab w:val="decimal" w:pos="675"/>
              </w:tabs>
            </w:pPr>
          </w:p>
        </w:tc>
        <w:tc>
          <w:tcPr>
            <w:tcW w:w="1311" w:type="dxa"/>
          </w:tcPr>
          <w:p w14:paraId="2E97E1C1" w14:textId="77777777" w:rsidR="000A1684" w:rsidRDefault="000A1684" w:rsidP="000A1684">
            <w:pPr>
              <w:pStyle w:val="TableRow"/>
              <w:tabs>
                <w:tab w:val="decimal" w:pos="675"/>
              </w:tabs>
            </w:pPr>
          </w:p>
        </w:tc>
        <w:tc>
          <w:tcPr>
            <w:tcW w:w="846" w:type="dxa"/>
          </w:tcPr>
          <w:p w14:paraId="13BC7CF6" w14:textId="77777777" w:rsidR="000A1684" w:rsidRDefault="000A1684" w:rsidP="000A1684">
            <w:pPr>
              <w:pStyle w:val="TableRow"/>
              <w:tabs>
                <w:tab w:val="decimal" w:pos="675"/>
              </w:tabs>
            </w:pPr>
          </w:p>
        </w:tc>
      </w:tr>
      <w:tr w:rsidR="000A1684" w:rsidRPr="006623D6" w14:paraId="7E03ACCD" w14:textId="77777777" w:rsidTr="00F81945">
        <w:tc>
          <w:tcPr>
            <w:tcW w:w="1836" w:type="dxa"/>
          </w:tcPr>
          <w:p w14:paraId="4FAD333C" w14:textId="05376BE5" w:rsidR="000A1684" w:rsidRPr="007D2755" w:rsidRDefault="000A1684" w:rsidP="000A1684">
            <w:pPr>
              <w:pStyle w:val="TableRow"/>
            </w:pPr>
            <w:r w:rsidRPr="00196A5D">
              <w:t>Religion-related</w:t>
            </w:r>
          </w:p>
        </w:tc>
        <w:tc>
          <w:tcPr>
            <w:tcW w:w="1113" w:type="dxa"/>
            <w:vAlign w:val="bottom"/>
          </w:tcPr>
          <w:p w14:paraId="42936322" w14:textId="77777777" w:rsidR="000A1684" w:rsidRPr="006623D6" w:rsidRDefault="000A1684" w:rsidP="000A1684">
            <w:pPr>
              <w:pStyle w:val="TableRow"/>
              <w:tabs>
                <w:tab w:val="decimal" w:pos="629"/>
              </w:tabs>
            </w:pPr>
          </w:p>
        </w:tc>
        <w:tc>
          <w:tcPr>
            <w:tcW w:w="1098" w:type="dxa"/>
            <w:vAlign w:val="bottom"/>
          </w:tcPr>
          <w:p w14:paraId="2B4EDD21" w14:textId="77777777" w:rsidR="000A1684" w:rsidRPr="006623D6" w:rsidRDefault="000A1684" w:rsidP="000A1684">
            <w:pPr>
              <w:pStyle w:val="TableRow"/>
              <w:tabs>
                <w:tab w:val="decimal" w:pos="614"/>
              </w:tabs>
            </w:pPr>
          </w:p>
        </w:tc>
        <w:tc>
          <w:tcPr>
            <w:tcW w:w="1193" w:type="dxa"/>
            <w:vAlign w:val="bottom"/>
          </w:tcPr>
          <w:p w14:paraId="0B86034C" w14:textId="77777777" w:rsidR="000A1684" w:rsidRDefault="000A1684" w:rsidP="000A1684">
            <w:pPr>
              <w:pStyle w:val="TableRow"/>
              <w:tabs>
                <w:tab w:val="decimal" w:pos="675"/>
              </w:tabs>
            </w:pPr>
          </w:p>
        </w:tc>
        <w:tc>
          <w:tcPr>
            <w:tcW w:w="896" w:type="dxa"/>
            <w:vAlign w:val="bottom"/>
          </w:tcPr>
          <w:p w14:paraId="2F3938F3" w14:textId="77777777" w:rsidR="000A1684" w:rsidRDefault="000A1684" w:rsidP="000A1684">
            <w:pPr>
              <w:pStyle w:val="TableRow"/>
              <w:tabs>
                <w:tab w:val="decimal" w:pos="675"/>
              </w:tabs>
            </w:pPr>
          </w:p>
        </w:tc>
        <w:tc>
          <w:tcPr>
            <w:tcW w:w="977" w:type="dxa"/>
          </w:tcPr>
          <w:p w14:paraId="414AA0E9" w14:textId="77777777" w:rsidR="000A1684" w:rsidRDefault="000A1684" w:rsidP="000A1684">
            <w:pPr>
              <w:pStyle w:val="TableRow"/>
              <w:tabs>
                <w:tab w:val="decimal" w:pos="675"/>
              </w:tabs>
            </w:pPr>
          </w:p>
        </w:tc>
        <w:tc>
          <w:tcPr>
            <w:tcW w:w="810" w:type="dxa"/>
          </w:tcPr>
          <w:p w14:paraId="670BF44B" w14:textId="77777777" w:rsidR="000A1684" w:rsidRDefault="000A1684" w:rsidP="000A1684">
            <w:pPr>
              <w:pStyle w:val="TableRow"/>
              <w:tabs>
                <w:tab w:val="decimal" w:pos="675"/>
              </w:tabs>
            </w:pPr>
          </w:p>
        </w:tc>
        <w:tc>
          <w:tcPr>
            <w:tcW w:w="1311" w:type="dxa"/>
          </w:tcPr>
          <w:p w14:paraId="50A7BF6E" w14:textId="77777777" w:rsidR="000A1684" w:rsidRDefault="000A1684" w:rsidP="000A1684">
            <w:pPr>
              <w:pStyle w:val="TableRow"/>
              <w:tabs>
                <w:tab w:val="decimal" w:pos="675"/>
              </w:tabs>
            </w:pPr>
          </w:p>
        </w:tc>
        <w:tc>
          <w:tcPr>
            <w:tcW w:w="846" w:type="dxa"/>
          </w:tcPr>
          <w:p w14:paraId="4E67C52A" w14:textId="77777777" w:rsidR="000A1684" w:rsidRDefault="000A1684" w:rsidP="000A1684">
            <w:pPr>
              <w:pStyle w:val="TableRow"/>
              <w:tabs>
                <w:tab w:val="decimal" w:pos="675"/>
              </w:tabs>
            </w:pPr>
          </w:p>
        </w:tc>
      </w:tr>
      <w:tr w:rsidR="000A1684" w:rsidRPr="006623D6" w14:paraId="32C8C573" w14:textId="77777777" w:rsidTr="00F81945">
        <w:tc>
          <w:tcPr>
            <w:tcW w:w="1836" w:type="dxa"/>
          </w:tcPr>
          <w:p w14:paraId="09D9D201" w14:textId="3A32ECF5" w:rsidR="000A1684" w:rsidRPr="007D2755" w:rsidRDefault="000A1684" w:rsidP="000A1684">
            <w:pPr>
              <w:pStyle w:val="TableRow"/>
            </w:pPr>
            <w:r w:rsidRPr="00196A5D">
              <w:t>Mutual/membership benefit</w:t>
            </w:r>
          </w:p>
        </w:tc>
        <w:tc>
          <w:tcPr>
            <w:tcW w:w="1113" w:type="dxa"/>
            <w:vAlign w:val="bottom"/>
          </w:tcPr>
          <w:p w14:paraId="045A384C" w14:textId="77777777" w:rsidR="000A1684" w:rsidRPr="006623D6" w:rsidRDefault="000A1684" w:rsidP="000A1684">
            <w:pPr>
              <w:pStyle w:val="TableRow"/>
              <w:tabs>
                <w:tab w:val="decimal" w:pos="629"/>
              </w:tabs>
            </w:pPr>
          </w:p>
        </w:tc>
        <w:tc>
          <w:tcPr>
            <w:tcW w:w="1098" w:type="dxa"/>
            <w:vAlign w:val="bottom"/>
          </w:tcPr>
          <w:p w14:paraId="142E7D79" w14:textId="77777777" w:rsidR="000A1684" w:rsidRPr="006623D6" w:rsidRDefault="000A1684" w:rsidP="000A1684">
            <w:pPr>
              <w:pStyle w:val="TableRow"/>
              <w:tabs>
                <w:tab w:val="decimal" w:pos="614"/>
              </w:tabs>
            </w:pPr>
          </w:p>
        </w:tc>
        <w:tc>
          <w:tcPr>
            <w:tcW w:w="1193" w:type="dxa"/>
            <w:vAlign w:val="bottom"/>
          </w:tcPr>
          <w:p w14:paraId="569057D5" w14:textId="77777777" w:rsidR="000A1684" w:rsidRDefault="000A1684" w:rsidP="000A1684">
            <w:pPr>
              <w:pStyle w:val="TableRow"/>
              <w:tabs>
                <w:tab w:val="decimal" w:pos="675"/>
              </w:tabs>
            </w:pPr>
          </w:p>
        </w:tc>
        <w:tc>
          <w:tcPr>
            <w:tcW w:w="896" w:type="dxa"/>
            <w:vAlign w:val="bottom"/>
          </w:tcPr>
          <w:p w14:paraId="7A866E27" w14:textId="77777777" w:rsidR="000A1684" w:rsidRDefault="000A1684" w:rsidP="000A1684">
            <w:pPr>
              <w:pStyle w:val="TableRow"/>
              <w:tabs>
                <w:tab w:val="decimal" w:pos="675"/>
              </w:tabs>
            </w:pPr>
          </w:p>
        </w:tc>
        <w:tc>
          <w:tcPr>
            <w:tcW w:w="977" w:type="dxa"/>
          </w:tcPr>
          <w:p w14:paraId="123CBDF7" w14:textId="77777777" w:rsidR="000A1684" w:rsidRDefault="000A1684" w:rsidP="000A1684">
            <w:pPr>
              <w:pStyle w:val="TableRow"/>
              <w:tabs>
                <w:tab w:val="decimal" w:pos="675"/>
              </w:tabs>
            </w:pPr>
          </w:p>
        </w:tc>
        <w:tc>
          <w:tcPr>
            <w:tcW w:w="810" w:type="dxa"/>
          </w:tcPr>
          <w:p w14:paraId="3F506082" w14:textId="77777777" w:rsidR="000A1684" w:rsidRDefault="000A1684" w:rsidP="000A1684">
            <w:pPr>
              <w:pStyle w:val="TableRow"/>
              <w:tabs>
                <w:tab w:val="decimal" w:pos="675"/>
              </w:tabs>
            </w:pPr>
          </w:p>
        </w:tc>
        <w:tc>
          <w:tcPr>
            <w:tcW w:w="1311" w:type="dxa"/>
          </w:tcPr>
          <w:p w14:paraId="09932269" w14:textId="77777777" w:rsidR="000A1684" w:rsidRDefault="000A1684" w:rsidP="000A1684">
            <w:pPr>
              <w:pStyle w:val="TableRow"/>
              <w:tabs>
                <w:tab w:val="decimal" w:pos="675"/>
              </w:tabs>
            </w:pPr>
          </w:p>
        </w:tc>
        <w:tc>
          <w:tcPr>
            <w:tcW w:w="846" w:type="dxa"/>
          </w:tcPr>
          <w:p w14:paraId="6C9BDF0C" w14:textId="77777777" w:rsidR="000A1684" w:rsidRDefault="000A1684" w:rsidP="000A1684">
            <w:pPr>
              <w:pStyle w:val="TableRow"/>
              <w:tabs>
                <w:tab w:val="decimal" w:pos="675"/>
              </w:tabs>
            </w:pPr>
          </w:p>
        </w:tc>
      </w:tr>
      <w:tr w:rsidR="000A1684" w:rsidRPr="006623D6" w14:paraId="2C3B1C4E" w14:textId="1672409F" w:rsidTr="00F81945">
        <w:tc>
          <w:tcPr>
            <w:tcW w:w="1836" w:type="dxa"/>
            <w:tcBorders>
              <w:bottom w:val="single" w:sz="8" w:space="0" w:color="auto"/>
            </w:tcBorders>
          </w:tcPr>
          <w:p w14:paraId="7EF494DA" w14:textId="7DF11F14" w:rsidR="000A1684" w:rsidRPr="006623D6" w:rsidRDefault="000A1684" w:rsidP="000A1684">
            <w:pPr>
              <w:pStyle w:val="TableRow"/>
            </w:pPr>
            <w:r w:rsidRPr="00196A5D">
              <w:t>Unclassified</w:t>
            </w:r>
          </w:p>
        </w:tc>
        <w:tc>
          <w:tcPr>
            <w:tcW w:w="1113" w:type="dxa"/>
            <w:tcBorders>
              <w:bottom w:val="single" w:sz="8" w:space="0" w:color="auto"/>
            </w:tcBorders>
            <w:vAlign w:val="bottom"/>
          </w:tcPr>
          <w:p w14:paraId="07FF5E2B" w14:textId="7505AB4D" w:rsidR="000A1684" w:rsidRDefault="000A1684" w:rsidP="000A1684">
            <w:pPr>
              <w:pStyle w:val="TableRow"/>
              <w:tabs>
                <w:tab w:val="decimal" w:pos="629"/>
              </w:tabs>
            </w:pPr>
          </w:p>
        </w:tc>
        <w:tc>
          <w:tcPr>
            <w:tcW w:w="1098" w:type="dxa"/>
            <w:tcBorders>
              <w:bottom w:val="single" w:sz="8" w:space="0" w:color="auto"/>
            </w:tcBorders>
            <w:vAlign w:val="bottom"/>
          </w:tcPr>
          <w:p w14:paraId="6ACC4B8B" w14:textId="16B9E7FE" w:rsidR="000A1684" w:rsidRDefault="000A1684" w:rsidP="000A1684">
            <w:pPr>
              <w:pStyle w:val="TableRow"/>
              <w:tabs>
                <w:tab w:val="decimal" w:pos="629"/>
              </w:tabs>
            </w:pPr>
          </w:p>
        </w:tc>
        <w:tc>
          <w:tcPr>
            <w:tcW w:w="1193" w:type="dxa"/>
            <w:tcBorders>
              <w:bottom w:val="single" w:sz="8" w:space="0" w:color="auto"/>
            </w:tcBorders>
            <w:vAlign w:val="bottom"/>
          </w:tcPr>
          <w:p w14:paraId="3A7B0EFB" w14:textId="2A8DA32E" w:rsidR="000A1684" w:rsidRDefault="000A1684" w:rsidP="000A1684">
            <w:pPr>
              <w:pStyle w:val="TableRow"/>
              <w:tabs>
                <w:tab w:val="decimal" w:pos="629"/>
              </w:tabs>
            </w:pPr>
          </w:p>
        </w:tc>
        <w:tc>
          <w:tcPr>
            <w:tcW w:w="896" w:type="dxa"/>
            <w:tcBorders>
              <w:bottom w:val="single" w:sz="8" w:space="0" w:color="auto"/>
            </w:tcBorders>
            <w:vAlign w:val="bottom"/>
          </w:tcPr>
          <w:p w14:paraId="1DFA73D9" w14:textId="4ABC080C" w:rsidR="000A1684" w:rsidRDefault="000A1684" w:rsidP="000A1684">
            <w:pPr>
              <w:pStyle w:val="TableRow"/>
              <w:tabs>
                <w:tab w:val="decimal" w:pos="629"/>
              </w:tabs>
            </w:pPr>
          </w:p>
        </w:tc>
        <w:tc>
          <w:tcPr>
            <w:tcW w:w="977" w:type="dxa"/>
            <w:tcBorders>
              <w:bottom w:val="single" w:sz="8" w:space="0" w:color="auto"/>
            </w:tcBorders>
          </w:tcPr>
          <w:p w14:paraId="66481946" w14:textId="77777777" w:rsidR="000A1684" w:rsidRDefault="000A1684" w:rsidP="000A1684">
            <w:pPr>
              <w:pStyle w:val="TableRow"/>
              <w:tabs>
                <w:tab w:val="decimal" w:pos="629"/>
              </w:tabs>
            </w:pPr>
          </w:p>
        </w:tc>
        <w:tc>
          <w:tcPr>
            <w:tcW w:w="810" w:type="dxa"/>
            <w:tcBorders>
              <w:bottom w:val="single" w:sz="8" w:space="0" w:color="auto"/>
            </w:tcBorders>
          </w:tcPr>
          <w:p w14:paraId="6F064A41" w14:textId="77777777" w:rsidR="000A1684" w:rsidRDefault="000A1684" w:rsidP="000A1684">
            <w:pPr>
              <w:pStyle w:val="TableRow"/>
              <w:tabs>
                <w:tab w:val="decimal" w:pos="629"/>
              </w:tabs>
            </w:pPr>
          </w:p>
        </w:tc>
        <w:tc>
          <w:tcPr>
            <w:tcW w:w="1311" w:type="dxa"/>
            <w:tcBorders>
              <w:bottom w:val="single" w:sz="8" w:space="0" w:color="auto"/>
            </w:tcBorders>
          </w:tcPr>
          <w:p w14:paraId="0BA669EA" w14:textId="77777777" w:rsidR="000A1684" w:rsidRDefault="000A1684" w:rsidP="000A1684">
            <w:pPr>
              <w:pStyle w:val="TableRow"/>
              <w:tabs>
                <w:tab w:val="decimal" w:pos="629"/>
              </w:tabs>
            </w:pPr>
          </w:p>
        </w:tc>
        <w:tc>
          <w:tcPr>
            <w:tcW w:w="846" w:type="dxa"/>
            <w:tcBorders>
              <w:bottom w:val="single" w:sz="8" w:space="0" w:color="auto"/>
            </w:tcBorders>
          </w:tcPr>
          <w:p w14:paraId="4E760AD8" w14:textId="77777777" w:rsidR="000A1684" w:rsidRDefault="000A1684" w:rsidP="000A1684">
            <w:pPr>
              <w:pStyle w:val="TableRow"/>
              <w:tabs>
                <w:tab w:val="decimal" w:pos="629"/>
              </w:tabs>
            </w:pPr>
          </w:p>
        </w:tc>
      </w:tr>
    </w:tbl>
    <w:p w14:paraId="72B9B952" w14:textId="071095F0" w:rsidR="001D6E32" w:rsidRPr="000F6AF8" w:rsidRDefault="001D6E32" w:rsidP="00157ABE">
      <w:pPr>
        <w:pStyle w:val="FigureTableNotes"/>
      </w:pPr>
      <w:r w:rsidRPr="000F6AF8">
        <w:rPr>
          <w:b/>
        </w:rPr>
        <w:t xml:space="preserve">Source: </w:t>
      </w:r>
      <w:r w:rsidR="000A1684" w:rsidRPr="000A1684">
        <w:t>National Center for Charitable Statistics Unified Business Master File</w:t>
      </w:r>
      <w:r w:rsidRPr="000F6AF8">
        <w:t>.</w:t>
      </w:r>
    </w:p>
    <w:p w14:paraId="5A076896" w14:textId="5E8C735D" w:rsidR="001D6E32" w:rsidRDefault="001D6E32" w:rsidP="001D6E32">
      <w:pPr>
        <w:pStyle w:val="FigureTableNotes"/>
      </w:pPr>
      <w:r w:rsidRPr="000F6AF8">
        <w:rPr>
          <w:b/>
        </w:rPr>
        <w:t>Notes:</w:t>
      </w:r>
      <w:r>
        <w:t xml:space="preserve"> </w:t>
      </w:r>
      <w:r w:rsidR="000A1684" w:rsidRPr="000A1684">
        <w:t>Nonprofit subsector classification follows the NTEE-V2 coding system, developed by NCCS. This system, which refines the original National Taxonomy of Exempt Entities (NTEE) used by the IRS, categorizes organizations by their 12 primary activities or industries using the first three characters of the classification code</w:t>
      </w:r>
      <w:r>
        <w:t>.</w:t>
      </w:r>
    </w:p>
    <w:p w14:paraId="043B36A7" w14:textId="5E286ECD" w:rsidR="00333B29" w:rsidRDefault="00333B29" w:rsidP="00333B29">
      <w:pPr>
        <w:pStyle w:val="Heading1"/>
      </w:pPr>
      <w:r>
        <w:t xml:space="preserve">Age of </w:t>
      </w:r>
      <w:r w:rsidR="003606D7">
        <w:t>Registered</w:t>
      </w:r>
      <w:r>
        <w:t xml:space="preserve"> 501(c)(3) Public Charities</w:t>
      </w:r>
    </w:p>
    <w:p w14:paraId="6EAC5C1D" w14:textId="1E47D83A" w:rsidR="00333B29" w:rsidRPr="00B77B56" w:rsidRDefault="00333B29" w:rsidP="00333B29">
      <w:pPr>
        <w:pStyle w:val="BodyText"/>
      </w:pPr>
      <w:r w:rsidRPr="00837302">
        <w:rPr>
          <w:highlight w:val="yellow"/>
        </w:rPr>
        <w:t xml:space="preserve">[placeholder for text commenting on </w:t>
      </w:r>
      <w:r w:rsidR="004D1D0F">
        <w:rPr>
          <w:highlight w:val="yellow"/>
        </w:rPr>
        <w:t>figure 2</w:t>
      </w:r>
      <w:r w:rsidRPr="00837302">
        <w:rPr>
          <w:highlight w:val="yellow"/>
        </w:rPr>
        <w:t>]</w:t>
      </w:r>
      <w:r>
        <w:t xml:space="preserve"> (figure 2).</w:t>
      </w:r>
      <w:r w:rsidR="003A59FD">
        <w:t xml:space="preserve"> </w:t>
      </w:r>
    </w:p>
    <w:p w14:paraId="70F29813" w14:textId="0616E551" w:rsidR="003A59FD" w:rsidRDefault="003A59FD" w:rsidP="003A59FD">
      <w:pPr>
        <w:pStyle w:val="FigureTableNumber"/>
      </w:pPr>
      <w:r>
        <w:t>figure 2</w:t>
      </w:r>
    </w:p>
    <w:p w14:paraId="25C10A10" w14:textId="48A72B16" w:rsidR="003A59FD" w:rsidRDefault="003A59FD" w:rsidP="003A59FD">
      <w:pPr>
        <w:pStyle w:val="FigureTableTitle"/>
      </w:pPr>
      <w:r>
        <w:t xml:space="preserve">Age </w:t>
      </w:r>
      <w:r w:rsidR="004D1D0F">
        <w:t>Ranges</w:t>
      </w:r>
      <w:r>
        <w:t xml:space="preserve"> of </w:t>
      </w:r>
      <w:r w:rsidR="003606D7">
        <w:t>Registered</w:t>
      </w:r>
      <w:r>
        <w:t xml:space="preserve"> 501(c)(3) Public Charities in Southeast Michigan, </w:t>
      </w:r>
      <w:r w:rsidRPr="00F710B4">
        <w:rPr>
          <w:highlight w:val="yellow"/>
        </w:rPr>
        <w:t>Year</w:t>
      </w:r>
    </w:p>
    <w:p w14:paraId="5058E839" w14:textId="057A99BD" w:rsidR="003A59FD" w:rsidRPr="0091214F" w:rsidRDefault="00DD01A3" w:rsidP="003A59FD">
      <w:pPr>
        <w:pStyle w:val="FigurePlacer"/>
        <w:rPr>
          <w:b/>
          <w:smallCaps/>
          <w:spacing w:val="10"/>
        </w:rPr>
      </w:pPr>
      <w:r>
        <w:drawing>
          <wp:inline distT="0" distB="0" distL="0" distR="0" wp14:anchorId="4B68A866" wp14:editId="080FBC91">
            <wp:extent cx="6400800" cy="2679700"/>
            <wp:effectExtent l="0" t="0" r="0" b="6350"/>
            <wp:docPr id="1775995487" name="Chart 1">
              <a:extLst xmlns:a="http://schemas.openxmlformats.org/drawingml/2006/main">
                <a:ext uri="{FF2B5EF4-FFF2-40B4-BE49-F238E27FC236}">
                  <a16:creationId xmlns:a16="http://schemas.microsoft.com/office/drawing/2014/main" id="{5F45516D-5326-4F18-BECA-2385E17BBF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3A59FD" w:rsidRPr="0091214F">
        <w:rPr>
          <w:b/>
          <w:bCs/>
          <w:smallCaps/>
          <w:color w:val="1696D2" w:themeColor="accent1"/>
          <w:spacing w:val="10"/>
        </w:rPr>
        <w:t xml:space="preserve">urban </w:t>
      </w:r>
      <w:r w:rsidR="003A59FD">
        <w:rPr>
          <w:b/>
          <w:smallCaps/>
          <w:spacing w:val="10"/>
        </w:rPr>
        <w:t>institute</w:t>
      </w:r>
    </w:p>
    <w:p w14:paraId="7DD19FF4" w14:textId="1656A8DD" w:rsidR="003A59FD" w:rsidRDefault="003A59FD" w:rsidP="003A59FD">
      <w:pPr>
        <w:pStyle w:val="FigureTableNotes"/>
      </w:pPr>
      <w:r w:rsidRPr="000F6AF8">
        <w:rPr>
          <w:b/>
        </w:rPr>
        <w:t xml:space="preserve">Source: </w:t>
      </w:r>
      <w:r w:rsidR="000C7E96" w:rsidRPr="000A1684">
        <w:t>National Center for Charitable Statistics Unified Business Master File</w:t>
      </w:r>
      <w:r w:rsidR="002245AD">
        <w:t>.</w:t>
      </w:r>
    </w:p>
    <w:p w14:paraId="0BE23BD7" w14:textId="4F437533" w:rsidR="002245AD" w:rsidRPr="002E7F75" w:rsidRDefault="002245AD" w:rsidP="003A59FD">
      <w:pPr>
        <w:pStyle w:val="FigureTableNotes"/>
      </w:pPr>
      <w:r w:rsidRPr="002245AD">
        <w:rPr>
          <w:b/>
          <w:bCs/>
        </w:rPr>
        <w:t xml:space="preserve">Note: </w:t>
      </w:r>
      <w:r w:rsidR="005F6CAB" w:rsidRPr="003606D7">
        <w:t xml:space="preserve">Nonprofit age is calculated by subtracting an organization's </w:t>
      </w:r>
      <w:r w:rsidR="005F6CAB">
        <w:t>ruling</w:t>
      </w:r>
      <w:r w:rsidR="005F6CAB" w:rsidRPr="003606D7">
        <w:t xml:space="preserve"> year </w:t>
      </w:r>
      <w:r w:rsidR="005F6CAB">
        <w:t xml:space="preserve">(i.e., the year of the </w:t>
      </w:r>
      <w:r w:rsidR="005F6CAB" w:rsidRPr="001B7150">
        <w:t xml:space="preserve">IRS ruling granting </w:t>
      </w:r>
      <w:r w:rsidR="005F6CAB">
        <w:t>501(c)(3)</w:t>
      </w:r>
      <w:r w:rsidR="005F6CAB" w:rsidRPr="001B7150">
        <w:t xml:space="preserve"> status</w:t>
      </w:r>
      <w:r w:rsidR="005F6CAB">
        <w:t>)</w:t>
      </w:r>
      <w:r w:rsidR="003606D7" w:rsidRPr="003606D7">
        <w:t xml:space="preserve"> from 2026</w:t>
      </w:r>
      <w:r w:rsidRPr="002245AD">
        <w:t>.</w:t>
      </w:r>
    </w:p>
    <w:p w14:paraId="31B79750" w14:textId="0CE953D9" w:rsidR="006661AE" w:rsidRDefault="006661AE" w:rsidP="006661AE">
      <w:pPr>
        <w:pStyle w:val="Heading1"/>
      </w:pPr>
      <w:r>
        <w:t>Finances of Reporting 501(c)(3) Public Charities</w:t>
      </w:r>
    </w:p>
    <w:p w14:paraId="65BA489D" w14:textId="56803471" w:rsidR="00682F3B" w:rsidRDefault="00682F3B" w:rsidP="00682F3B">
      <w:pPr>
        <w:pStyle w:val="BodyText"/>
      </w:pPr>
      <w:r>
        <w:t xml:space="preserve">This section examines </w:t>
      </w:r>
      <w:r w:rsidR="005B72B0">
        <w:t xml:space="preserve">reporting </w:t>
      </w:r>
      <w:r>
        <w:t>organizations’ revenue, expenses, operating surpluses, assets, and liabilities.</w:t>
      </w:r>
      <w:r w:rsidR="005B72B0">
        <w:t xml:space="preserve"> “Reporting” means these organizations filed a Form 990 or Form 990-EZ with the IRS in </w:t>
      </w:r>
      <w:r w:rsidR="005B72B0" w:rsidRPr="003A59FD">
        <w:rPr>
          <w:highlight w:val="yellow"/>
        </w:rPr>
        <w:t>year</w:t>
      </w:r>
      <w:r w:rsidR="005B72B0">
        <w:t>.</w:t>
      </w:r>
      <w:r w:rsidR="00876636">
        <w:t xml:space="preserve"> These data points are only captured on these versions of the Form 990. X% of </w:t>
      </w:r>
      <w:r w:rsidR="00876636" w:rsidRPr="00BB1B89">
        <w:t>registered Southeast Michigan public charities</w:t>
      </w:r>
      <w:r w:rsidR="00876636">
        <w:t xml:space="preserve"> filed a Form 990-N in </w:t>
      </w:r>
      <w:r w:rsidR="00876636" w:rsidRPr="00876636">
        <w:rPr>
          <w:highlight w:val="yellow"/>
        </w:rPr>
        <w:t>year</w:t>
      </w:r>
      <w:r w:rsidR="00876636">
        <w:t>, and they are not included in this section.</w:t>
      </w:r>
    </w:p>
    <w:p w14:paraId="112D5E19" w14:textId="4143B385" w:rsidR="00682F3B" w:rsidRPr="00682F3B" w:rsidRDefault="004D1D0F" w:rsidP="004D1D0F">
      <w:pPr>
        <w:pStyle w:val="Heading2"/>
      </w:pPr>
      <w:r>
        <w:lastRenderedPageBreak/>
        <w:t>Revenue of Reporting 501(c)(3) Public Charities</w:t>
      </w:r>
    </w:p>
    <w:p w14:paraId="6B3498B9" w14:textId="165AFFE5" w:rsidR="006661AE" w:rsidRPr="00B77B56" w:rsidRDefault="006661AE" w:rsidP="006661AE">
      <w:pPr>
        <w:pStyle w:val="BodyText"/>
      </w:pPr>
      <w:r w:rsidRPr="00837302">
        <w:rPr>
          <w:highlight w:val="yellow"/>
        </w:rPr>
        <w:t xml:space="preserve">[placeholder for text commenting on </w:t>
      </w:r>
      <w:r w:rsidR="004D1D0F">
        <w:rPr>
          <w:highlight w:val="yellow"/>
        </w:rPr>
        <w:t>figure 3</w:t>
      </w:r>
      <w:r w:rsidRPr="00837302">
        <w:rPr>
          <w:highlight w:val="yellow"/>
        </w:rPr>
        <w:t>]</w:t>
      </w:r>
      <w:r>
        <w:t xml:space="preserve"> (figure </w:t>
      </w:r>
      <w:r w:rsidR="004D1D0F">
        <w:t>3</w:t>
      </w:r>
      <w:r>
        <w:t>).</w:t>
      </w:r>
    </w:p>
    <w:p w14:paraId="5BD3E80B" w14:textId="375CAB51" w:rsidR="006661AE" w:rsidRDefault="006661AE" w:rsidP="006661AE">
      <w:pPr>
        <w:pStyle w:val="FigureTableNumber"/>
      </w:pPr>
      <w:r>
        <w:t xml:space="preserve">figure </w:t>
      </w:r>
      <w:r w:rsidR="004D1D0F">
        <w:t>3</w:t>
      </w:r>
    </w:p>
    <w:p w14:paraId="6B79CB21" w14:textId="3998E299" w:rsidR="006661AE" w:rsidRDefault="004D1D0F" w:rsidP="006661AE">
      <w:pPr>
        <w:pStyle w:val="FigureTableTitle"/>
      </w:pPr>
      <w:r>
        <w:t>Revenue Ranges</w:t>
      </w:r>
      <w:r w:rsidR="006661AE">
        <w:t xml:space="preserve"> of Reporting 501(c)(3) Public Charities in Southeast Michigan, </w:t>
      </w:r>
      <w:r w:rsidR="006661AE" w:rsidRPr="00F710B4">
        <w:rPr>
          <w:highlight w:val="yellow"/>
        </w:rPr>
        <w:t>Year</w:t>
      </w:r>
    </w:p>
    <w:p w14:paraId="5BBFA53C" w14:textId="48A4AE56" w:rsidR="006661AE" w:rsidRPr="0091214F" w:rsidRDefault="00DD01A3" w:rsidP="006661AE">
      <w:pPr>
        <w:pStyle w:val="FigurePlacer"/>
        <w:rPr>
          <w:b/>
          <w:smallCaps/>
          <w:spacing w:val="10"/>
        </w:rPr>
      </w:pPr>
      <w:r>
        <w:drawing>
          <wp:inline distT="0" distB="0" distL="0" distR="0" wp14:anchorId="70C0FCAB" wp14:editId="7B32AAEC">
            <wp:extent cx="6400800" cy="2679700"/>
            <wp:effectExtent l="0" t="0" r="0" b="6350"/>
            <wp:docPr id="1883922729" name="Chart 1">
              <a:extLst xmlns:a="http://schemas.openxmlformats.org/drawingml/2006/main">
                <a:ext uri="{FF2B5EF4-FFF2-40B4-BE49-F238E27FC236}">
                  <a16:creationId xmlns:a16="http://schemas.microsoft.com/office/drawing/2014/main" id="{8CC147CE-5B24-4BEC-BD0D-23E9350B35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F31D16" w:rsidRPr="0091214F">
        <w:rPr>
          <w:b/>
          <w:bCs/>
          <w:smallCaps/>
          <w:color w:val="1696D2" w:themeColor="accent1"/>
          <w:spacing w:val="10"/>
        </w:rPr>
        <w:t xml:space="preserve"> </w:t>
      </w:r>
      <w:r w:rsidR="006661AE" w:rsidRPr="0091214F">
        <w:rPr>
          <w:b/>
          <w:bCs/>
          <w:smallCaps/>
          <w:color w:val="1696D2" w:themeColor="accent1"/>
          <w:spacing w:val="10"/>
        </w:rPr>
        <w:t xml:space="preserve">urban </w:t>
      </w:r>
      <w:r w:rsidR="006661AE">
        <w:rPr>
          <w:b/>
          <w:smallCaps/>
          <w:spacing w:val="10"/>
        </w:rPr>
        <w:t>institute</w:t>
      </w:r>
    </w:p>
    <w:p w14:paraId="6232DB71" w14:textId="77777777" w:rsidR="006661AE" w:rsidRDefault="006661AE" w:rsidP="006661AE">
      <w:pPr>
        <w:pStyle w:val="FigureTableNotes"/>
      </w:pPr>
      <w:r w:rsidRPr="000F6AF8">
        <w:rPr>
          <w:b/>
        </w:rPr>
        <w:t xml:space="preserve">Source: </w:t>
      </w:r>
      <w:r w:rsidRPr="009E2854">
        <w:rPr>
          <w:highlight w:val="yellow"/>
        </w:rPr>
        <w:t>[Date]</w:t>
      </w:r>
      <w:r w:rsidRPr="002245AD">
        <w:t xml:space="preserve"> National Center for Charitable Statistics Core PZ file</w:t>
      </w:r>
      <w:r>
        <w:t>.</w:t>
      </w:r>
    </w:p>
    <w:p w14:paraId="5419666D" w14:textId="77777777" w:rsidR="006661AE" w:rsidRPr="002E7F75" w:rsidRDefault="006661AE" w:rsidP="006661AE">
      <w:pPr>
        <w:pStyle w:val="FigureTableNotes"/>
      </w:pPr>
      <w:r w:rsidRPr="002245AD">
        <w:rPr>
          <w:b/>
          <w:bCs/>
        </w:rPr>
        <w:t xml:space="preserve">Note: </w:t>
      </w:r>
      <w:r w:rsidRPr="002245AD">
        <w:t xml:space="preserve">These data do not include Form 990-N filers and thus exclude small nonprofits with gross receipts less than or equal to $50,000, which represent </w:t>
      </w:r>
      <w:r w:rsidRPr="002245AD">
        <w:rPr>
          <w:highlight w:val="yellow"/>
        </w:rPr>
        <w:t>X</w:t>
      </w:r>
      <w:r w:rsidRPr="002245AD">
        <w:t>% of registered Southeast Michigan public charities.</w:t>
      </w:r>
    </w:p>
    <w:p w14:paraId="547CF3BE" w14:textId="49346BA9" w:rsidR="000C1745" w:rsidRPr="00682F3B" w:rsidRDefault="000C1745" w:rsidP="000C1745">
      <w:pPr>
        <w:pStyle w:val="Heading2"/>
      </w:pPr>
      <w:r>
        <w:t>Expenses of Reporting 501(c)(3) Public Charities</w:t>
      </w:r>
    </w:p>
    <w:p w14:paraId="589FA626" w14:textId="66E366D1" w:rsidR="000C1745" w:rsidRPr="00B77B56" w:rsidRDefault="000C1745" w:rsidP="000C1745">
      <w:pPr>
        <w:pStyle w:val="BodyText"/>
      </w:pPr>
      <w:r w:rsidRPr="00837302">
        <w:rPr>
          <w:highlight w:val="yellow"/>
        </w:rPr>
        <w:t xml:space="preserve">[placeholder for text commenting on </w:t>
      </w:r>
      <w:r>
        <w:rPr>
          <w:highlight w:val="yellow"/>
        </w:rPr>
        <w:t>figure 4</w:t>
      </w:r>
      <w:r w:rsidRPr="00837302">
        <w:rPr>
          <w:highlight w:val="yellow"/>
        </w:rPr>
        <w:t>]</w:t>
      </w:r>
      <w:r>
        <w:t xml:space="preserve"> (figure 4).</w:t>
      </w:r>
    </w:p>
    <w:p w14:paraId="7FB5EFBE" w14:textId="4F764E98" w:rsidR="000C1745" w:rsidRDefault="000C1745" w:rsidP="000C1745">
      <w:pPr>
        <w:pStyle w:val="FigureTableNumber"/>
      </w:pPr>
      <w:r>
        <w:t>figure 4</w:t>
      </w:r>
    </w:p>
    <w:p w14:paraId="01BB5A77" w14:textId="205EBCCB" w:rsidR="000C1745" w:rsidRDefault="000C1745" w:rsidP="000C1745">
      <w:pPr>
        <w:pStyle w:val="FigureTableTitle"/>
      </w:pPr>
      <w:r>
        <w:t xml:space="preserve">Expense Ranges of Reporting 501(c)(3) Public Charities in Southeast Michigan, </w:t>
      </w:r>
      <w:r w:rsidRPr="00F710B4">
        <w:rPr>
          <w:highlight w:val="yellow"/>
        </w:rPr>
        <w:t>Year</w:t>
      </w:r>
    </w:p>
    <w:p w14:paraId="0B8A4640" w14:textId="14BE11E1" w:rsidR="000C1745" w:rsidRPr="0091214F" w:rsidRDefault="00DD01A3" w:rsidP="000C1745">
      <w:pPr>
        <w:pStyle w:val="FigurePlacer"/>
        <w:rPr>
          <w:b/>
          <w:smallCaps/>
          <w:spacing w:val="10"/>
        </w:rPr>
      </w:pPr>
      <w:r>
        <w:drawing>
          <wp:inline distT="0" distB="0" distL="0" distR="0" wp14:anchorId="5AC0AEFE" wp14:editId="7C47A607">
            <wp:extent cx="6400800" cy="2682875"/>
            <wp:effectExtent l="0" t="0" r="0" b="3175"/>
            <wp:docPr id="1150837835" name="Chart 1">
              <a:extLst xmlns:a="http://schemas.openxmlformats.org/drawingml/2006/main">
                <a:ext uri="{FF2B5EF4-FFF2-40B4-BE49-F238E27FC236}">
                  <a16:creationId xmlns:a16="http://schemas.microsoft.com/office/drawing/2014/main" id="{C880B6E4-9697-454F-B3C1-64A65A7BD6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0C1745" w:rsidRPr="0091214F">
        <w:rPr>
          <w:b/>
          <w:bCs/>
          <w:smallCaps/>
          <w:color w:val="1696D2" w:themeColor="accent1"/>
          <w:spacing w:val="10"/>
        </w:rPr>
        <w:t xml:space="preserve"> </w:t>
      </w:r>
      <w:r w:rsidR="000C1745" w:rsidRPr="0091214F">
        <w:rPr>
          <w:b/>
          <w:bCs/>
          <w:smallCaps/>
          <w:color w:val="1696D2" w:themeColor="accent1"/>
          <w:spacing w:val="10"/>
        </w:rPr>
        <w:lastRenderedPageBreak/>
        <w:t xml:space="preserve">urban </w:t>
      </w:r>
      <w:r w:rsidR="000C1745">
        <w:rPr>
          <w:b/>
          <w:smallCaps/>
          <w:spacing w:val="10"/>
        </w:rPr>
        <w:t>institute</w:t>
      </w:r>
    </w:p>
    <w:p w14:paraId="52B5AF83" w14:textId="77777777" w:rsidR="000C1745" w:rsidRDefault="000C1745" w:rsidP="000C1745">
      <w:pPr>
        <w:pStyle w:val="FigureTableNotes"/>
      </w:pPr>
      <w:r w:rsidRPr="000F6AF8">
        <w:rPr>
          <w:b/>
        </w:rPr>
        <w:t xml:space="preserve">Source: </w:t>
      </w:r>
      <w:r w:rsidRPr="009E2854">
        <w:rPr>
          <w:highlight w:val="yellow"/>
        </w:rPr>
        <w:t>[Date]</w:t>
      </w:r>
      <w:r w:rsidRPr="002245AD">
        <w:t xml:space="preserve"> National Center for Charitable Statistics Core PZ file</w:t>
      </w:r>
      <w:r>
        <w:t>.</w:t>
      </w:r>
    </w:p>
    <w:p w14:paraId="1F1B1025" w14:textId="77777777" w:rsidR="000C1745" w:rsidRPr="002E7F75" w:rsidRDefault="000C1745" w:rsidP="000C1745">
      <w:pPr>
        <w:pStyle w:val="FigureTableNotes"/>
      </w:pPr>
      <w:r w:rsidRPr="002245AD">
        <w:rPr>
          <w:b/>
          <w:bCs/>
        </w:rPr>
        <w:t xml:space="preserve">Note: </w:t>
      </w:r>
      <w:r w:rsidRPr="002245AD">
        <w:t xml:space="preserve">These data do not include Form 990-N filers and thus exclude small nonprofits with gross receipts less than or equal to $50,000, which represent </w:t>
      </w:r>
      <w:r w:rsidRPr="002245AD">
        <w:rPr>
          <w:highlight w:val="yellow"/>
        </w:rPr>
        <w:t>X</w:t>
      </w:r>
      <w:r w:rsidRPr="002245AD">
        <w:t>% of registered Southeast Michigan public charities.</w:t>
      </w:r>
    </w:p>
    <w:p w14:paraId="5CA4A24A" w14:textId="6CB40A52" w:rsidR="000C1745" w:rsidRPr="00682F3B" w:rsidRDefault="000C1745" w:rsidP="000C1745">
      <w:pPr>
        <w:pStyle w:val="Heading2"/>
      </w:pPr>
      <w:r>
        <w:t>Operating Surpluses of Reporting 501(c)(3) Public Charities</w:t>
      </w:r>
    </w:p>
    <w:p w14:paraId="32F2E1E0" w14:textId="771B62F5" w:rsidR="000C1745" w:rsidRPr="00B77B56" w:rsidRDefault="000C1745" w:rsidP="000C1745">
      <w:pPr>
        <w:pStyle w:val="BodyText"/>
      </w:pPr>
      <w:r w:rsidRPr="00837302">
        <w:rPr>
          <w:highlight w:val="yellow"/>
        </w:rPr>
        <w:t xml:space="preserve">[placeholder for text commenting on </w:t>
      </w:r>
      <w:r>
        <w:rPr>
          <w:highlight w:val="yellow"/>
        </w:rPr>
        <w:t>figure 5</w:t>
      </w:r>
      <w:r w:rsidRPr="00837302">
        <w:rPr>
          <w:highlight w:val="yellow"/>
        </w:rPr>
        <w:t>]</w:t>
      </w:r>
      <w:r>
        <w:t xml:space="preserve"> (figure 5).</w:t>
      </w:r>
      <w:r w:rsidR="00F24124">
        <w:t xml:space="preserve"> </w:t>
      </w:r>
      <w:r w:rsidR="00F24124" w:rsidRPr="00F24124">
        <w:t>A positive operating surplus indicates a nonprofit can cover all of its expenses and has funds available to reinvest in its mission, while a negative surplus indicates they could not do so in that given tax year.</w:t>
      </w:r>
    </w:p>
    <w:p w14:paraId="2AD024EB" w14:textId="12E656BF" w:rsidR="000C1745" w:rsidRDefault="000C1745" w:rsidP="000C1745">
      <w:pPr>
        <w:pStyle w:val="FigureTableNumber"/>
      </w:pPr>
      <w:r>
        <w:t>figure 5</w:t>
      </w:r>
    </w:p>
    <w:p w14:paraId="0E251D59" w14:textId="2920E2F4" w:rsidR="000C1745" w:rsidRDefault="000C1745" w:rsidP="000C1745">
      <w:pPr>
        <w:pStyle w:val="FigureTableTitle"/>
      </w:pPr>
      <w:r>
        <w:t xml:space="preserve">Operating Surplus Ranges of Reporting 501(c)(3) Public Charities in Southeast Michigan, </w:t>
      </w:r>
      <w:r w:rsidRPr="00F710B4">
        <w:rPr>
          <w:highlight w:val="yellow"/>
        </w:rPr>
        <w:t>Year</w:t>
      </w:r>
    </w:p>
    <w:p w14:paraId="40E387DE" w14:textId="536B9EE2" w:rsidR="000C1745" w:rsidRPr="0091214F" w:rsidRDefault="007B6D05" w:rsidP="000C1745">
      <w:pPr>
        <w:pStyle w:val="FigurePlacer"/>
        <w:rPr>
          <w:b/>
          <w:smallCaps/>
          <w:spacing w:val="10"/>
        </w:rPr>
      </w:pPr>
      <w:r>
        <w:drawing>
          <wp:inline distT="0" distB="0" distL="0" distR="0" wp14:anchorId="62BB3025" wp14:editId="4232F8CC">
            <wp:extent cx="6384925" cy="2682875"/>
            <wp:effectExtent l="0" t="0" r="0" b="3175"/>
            <wp:docPr id="707571498" name="Chart 1">
              <a:extLst xmlns:a="http://schemas.openxmlformats.org/drawingml/2006/main">
                <a:ext uri="{FF2B5EF4-FFF2-40B4-BE49-F238E27FC236}">
                  <a16:creationId xmlns:a16="http://schemas.microsoft.com/office/drawing/2014/main" id="{50498AE9-4C27-4EA1-9A11-2C0CDEFD50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0C1745" w:rsidRPr="0091214F">
        <w:rPr>
          <w:b/>
          <w:bCs/>
          <w:smallCaps/>
          <w:color w:val="1696D2" w:themeColor="accent1"/>
          <w:spacing w:val="10"/>
        </w:rPr>
        <w:t xml:space="preserve"> urban </w:t>
      </w:r>
      <w:r w:rsidR="000C1745">
        <w:rPr>
          <w:b/>
          <w:smallCaps/>
          <w:spacing w:val="10"/>
        </w:rPr>
        <w:t>institute</w:t>
      </w:r>
    </w:p>
    <w:p w14:paraId="73E033C0" w14:textId="77777777" w:rsidR="000C1745" w:rsidRDefault="000C1745" w:rsidP="000C1745">
      <w:pPr>
        <w:pStyle w:val="FigureTableNotes"/>
      </w:pPr>
      <w:r w:rsidRPr="000F6AF8">
        <w:rPr>
          <w:b/>
        </w:rPr>
        <w:t xml:space="preserve">Source: </w:t>
      </w:r>
      <w:r w:rsidRPr="009E2854">
        <w:rPr>
          <w:highlight w:val="yellow"/>
        </w:rPr>
        <w:t>[Date]</w:t>
      </w:r>
      <w:r w:rsidRPr="002245AD">
        <w:t xml:space="preserve"> National Center for Charitable Statistics Core PZ file</w:t>
      </w:r>
      <w:r>
        <w:t>.</w:t>
      </w:r>
    </w:p>
    <w:p w14:paraId="7B2E405C" w14:textId="03F094CE" w:rsidR="000C1745" w:rsidRPr="002E7F75" w:rsidRDefault="000C1745" w:rsidP="000C1745">
      <w:pPr>
        <w:pStyle w:val="FigureTableNotes"/>
      </w:pPr>
      <w:r w:rsidRPr="002245AD">
        <w:rPr>
          <w:b/>
          <w:bCs/>
        </w:rPr>
        <w:t>Note</w:t>
      </w:r>
      <w:r>
        <w:rPr>
          <w:b/>
          <w:bCs/>
        </w:rPr>
        <w:t>s</w:t>
      </w:r>
      <w:r w:rsidRPr="002245AD">
        <w:rPr>
          <w:b/>
          <w:bCs/>
        </w:rPr>
        <w:t xml:space="preserve">: </w:t>
      </w:r>
      <w:r w:rsidRPr="002245AD">
        <w:t xml:space="preserve">These data do not include Form 990-N filers and thus exclude small nonprofits with gross receipts less than or equal to $50,000, which represent </w:t>
      </w:r>
      <w:r w:rsidRPr="002245AD">
        <w:rPr>
          <w:highlight w:val="yellow"/>
        </w:rPr>
        <w:t>X</w:t>
      </w:r>
      <w:r w:rsidRPr="002245AD">
        <w:t>% of registered Southeast Michigan public charities.</w:t>
      </w:r>
      <w:r>
        <w:t xml:space="preserve"> </w:t>
      </w:r>
      <w:r w:rsidRPr="000C1745">
        <w:t>Operating surplus is calculated as net income divided by total revenue. It is expressed as a percentage. Net income is the difference between total revenue and total expenses. This indicator is used as a measure of an organization's financial sustainability. Organizations reporting zero revenue or zero net income are assigned an operating surplus of zero.</w:t>
      </w:r>
    </w:p>
    <w:p w14:paraId="016C8CFD" w14:textId="187F37D7" w:rsidR="000900B4" w:rsidRPr="00682F3B" w:rsidRDefault="000900B4" w:rsidP="000900B4">
      <w:pPr>
        <w:pStyle w:val="Heading2"/>
      </w:pPr>
      <w:r>
        <w:t>Assets of Reporting 501(c)(3) Public Charities</w:t>
      </w:r>
    </w:p>
    <w:p w14:paraId="3C69738B" w14:textId="3B3CB88F" w:rsidR="000900B4" w:rsidRPr="00B77B56" w:rsidRDefault="000900B4" w:rsidP="000900B4">
      <w:pPr>
        <w:pStyle w:val="BodyText"/>
      </w:pPr>
      <w:r w:rsidRPr="00837302">
        <w:rPr>
          <w:highlight w:val="yellow"/>
        </w:rPr>
        <w:t xml:space="preserve">[placeholder for text commenting on </w:t>
      </w:r>
      <w:r>
        <w:rPr>
          <w:highlight w:val="yellow"/>
        </w:rPr>
        <w:t>figure 6</w:t>
      </w:r>
      <w:r w:rsidRPr="00837302">
        <w:rPr>
          <w:highlight w:val="yellow"/>
        </w:rPr>
        <w:t>]</w:t>
      </w:r>
      <w:r>
        <w:t xml:space="preserve"> (figure 6).</w:t>
      </w:r>
    </w:p>
    <w:p w14:paraId="348266BA" w14:textId="28B67C33" w:rsidR="000900B4" w:rsidRDefault="000900B4" w:rsidP="000900B4">
      <w:pPr>
        <w:pStyle w:val="FigureTableNumber"/>
      </w:pPr>
      <w:r>
        <w:t>figure 6</w:t>
      </w:r>
    </w:p>
    <w:p w14:paraId="09ABBA9A" w14:textId="6AB737E4" w:rsidR="000900B4" w:rsidRDefault="00EC304F" w:rsidP="000900B4">
      <w:pPr>
        <w:pStyle w:val="FigureTableTitle"/>
      </w:pPr>
      <w:r>
        <w:lastRenderedPageBreak/>
        <w:t>Asset</w:t>
      </w:r>
      <w:r w:rsidR="000900B4">
        <w:t xml:space="preserve"> Ranges of Reporting 501(c)(3) Public Charities in Southeast Michigan, </w:t>
      </w:r>
      <w:r w:rsidR="000900B4" w:rsidRPr="00F710B4">
        <w:rPr>
          <w:highlight w:val="yellow"/>
        </w:rPr>
        <w:t>Year</w:t>
      </w:r>
    </w:p>
    <w:p w14:paraId="1C224EEF" w14:textId="2D53B4DF" w:rsidR="000900B4" w:rsidRPr="0091214F" w:rsidRDefault="00DD01A3" w:rsidP="000900B4">
      <w:pPr>
        <w:pStyle w:val="FigurePlacer"/>
        <w:rPr>
          <w:b/>
          <w:smallCaps/>
          <w:spacing w:val="10"/>
        </w:rPr>
      </w:pPr>
      <w:r>
        <w:drawing>
          <wp:inline distT="0" distB="0" distL="0" distR="0" wp14:anchorId="7F4E9883" wp14:editId="65E44591">
            <wp:extent cx="6400800" cy="2679700"/>
            <wp:effectExtent l="0" t="0" r="0" b="6350"/>
            <wp:docPr id="2089709341" name="Chart 1">
              <a:extLst xmlns:a="http://schemas.openxmlformats.org/drawingml/2006/main">
                <a:ext uri="{FF2B5EF4-FFF2-40B4-BE49-F238E27FC236}">
                  <a16:creationId xmlns:a16="http://schemas.microsoft.com/office/drawing/2014/main" id="{27CB84E2-5EA1-41D4-8C62-906E4BC1B0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0900B4" w:rsidRPr="0091214F">
        <w:rPr>
          <w:b/>
          <w:bCs/>
          <w:smallCaps/>
          <w:color w:val="1696D2" w:themeColor="accent1"/>
          <w:spacing w:val="10"/>
        </w:rPr>
        <w:t xml:space="preserve"> urban </w:t>
      </w:r>
      <w:r w:rsidR="000900B4">
        <w:rPr>
          <w:b/>
          <w:smallCaps/>
          <w:spacing w:val="10"/>
        </w:rPr>
        <w:t>institute</w:t>
      </w:r>
    </w:p>
    <w:p w14:paraId="6B3AE802" w14:textId="77777777" w:rsidR="000900B4" w:rsidRDefault="000900B4" w:rsidP="000900B4">
      <w:pPr>
        <w:pStyle w:val="FigureTableNotes"/>
      </w:pPr>
      <w:r w:rsidRPr="000F6AF8">
        <w:rPr>
          <w:b/>
        </w:rPr>
        <w:t xml:space="preserve">Source: </w:t>
      </w:r>
      <w:r w:rsidRPr="009E2854">
        <w:rPr>
          <w:highlight w:val="yellow"/>
        </w:rPr>
        <w:t>[Date]</w:t>
      </w:r>
      <w:r w:rsidRPr="002245AD">
        <w:t xml:space="preserve"> National Center for Charitable Statistics Core PZ file</w:t>
      </w:r>
      <w:r>
        <w:t>.</w:t>
      </w:r>
    </w:p>
    <w:p w14:paraId="4DE395FA" w14:textId="77777777" w:rsidR="000900B4" w:rsidRPr="002E7F75" w:rsidRDefault="000900B4" w:rsidP="000900B4">
      <w:pPr>
        <w:pStyle w:val="FigureTableNotes"/>
      </w:pPr>
      <w:r w:rsidRPr="002245AD">
        <w:rPr>
          <w:b/>
          <w:bCs/>
        </w:rPr>
        <w:t xml:space="preserve">Note: </w:t>
      </w:r>
      <w:r w:rsidRPr="002245AD">
        <w:t xml:space="preserve">These data do not include Form 990-N filers and thus exclude small nonprofits with gross receipts less than or equal to $50,000, which represent </w:t>
      </w:r>
      <w:r w:rsidRPr="002245AD">
        <w:rPr>
          <w:highlight w:val="yellow"/>
        </w:rPr>
        <w:t>X</w:t>
      </w:r>
      <w:r w:rsidRPr="002245AD">
        <w:t>% of registered Southeast Michigan public charities.</w:t>
      </w:r>
    </w:p>
    <w:p w14:paraId="37E3C1EB" w14:textId="0B86D658" w:rsidR="00EC304F" w:rsidRPr="00682F3B" w:rsidRDefault="00EC304F" w:rsidP="00EC304F">
      <w:pPr>
        <w:pStyle w:val="Heading2"/>
      </w:pPr>
      <w:r>
        <w:t>Liabilities of Reporting 501(c)(3) Public Charities</w:t>
      </w:r>
    </w:p>
    <w:p w14:paraId="37931B41" w14:textId="096F9DF7" w:rsidR="00EC304F" w:rsidRPr="00B77B56" w:rsidRDefault="00EC304F" w:rsidP="00EC304F">
      <w:pPr>
        <w:pStyle w:val="BodyText"/>
      </w:pPr>
      <w:r w:rsidRPr="00837302">
        <w:rPr>
          <w:highlight w:val="yellow"/>
        </w:rPr>
        <w:t xml:space="preserve">[placeholder for text commenting on </w:t>
      </w:r>
      <w:r>
        <w:rPr>
          <w:highlight w:val="yellow"/>
        </w:rPr>
        <w:t>figure 7</w:t>
      </w:r>
      <w:r w:rsidRPr="00837302">
        <w:rPr>
          <w:highlight w:val="yellow"/>
        </w:rPr>
        <w:t>]</w:t>
      </w:r>
      <w:r>
        <w:t xml:space="preserve"> (figure 7).</w:t>
      </w:r>
    </w:p>
    <w:p w14:paraId="21896003" w14:textId="5268E570" w:rsidR="00EC304F" w:rsidRDefault="00EC304F" w:rsidP="00EC304F">
      <w:pPr>
        <w:pStyle w:val="FigureTableNumber"/>
      </w:pPr>
      <w:r>
        <w:t>figure 7</w:t>
      </w:r>
    </w:p>
    <w:p w14:paraId="2E350CF0" w14:textId="11E80A29" w:rsidR="00EC304F" w:rsidRDefault="00EC304F" w:rsidP="00EC304F">
      <w:pPr>
        <w:pStyle w:val="FigureTableTitle"/>
      </w:pPr>
      <w:r>
        <w:t xml:space="preserve">Liability Ranges of Reporting 501(c)(3) Public Charities in Southeast Michigan, </w:t>
      </w:r>
      <w:r w:rsidRPr="00F710B4">
        <w:rPr>
          <w:highlight w:val="yellow"/>
        </w:rPr>
        <w:t>Year</w:t>
      </w:r>
    </w:p>
    <w:p w14:paraId="443E0F5B" w14:textId="209760EE" w:rsidR="00EC304F" w:rsidRPr="0091214F" w:rsidRDefault="00DD01A3" w:rsidP="00EC304F">
      <w:pPr>
        <w:pStyle w:val="FigurePlacer"/>
        <w:rPr>
          <w:b/>
          <w:smallCaps/>
          <w:spacing w:val="10"/>
        </w:rPr>
      </w:pPr>
      <w:r>
        <w:drawing>
          <wp:inline distT="0" distB="0" distL="0" distR="0" wp14:anchorId="6A6E4102" wp14:editId="693BFAB9">
            <wp:extent cx="6400800" cy="2682875"/>
            <wp:effectExtent l="0" t="0" r="0" b="3175"/>
            <wp:docPr id="122774742" name="Chart 1">
              <a:extLst xmlns:a="http://schemas.openxmlformats.org/drawingml/2006/main">
                <a:ext uri="{FF2B5EF4-FFF2-40B4-BE49-F238E27FC236}">
                  <a16:creationId xmlns:a16="http://schemas.microsoft.com/office/drawing/2014/main" id="{46062B5A-113C-4A45-BCA3-A31BAF20D5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00EC304F" w:rsidRPr="0091214F">
        <w:rPr>
          <w:b/>
          <w:bCs/>
          <w:smallCaps/>
          <w:color w:val="1696D2" w:themeColor="accent1"/>
          <w:spacing w:val="10"/>
        </w:rPr>
        <w:t xml:space="preserve"> urban </w:t>
      </w:r>
      <w:r w:rsidR="00EC304F">
        <w:rPr>
          <w:b/>
          <w:smallCaps/>
          <w:spacing w:val="10"/>
        </w:rPr>
        <w:t>institute</w:t>
      </w:r>
    </w:p>
    <w:p w14:paraId="1BDFEA6E" w14:textId="77777777" w:rsidR="00EC304F" w:rsidRDefault="00EC304F" w:rsidP="00EC304F">
      <w:pPr>
        <w:pStyle w:val="FigureTableNotes"/>
      </w:pPr>
      <w:r w:rsidRPr="000F6AF8">
        <w:rPr>
          <w:b/>
        </w:rPr>
        <w:t xml:space="preserve">Source: </w:t>
      </w:r>
      <w:r w:rsidRPr="009E2854">
        <w:rPr>
          <w:highlight w:val="yellow"/>
        </w:rPr>
        <w:t>[Date]</w:t>
      </w:r>
      <w:r w:rsidRPr="002245AD">
        <w:t xml:space="preserve"> National Center for Charitable Statistics Core PZ file</w:t>
      </w:r>
      <w:r>
        <w:t>.</w:t>
      </w:r>
    </w:p>
    <w:p w14:paraId="783145AA" w14:textId="77777777" w:rsidR="00EC304F" w:rsidRPr="002E7F75" w:rsidRDefault="00EC304F" w:rsidP="00EC304F">
      <w:pPr>
        <w:pStyle w:val="FigureTableNotes"/>
      </w:pPr>
      <w:r w:rsidRPr="002245AD">
        <w:rPr>
          <w:b/>
          <w:bCs/>
        </w:rPr>
        <w:t xml:space="preserve">Note: </w:t>
      </w:r>
      <w:r w:rsidRPr="002245AD">
        <w:t xml:space="preserve">These data do not include Form 990-N filers and thus exclude small nonprofits with gross receipts less than or equal to $50,000, which represent </w:t>
      </w:r>
      <w:r w:rsidRPr="002245AD">
        <w:rPr>
          <w:highlight w:val="yellow"/>
        </w:rPr>
        <w:t>X</w:t>
      </w:r>
      <w:r w:rsidRPr="002245AD">
        <w:t>% of registered Southeast Michigan public charities.</w:t>
      </w:r>
    </w:p>
    <w:p w14:paraId="0248B668" w14:textId="7F4BDC71" w:rsidR="00860429" w:rsidRPr="00682F3B" w:rsidRDefault="00860429" w:rsidP="00860429">
      <w:pPr>
        <w:pStyle w:val="Heading1"/>
      </w:pPr>
      <w:r>
        <w:lastRenderedPageBreak/>
        <w:t xml:space="preserve">Employees of </w:t>
      </w:r>
      <w:r w:rsidR="00C00624">
        <w:t>Form 990-Filing</w:t>
      </w:r>
      <w:r>
        <w:t xml:space="preserve"> 501(c)(3) Public Charities</w:t>
      </w:r>
    </w:p>
    <w:p w14:paraId="3A8A53A1" w14:textId="1AD6F3F7" w:rsidR="00860429" w:rsidRPr="00B77B56" w:rsidRDefault="00860429" w:rsidP="00201860">
      <w:pPr>
        <w:pStyle w:val="BodyText"/>
      </w:pPr>
      <w:r w:rsidRPr="00837302">
        <w:rPr>
          <w:highlight w:val="yellow"/>
        </w:rPr>
        <w:t xml:space="preserve">[placeholder for text commenting on </w:t>
      </w:r>
      <w:r>
        <w:rPr>
          <w:highlight w:val="yellow"/>
        </w:rPr>
        <w:t>figure 8</w:t>
      </w:r>
      <w:r w:rsidRPr="00837302">
        <w:rPr>
          <w:highlight w:val="yellow"/>
        </w:rPr>
        <w:t>]</w:t>
      </w:r>
      <w:r>
        <w:t xml:space="preserve"> (figure 8).</w:t>
      </w:r>
      <w:r w:rsidR="00201860">
        <w:t xml:space="preserve"> This data point is only captured on the full Form 990. X% of </w:t>
      </w:r>
      <w:r w:rsidR="00201860" w:rsidRPr="00BB1B89">
        <w:t>registered Southeast Michigan public charities</w:t>
      </w:r>
      <w:r w:rsidR="00201860">
        <w:t xml:space="preserve"> filed a Form 990-N or Form 990-EZ, and they are not included in figure 9.</w:t>
      </w:r>
    </w:p>
    <w:p w14:paraId="67B710E7" w14:textId="463067F0" w:rsidR="00860429" w:rsidRDefault="00860429" w:rsidP="00860429">
      <w:pPr>
        <w:pStyle w:val="FigureTableNumber"/>
      </w:pPr>
      <w:r>
        <w:t>figure 8</w:t>
      </w:r>
    </w:p>
    <w:p w14:paraId="75106E7E" w14:textId="2C12659E" w:rsidR="00860429" w:rsidRDefault="00860429" w:rsidP="00860429">
      <w:pPr>
        <w:pStyle w:val="FigureTableTitle"/>
      </w:pPr>
      <w:r>
        <w:t xml:space="preserve">Employee Ranges of </w:t>
      </w:r>
      <w:r w:rsidR="006261AE">
        <w:t>Form 990-Filing</w:t>
      </w:r>
      <w:r>
        <w:t xml:space="preserve"> 501(c)(3) Public Charities in Southeast Michigan, </w:t>
      </w:r>
      <w:r w:rsidRPr="00F710B4">
        <w:rPr>
          <w:highlight w:val="yellow"/>
        </w:rPr>
        <w:t>Year</w:t>
      </w:r>
    </w:p>
    <w:p w14:paraId="126BCC4A" w14:textId="5510DC4C" w:rsidR="00860429" w:rsidRPr="0091214F" w:rsidRDefault="003E1ECD" w:rsidP="00860429">
      <w:pPr>
        <w:pStyle w:val="FigurePlacer"/>
        <w:rPr>
          <w:b/>
          <w:smallCaps/>
          <w:spacing w:val="10"/>
        </w:rPr>
      </w:pPr>
      <w:r>
        <w:drawing>
          <wp:inline distT="0" distB="0" distL="0" distR="0" wp14:anchorId="02E025B4" wp14:editId="28A450A4">
            <wp:extent cx="6400800" cy="2682875"/>
            <wp:effectExtent l="0" t="0" r="0" b="3175"/>
            <wp:docPr id="1636401323" name="Chart 1">
              <a:extLst xmlns:a="http://schemas.openxmlformats.org/drawingml/2006/main">
                <a:ext uri="{FF2B5EF4-FFF2-40B4-BE49-F238E27FC236}">
                  <a16:creationId xmlns:a16="http://schemas.microsoft.com/office/drawing/2014/main" id="{D313C988-9455-492C-86CC-004D723CF3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00860429" w:rsidRPr="0091214F">
        <w:rPr>
          <w:b/>
          <w:bCs/>
          <w:smallCaps/>
          <w:color w:val="1696D2" w:themeColor="accent1"/>
          <w:spacing w:val="10"/>
        </w:rPr>
        <w:t xml:space="preserve"> urban </w:t>
      </w:r>
      <w:r w:rsidR="00860429">
        <w:rPr>
          <w:b/>
          <w:smallCaps/>
          <w:spacing w:val="10"/>
        </w:rPr>
        <w:t>institute</w:t>
      </w:r>
    </w:p>
    <w:p w14:paraId="4C88F7BE" w14:textId="02A7513D" w:rsidR="00860429" w:rsidRDefault="00860429" w:rsidP="00860429">
      <w:pPr>
        <w:pStyle w:val="FigureTableNotes"/>
      </w:pPr>
      <w:r w:rsidRPr="000F6AF8">
        <w:rPr>
          <w:b/>
        </w:rPr>
        <w:t xml:space="preserve">Source: </w:t>
      </w:r>
      <w:r w:rsidR="009E2854" w:rsidRPr="009E2854">
        <w:rPr>
          <w:highlight w:val="yellow"/>
        </w:rPr>
        <w:t>[Date]</w:t>
      </w:r>
      <w:r w:rsidR="009E2854" w:rsidRPr="009E2854">
        <w:t xml:space="preserve"> National Center for Charitable Statistics Core PC file</w:t>
      </w:r>
      <w:r w:rsidR="009E2854">
        <w:t>.</w:t>
      </w:r>
    </w:p>
    <w:p w14:paraId="3D950B17" w14:textId="271C92A1" w:rsidR="00860429" w:rsidRPr="002E7F75" w:rsidRDefault="00860429" w:rsidP="00860429">
      <w:pPr>
        <w:pStyle w:val="FigureTableNotes"/>
      </w:pPr>
      <w:r w:rsidRPr="002245AD">
        <w:rPr>
          <w:b/>
          <w:bCs/>
        </w:rPr>
        <w:t xml:space="preserve">Note: </w:t>
      </w:r>
      <w:r w:rsidR="009E2854" w:rsidRPr="009E2854">
        <w:t xml:space="preserve">These data do not include Form 990-EZ or 990-N filers and thus exclude nonprofits with annual gross receipts less than $200,000 and total assets less than $500,000, which represent </w:t>
      </w:r>
      <w:r w:rsidR="009E2854" w:rsidRPr="009E2854">
        <w:rPr>
          <w:highlight w:val="yellow"/>
        </w:rPr>
        <w:t>X</w:t>
      </w:r>
      <w:r w:rsidR="009E2854" w:rsidRPr="009E2854">
        <w:t xml:space="preserve">% of registered Southeast Michigan public charities, and nonprofits with gross receipts less than or equal to $50,000, which represent </w:t>
      </w:r>
      <w:r w:rsidR="009E2854" w:rsidRPr="009E2854">
        <w:rPr>
          <w:highlight w:val="yellow"/>
        </w:rPr>
        <w:t>X</w:t>
      </w:r>
      <w:r w:rsidR="009E2854" w:rsidRPr="009E2854">
        <w:t>% of registered Southeast Michigan public charities.</w:t>
      </w:r>
    </w:p>
    <w:p w14:paraId="1EF6FC56" w14:textId="36D49758" w:rsidR="00333B29" w:rsidRDefault="00374CE9" w:rsidP="00374CE9">
      <w:pPr>
        <w:pStyle w:val="Heading1"/>
      </w:pPr>
      <w:r>
        <w:t>Conclusion</w:t>
      </w:r>
    </w:p>
    <w:p w14:paraId="7751ADEA" w14:textId="16429122" w:rsidR="00374CE9" w:rsidRPr="00374CE9" w:rsidRDefault="00374CE9" w:rsidP="00374CE9">
      <w:pPr>
        <w:pStyle w:val="BodyText"/>
      </w:pPr>
      <w:r w:rsidRPr="00374CE9">
        <w:rPr>
          <w:highlight w:val="yellow"/>
        </w:rPr>
        <w:t>[placeholder for text with a few high-level takeaways based on the data]</w:t>
      </w:r>
    </w:p>
    <w:p w14:paraId="10F791C9" w14:textId="77777777" w:rsidR="001D56E9" w:rsidRDefault="00405BAD" w:rsidP="001D6E32">
      <w:pPr>
        <w:pStyle w:val="Heading1"/>
      </w:pPr>
      <w:r>
        <w:t>Notes</w:t>
      </w:r>
    </w:p>
    <w:p w14:paraId="04A07635" w14:textId="77777777" w:rsidR="00C61A0C" w:rsidRDefault="00C61A0C" w:rsidP="001D6E32">
      <w:pPr>
        <w:pStyle w:val="Heading1"/>
        <w:sectPr w:rsidR="00C61A0C" w:rsidSect="005363E9">
          <w:footerReference w:type="even" r:id="rId19"/>
          <w:footerReference w:type="default" r:id="rId20"/>
          <w:headerReference w:type="first" r:id="rId21"/>
          <w:footerReference w:type="first" r:id="rId22"/>
          <w:endnotePr>
            <w:numFmt w:val="decimal"/>
          </w:endnotePr>
          <w:pgSz w:w="12240" w:h="15840"/>
          <w:pgMar w:top="1440" w:right="1080" w:bottom="1440" w:left="1080" w:header="288" w:footer="576" w:gutter="0"/>
          <w:cols w:space="720"/>
          <w:titlePg/>
          <w:docGrid w:linePitch="360"/>
        </w:sectPr>
      </w:pPr>
    </w:p>
    <w:p w14:paraId="5A04987E" w14:textId="77777777" w:rsidR="00E84339" w:rsidRDefault="00E84339" w:rsidP="00E84339">
      <w:pPr>
        <w:pStyle w:val="Heading1"/>
      </w:pPr>
      <w:r>
        <w:t>About the Author</w:t>
      </w:r>
      <w:r w:rsidRPr="007C035A">
        <w:t>s</w:t>
      </w:r>
    </w:p>
    <w:p w14:paraId="7D5B115B" w14:textId="0FBA6513" w:rsidR="00E84339" w:rsidRPr="00A64046" w:rsidRDefault="00D4043F" w:rsidP="00A64046">
      <w:pPr>
        <w:pStyle w:val="BodyText"/>
      </w:pPr>
      <w:r w:rsidRPr="00A64046">
        <w:rPr>
          <w:b/>
          <w:bCs/>
        </w:rPr>
        <w:t xml:space="preserve">Christina Prinvil </w:t>
      </w:r>
      <w:r w:rsidRPr="00A64046">
        <w:t>is a research analyst in the Center on Nonprofits and Philanthropy in the Research to Action Lab Division</w:t>
      </w:r>
      <w:r w:rsidR="0083296D" w:rsidRPr="0083296D">
        <w:t xml:space="preserve"> </w:t>
      </w:r>
      <w:r w:rsidR="0083296D" w:rsidRPr="00A64046">
        <w:t>at the Urban Institute</w:t>
      </w:r>
      <w:r w:rsidRPr="00A64046">
        <w:t>. She has a Master of Public Policy from the George Washington University.</w:t>
      </w:r>
    </w:p>
    <w:p w14:paraId="7227FC26" w14:textId="26DA6881" w:rsidR="00D4043F" w:rsidRDefault="00D4043F" w:rsidP="00A64046">
      <w:pPr>
        <w:pStyle w:val="BodyText"/>
      </w:pPr>
      <w:r w:rsidRPr="00A64046">
        <w:rPr>
          <w:b/>
          <w:bCs/>
        </w:rPr>
        <w:t>Hannah Martin</w:t>
      </w:r>
      <w:r w:rsidRPr="00A64046">
        <w:t xml:space="preserve"> is a policy associate in the Center on Nonprofits and Philanthropy in the Research to Action Lab Division. She has a Master of Public Affairs from Indiana University.</w:t>
      </w:r>
    </w:p>
    <w:p w14:paraId="0CD0FA60" w14:textId="02EF8C74" w:rsidR="0083296D" w:rsidRPr="00A64046" w:rsidRDefault="0083296D" w:rsidP="00A64046">
      <w:pPr>
        <w:pStyle w:val="BodyText"/>
      </w:pPr>
      <w:r w:rsidRPr="0083296D">
        <w:rPr>
          <w:b/>
          <w:bCs/>
        </w:rPr>
        <w:t>Thiyaghessan Poongundranar</w:t>
      </w:r>
      <w:r>
        <w:t xml:space="preserve"> is a data scientist. He has a Masters in Computational Social Science from the University of Chicago.</w:t>
      </w:r>
    </w:p>
    <w:p w14:paraId="4DECABE3" w14:textId="77777777" w:rsidR="00D4043F" w:rsidRPr="00A64046" w:rsidRDefault="00D4043F" w:rsidP="00A64046">
      <w:pPr>
        <w:pStyle w:val="BodyText"/>
      </w:pPr>
      <w:r w:rsidRPr="00A64046">
        <w:rPr>
          <w:b/>
          <w:bCs/>
        </w:rPr>
        <w:lastRenderedPageBreak/>
        <w:t>Lewis Faulk</w:t>
      </w:r>
      <w:r w:rsidRPr="00A64046">
        <w:t xml:space="preserve"> is an associate professor of public administration and policy in the School of Public Affairs at American University and a nonresident fellow at the Urban Institute. He is also a faculty fellow of American University’s Metropolitan Policy Center. He has a joint PhD in public policy from Georgia State University and Georgia Institute of Technology.</w:t>
      </w:r>
    </w:p>
    <w:p w14:paraId="6F7A7B9E" w14:textId="7EFE059D" w:rsidR="00D4043F" w:rsidRPr="00A64046" w:rsidRDefault="00D4043F" w:rsidP="00A64046">
      <w:pPr>
        <w:pStyle w:val="BodyText"/>
        <w:rPr>
          <w:rStyle w:val="Editbeforepublication"/>
          <w:color w:val="000000" w:themeColor="text1"/>
          <w:shd w:val="clear" w:color="auto" w:fill="auto"/>
        </w:rPr>
      </w:pPr>
      <w:r w:rsidRPr="00A64046">
        <w:rPr>
          <w:b/>
          <w:bCs/>
        </w:rPr>
        <w:t>Mirae Kim</w:t>
      </w:r>
      <w:r w:rsidRPr="00A64046">
        <w:t xml:space="preserve"> is a professor of nonprofit studies at the Schar School of Policy and Government at George Mason University and a nonresident fellow at the Urban Institute. She is also a faculty affiliate of the Center on Nonprofits, Philanthropy, and Social Enterprise at George Mason University. She has a PhD in public management from Rutgers University.</w:t>
      </w:r>
    </w:p>
    <w:p w14:paraId="495BD1C8" w14:textId="0D362CD1" w:rsidR="00D4043F" w:rsidRPr="00A64046" w:rsidRDefault="00D4043F" w:rsidP="00A64046">
      <w:pPr>
        <w:pStyle w:val="BodyText"/>
      </w:pPr>
      <w:r w:rsidRPr="00A64046">
        <w:rPr>
          <w:b/>
          <w:bCs/>
        </w:rPr>
        <w:t>Laura Tomasko</w:t>
      </w:r>
      <w:r w:rsidRPr="00A64046">
        <w:t xml:space="preserve"> is a senior policy program manager and leads the Center on Nonprofits and Philanthropy in the Research to Action Lab Division. She has a Master of Public Administration from Syracuse University.</w:t>
      </w:r>
    </w:p>
    <w:p w14:paraId="29B5CC5E" w14:textId="77777777" w:rsidR="00E84339" w:rsidRDefault="00405BAD" w:rsidP="00E84339">
      <w:pPr>
        <w:pStyle w:val="Heading1"/>
      </w:pPr>
      <w:r>
        <w:t>Acknowledgments</w:t>
      </w:r>
    </w:p>
    <w:p w14:paraId="3E6DF2D0" w14:textId="4F35981B" w:rsidR="00C61A0C" w:rsidRDefault="00E84339" w:rsidP="00E84339">
      <w:pPr>
        <w:pStyle w:val="BodyText"/>
      </w:pPr>
      <w:r w:rsidRPr="00183927">
        <w:t xml:space="preserve">This </w:t>
      </w:r>
      <w:r w:rsidR="00C61A0C" w:rsidRPr="00183927">
        <w:t xml:space="preserve">brief </w:t>
      </w:r>
      <w:r w:rsidR="00081587" w:rsidRPr="00183927">
        <w:t>was</w:t>
      </w:r>
      <w:r w:rsidRPr="00183927">
        <w:t xml:space="preserve"> funded </w:t>
      </w:r>
      <w:r w:rsidRPr="00BA3396">
        <w:t>by</w:t>
      </w:r>
      <w:r w:rsidR="00C42B5D">
        <w:t xml:space="preserve"> the Community Foundation for Southeast Michigan</w:t>
      </w:r>
      <w:r w:rsidRPr="00DA4A9D">
        <w:t xml:space="preserve">. </w:t>
      </w:r>
      <w:r w:rsidR="00081587" w:rsidRPr="00DA4A9D">
        <w:t>W</w:t>
      </w:r>
      <w:r w:rsidR="00081587">
        <w:t xml:space="preserve">e are grateful to them and to all our funders, who make it possible for Urban to advance its mission. </w:t>
      </w:r>
      <w:r w:rsidRPr="00BA3396">
        <w:t>The views expressed are those of the</w:t>
      </w:r>
      <w:r w:rsidR="00C42B5D">
        <w:t xml:space="preserve"> authors</w:t>
      </w:r>
      <w:r w:rsidRPr="005C107B">
        <w:rPr>
          <w:rStyle w:val="Editbeforepublication"/>
        </w:rPr>
        <w:t xml:space="preserve"> </w:t>
      </w:r>
      <w:r w:rsidRPr="00BA3396">
        <w:t xml:space="preserve">and should not be attributed to the Urban Institute, its trustees, or its funders. </w:t>
      </w:r>
      <w:r w:rsidR="00081587">
        <w:t>F</w:t>
      </w:r>
      <w:r w:rsidR="00081587" w:rsidRPr="00203853">
        <w:t>unders do not</w:t>
      </w:r>
      <w:r w:rsidR="00081587">
        <w:t xml:space="preserve"> </w:t>
      </w:r>
      <w:r w:rsidR="00081587" w:rsidRPr="00203853">
        <w:t xml:space="preserve">determine research findings or the insights and recommendations of </w:t>
      </w:r>
      <w:r w:rsidR="00081587">
        <w:t xml:space="preserve">Urban </w:t>
      </w:r>
      <w:r w:rsidR="00081587" w:rsidRPr="00203853">
        <w:t>experts.</w:t>
      </w:r>
      <w:r w:rsidR="00081587">
        <w:t xml:space="preserve"> </w:t>
      </w:r>
      <w:r w:rsidRPr="00BA3396">
        <w:t xml:space="preserve">Further information on the Urban Institute’s funding principles is available at </w:t>
      </w:r>
      <w:hyperlink r:id="rId23" w:history="1">
        <w:r w:rsidRPr="00BA3396">
          <w:rPr>
            <w:rStyle w:val="Hyperlink"/>
          </w:rPr>
          <w:t>urban.org/fundingprinciples</w:t>
        </w:r>
      </w:hyperlink>
      <w:r w:rsidRPr="00BA3396">
        <w:t>. Copyright ©</w:t>
      </w:r>
      <w:r w:rsidR="00982C7F">
        <w:t xml:space="preserve"> </w:t>
      </w:r>
      <w:r w:rsidR="006F458C">
        <w:t>January</w:t>
      </w:r>
      <w:r w:rsidR="00982C7F">
        <w:t xml:space="preserve"> 202</w:t>
      </w:r>
      <w:r w:rsidR="006F458C">
        <w:t>7</w:t>
      </w:r>
      <w:r w:rsidR="00982C7F">
        <w:t>.</w:t>
      </w:r>
      <w:r w:rsidRPr="0032118E">
        <w:t xml:space="preserve"> </w:t>
      </w:r>
      <w:r w:rsidRPr="00BA3396">
        <w:t>Urban Institute. Permission is granted for reproduction of this file, with attribution to the Urban Institute</w:t>
      </w:r>
      <w:r>
        <w:t>.</w:t>
      </w:r>
    </w:p>
    <w:sectPr w:rsidR="00C61A0C" w:rsidSect="00C06289">
      <w:endnotePr>
        <w:numFmt w:val="decimal"/>
      </w:endnotePr>
      <w:type w:val="continuous"/>
      <w:pgSz w:w="12240" w:h="15840"/>
      <w:pgMar w:top="1440" w:right="1080" w:bottom="1440" w:left="1080" w:header="504" w:footer="57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 Hannah" w:date="2026-10-15T09:22:00Z" w:initials="HM">
    <w:p w14:paraId="7E767C22" w14:textId="77777777" w:rsidR="006F458C" w:rsidRDefault="006F458C" w:rsidP="006F458C">
      <w:pPr>
        <w:pStyle w:val="CommentText"/>
      </w:pPr>
      <w:r>
        <w:rPr>
          <w:rStyle w:val="CommentReference"/>
        </w:rPr>
        <w:annotationRef/>
      </w:r>
      <w:r>
        <w:t>Adjust order as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767C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E0B7AC" w16cex:dateUtc="2026-10-15T16: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767C22" w16cid:durableId="64E0B7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B1CBD" w14:textId="77777777" w:rsidR="00F33A55" w:rsidRPr="00016084" w:rsidRDefault="00F33A55" w:rsidP="00791F8F">
      <w:pPr>
        <w:spacing w:after="0" w:line="240" w:lineRule="auto"/>
        <w:rPr>
          <w:sz w:val="12"/>
          <w:szCs w:val="14"/>
        </w:rPr>
      </w:pPr>
    </w:p>
  </w:endnote>
  <w:endnote w:type="continuationSeparator" w:id="0">
    <w:p w14:paraId="5B14D80B" w14:textId="77777777" w:rsidR="00F33A55" w:rsidRPr="00DB3BA3" w:rsidRDefault="00F33A55" w:rsidP="00791F8F">
      <w:pPr>
        <w:spacing w:after="0" w:line="240" w:lineRule="auto"/>
        <w:rPr>
          <w:sz w:val="12"/>
          <w:szCs w:val="14"/>
        </w:rPr>
      </w:pPr>
    </w:p>
  </w:endnote>
  <w:endnote w:type="continuationNotice" w:id="1">
    <w:p w14:paraId="2471464E" w14:textId="77777777" w:rsidR="00F33A55" w:rsidRPr="00DB3BA3" w:rsidRDefault="00F33A55">
      <w:pPr>
        <w:spacing w:after="0" w:line="240" w:lineRule="auto"/>
        <w:rPr>
          <w:sz w:val="12"/>
          <w:szCs w:val="14"/>
        </w:rPr>
      </w:pPr>
    </w:p>
  </w:endnote>
  <w:endnote w:id="2">
    <w:p w14:paraId="446F3360" w14:textId="77777777" w:rsidR="002E0D5A" w:rsidRDefault="002E0D5A" w:rsidP="002E0D5A">
      <w:pPr>
        <w:pStyle w:val="EndnoteText"/>
      </w:pPr>
      <w:r>
        <w:rPr>
          <w:rStyle w:val="EndnoteReference"/>
        </w:rPr>
        <w:endnoteRef/>
      </w:r>
      <w:r>
        <w:t xml:space="preserve"> </w:t>
      </w:r>
      <w:r w:rsidRPr="00FA7CAD">
        <w:t>U.S. Census Bureau, Population Division</w:t>
      </w:r>
      <w:r>
        <w:t>, “</w:t>
      </w:r>
      <w:r w:rsidRPr="00FA7CAD">
        <w:t>Annual Estimates of the Resident Population for Counties in Michigan: April 1, 2020 to July 1, 2025 (CO-EST2025-POP-26)</w:t>
      </w:r>
      <w:r>
        <w:t xml:space="preserve">,” March 2026, </w:t>
      </w:r>
      <w:hyperlink r:id="rId1" w:history="1">
        <w:r w:rsidRPr="00A2633E">
          <w:rPr>
            <w:rStyle w:val="Hyperlink"/>
          </w:rPr>
          <w:t>https://www.census.gov/data/tables/time-series/demo/popest/2020s-counties-total.html</w:t>
        </w:r>
      </w:hyperlink>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ato Medium">
    <w:charset w:val="00"/>
    <w:family w:val="swiss"/>
    <w:pitch w:val="variable"/>
    <w:sig w:usb0="E10002FF" w:usb1="5000ECFF" w:usb2="00000021" w:usb3="00000000" w:csb0="0000019F" w:csb1="00000000"/>
  </w:font>
  <w:font w:name="Lato">
    <w:panose1 w:val="020F0502020204030203"/>
    <w:charset w:val="00"/>
    <w:family w:val="swiss"/>
    <w:pitch w:val="variable"/>
    <w:sig w:usb0="A00000AF" w:usb1="5000604B" w:usb2="00000000" w:usb3="00000000" w:csb0="00000093" w:csb1="00000000"/>
  </w:font>
  <w:font w:name="Lato Bold">
    <w:panose1 w:val="020F0802020204030203"/>
    <w:charset w:val="00"/>
    <w:family w:val="auto"/>
    <w:pitch w:val="variable"/>
    <w:sig w:usb0="A00000AF" w:usb1="5000604B" w:usb2="00000000" w:usb3="00000000" w:csb0="00000093" w:csb1="00000000"/>
  </w:font>
  <w:font w:name="Calibri">
    <w:panose1 w:val="020F0502020204030204"/>
    <w:charset w:val="00"/>
    <w:family w:val="swiss"/>
    <w:pitch w:val="variable"/>
    <w:sig w:usb0="E4002EFF" w:usb1="C200247B" w:usb2="00000009" w:usb3="00000000" w:csb0="000001FF" w:csb1="00000000"/>
  </w:font>
  <w:font w:name="Gill Sans">
    <w:altName w:val="Arial"/>
    <w:charset w:val="B1"/>
    <w:family w:val="swiss"/>
    <w:pitch w:val="variable"/>
    <w:sig w:usb0="80000A67" w:usb1="00000000" w:usb2="00000000" w:usb3="00000000" w:csb0="000001F7" w:csb1="00000000"/>
  </w:font>
  <w:font w:name="Segoe Pro">
    <w:charset w:val="00"/>
    <w:family w:val="swiss"/>
    <w:pitch w:val="variable"/>
    <w:sig w:usb0="A00002AF"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31DE" w14:textId="77777777" w:rsidR="000F7AA1" w:rsidRDefault="000F7AA1" w:rsidP="00B94039">
    <w:pPr>
      <w:pStyle w:val="Footer"/>
    </w:pPr>
    <w:r w:rsidRPr="00B53341">
      <w:fldChar w:fldCharType="begin"/>
    </w:r>
    <w:r w:rsidRPr="00B53341">
      <w:instrText xml:space="preserve"> PAGE   \* MERGEFORMAT </w:instrText>
    </w:r>
    <w:r w:rsidRPr="00B53341">
      <w:fldChar w:fldCharType="separate"/>
    </w:r>
    <w:r w:rsidRPr="00B53341">
      <w:t>2</w:t>
    </w:r>
    <w:r w:rsidRPr="00B53341">
      <w:rPr>
        <w:noProof/>
      </w:rPr>
      <w:fldChar w:fldCharType="end"/>
    </w:r>
    <w:r w:rsidRPr="00B53341">
      <w:tab/>
    </w:r>
    <w:r>
      <w:rPr>
        <w:noProof/>
      </w:rPr>
      <w:drawing>
        <wp:inline distT="0" distB="0" distL="0" distR="0" wp14:anchorId="40845084" wp14:editId="5F026B2B">
          <wp:extent cx="2578608" cy="109728"/>
          <wp:effectExtent l="0" t="0" r="0" b="5080"/>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78608" cy="10972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0C54" w14:textId="77777777" w:rsidR="000F7AA1" w:rsidRPr="00B53341" w:rsidRDefault="00B94039" w:rsidP="00B94039">
    <w:pPr>
      <w:pStyle w:val="Footer"/>
    </w:pPr>
    <w:r>
      <w:rPr>
        <w:noProof/>
      </w:rPr>
      <w:drawing>
        <wp:inline distT="0" distB="0" distL="0" distR="0" wp14:anchorId="7D506933" wp14:editId="10E0D353">
          <wp:extent cx="2578608" cy="109728"/>
          <wp:effectExtent l="0" t="0" r="0" b="5080"/>
          <wp:docPr id="19"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78608" cy="109728"/>
                  </a:xfrm>
                  <a:prstGeom prst="rect">
                    <a:avLst/>
                  </a:prstGeom>
                </pic:spPr>
              </pic:pic>
            </a:graphicData>
          </a:graphic>
        </wp:inline>
      </w:drawing>
    </w:r>
    <w:r w:rsidR="007561CD">
      <w:tab/>
    </w:r>
    <w:r w:rsidR="007561CD">
      <w:tab/>
    </w:r>
    <w:r w:rsidR="007561CD">
      <w:tab/>
    </w:r>
    <w:r w:rsidR="007561CD">
      <w:tab/>
    </w:r>
    <w:r w:rsidR="007561CD">
      <w:tab/>
    </w:r>
    <w:r w:rsidR="007561CD">
      <w:tab/>
    </w:r>
    <w:sdt>
      <w:sdtPr>
        <w:id w:val="108071724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9ECCF" w14:textId="77777777" w:rsidR="000F7AA1" w:rsidRPr="00B94039" w:rsidRDefault="000F7AA1" w:rsidP="00B94039">
    <w:pPr>
      <w:pStyle w:val="Footer"/>
    </w:pPr>
    <w:r w:rsidRPr="00B94039">
      <w:t>Urban Institute</w:t>
    </w:r>
    <w:r w:rsidRPr="00B94039">
      <w:tab/>
    </w:r>
    <w:r w:rsidRPr="00B94039">
      <w:rPr>
        <w:noProof/>
      </w:rPr>
      <w:drawing>
        <wp:inline distT="0" distB="0" distL="0" distR="0" wp14:anchorId="57EC4498" wp14:editId="50026AA2">
          <wp:extent cx="123825" cy="112675"/>
          <wp:effectExtent l="0" t="0" r="0" b="1905"/>
          <wp:docPr id="14"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extLst>
                      <a:ext uri="{C183D7F6-B498-43B3-948B-1728B52AA6E4}">
                        <adec:decorative xmlns:adec="http://schemas.microsoft.com/office/drawing/2017/decorative" val="1"/>
                      </a:ext>
                    </a:extLst>
                  </pic:cNvPr>
                  <pic:cNvPicPr/>
                </pic:nvPicPr>
                <pic:blipFill rotWithShape="1">
                  <a:blip r:embed="rId1"/>
                  <a:srcRect l="-2" t="1" b="17670"/>
                  <a:stretch/>
                </pic:blipFill>
                <pic:spPr bwMode="auto">
                  <a:xfrm>
                    <a:off x="0" y="0"/>
                    <a:ext cx="124097" cy="112923"/>
                  </a:xfrm>
                  <a:prstGeom prst="rect">
                    <a:avLst/>
                  </a:prstGeom>
                  <a:ln>
                    <a:noFill/>
                  </a:ln>
                  <a:extLst>
                    <a:ext uri="{53640926-AAD7-44D8-BBD7-CCE9431645EC}">
                      <a14:shadowObscured xmlns:a14="http://schemas.microsoft.com/office/drawing/2010/main"/>
                    </a:ext>
                  </a:extLst>
                </pic:spPr>
              </pic:pic>
            </a:graphicData>
          </a:graphic>
        </wp:inline>
      </w:drawing>
    </w:r>
    <w:r w:rsidRPr="00B94039">
      <w:tab/>
      <w:t>500 L’Enfant Plaza SW</w:t>
    </w:r>
    <w:r w:rsidRPr="00B94039">
      <w:tab/>
    </w:r>
    <w:r w:rsidRPr="00B94039">
      <w:rPr>
        <w:noProof/>
      </w:rPr>
      <w:drawing>
        <wp:inline distT="0" distB="0" distL="0" distR="0" wp14:anchorId="770E6A6A" wp14:editId="2A4BF4D2">
          <wp:extent cx="123825" cy="112675"/>
          <wp:effectExtent l="0" t="0" r="0" b="1905"/>
          <wp:docPr id="15"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a:extLst>
                      <a:ext uri="{C183D7F6-B498-43B3-948B-1728B52AA6E4}">
                        <adec:decorative xmlns:adec="http://schemas.microsoft.com/office/drawing/2017/decorative" val="1"/>
                      </a:ext>
                    </a:extLst>
                  </pic:cNvPr>
                  <pic:cNvPicPr/>
                </pic:nvPicPr>
                <pic:blipFill rotWithShape="1">
                  <a:blip r:embed="rId1"/>
                  <a:srcRect l="-2" t="1" b="17670"/>
                  <a:stretch/>
                </pic:blipFill>
                <pic:spPr bwMode="auto">
                  <a:xfrm>
                    <a:off x="0" y="0"/>
                    <a:ext cx="124097" cy="112923"/>
                  </a:xfrm>
                  <a:prstGeom prst="rect">
                    <a:avLst/>
                  </a:prstGeom>
                  <a:ln>
                    <a:noFill/>
                  </a:ln>
                  <a:extLst>
                    <a:ext uri="{53640926-AAD7-44D8-BBD7-CCE9431645EC}">
                      <a14:shadowObscured xmlns:a14="http://schemas.microsoft.com/office/drawing/2010/main"/>
                    </a:ext>
                  </a:extLst>
                </pic:spPr>
              </pic:pic>
            </a:graphicData>
          </a:graphic>
        </wp:inline>
      </w:drawing>
    </w:r>
    <w:r w:rsidRPr="00B94039">
      <w:tab/>
      <w:t>Washington, DC 20024</w:t>
    </w:r>
    <w:r w:rsidRPr="00B94039">
      <w:tab/>
    </w:r>
    <w:r w:rsidRPr="00B94039">
      <w:rPr>
        <w:noProof/>
      </w:rPr>
      <w:drawing>
        <wp:inline distT="0" distB="0" distL="0" distR="0" wp14:anchorId="72D3CB24" wp14:editId="5F63CC98">
          <wp:extent cx="123825" cy="112675"/>
          <wp:effectExtent l="0" t="0" r="0" b="1905"/>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a:extLst>
                      <a:ext uri="{C183D7F6-B498-43B3-948B-1728B52AA6E4}">
                        <adec:decorative xmlns:adec="http://schemas.microsoft.com/office/drawing/2017/decorative" val="1"/>
                      </a:ext>
                    </a:extLst>
                  </pic:cNvPr>
                  <pic:cNvPicPr/>
                </pic:nvPicPr>
                <pic:blipFill rotWithShape="1">
                  <a:blip r:embed="rId1"/>
                  <a:srcRect l="-2" t="1" b="17670"/>
                  <a:stretch/>
                </pic:blipFill>
                <pic:spPr bwMode="auto">
                  <a:xfrm>
                    <a:off x="0" y="0"/>
                    <a:ext cx="124097" cy="112923"/>
                  </a:xfrm>
                  <a:prstGeom prst="rect">
                    <a:avLst/>
                  </a:prstGeom>
                  <a:ln>
                    <a:noFill/>
                  </a:ln>
                  <a:extLst>
                    <a:ext uri="{53640926-AAD7-44D8-BBD7-CCE9431645EC}">
                      <a14:shadowObscured xmlns:a14="http://schemas.microsoft.com/office/drawing/2010/main"/>
                    </a:ext>
                  </a:extLst>
                </pic:spPr>
              </pic:pic>
            </a:graphicData>
          </a:graphic>
        </wp:inline>
      </w:drawing>
    </w:r>
    <w:r w:rsidRPr="00B94039">
      <w:tab/>
      <w:t>202.833.7200</w:t>
    </w:r>
    <w:r w:rsidRPr="00B94039">
      <w:tab/>
    </w:r>
    <w:r w:rsidRPr="00B94039">
      <w:rPr>
        <w:noProof/>
      </w:rPr>
      <w:drawing>
        <wp:inline distT="0" distB="0" distL="0" distR="0" wp14:anchorId="22C8D41E" wp14:editId="65AE695F">
          <wp:extent cx="123825" cy="112675"/>
          <wp:effectExtent l="0" t="0" r="0" b="1905"/>
          <wp:docPr id="17"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extLst>
                      <a:ext uri="{C183D7F6-B498-43B3-948B-1728B52AA6E4}">
                        <adec:decorative xmlns:adec="http://schemas.microsoft.com/office/drawing/2017/decorative" val="1"/>
                      </a:ext>
                    </a:extLst>
                  </pic:cNvPr>
                  <pic:cNvPicPr/>
                </pic:nvPicPr>
                <pic:blipFill rotWithShape="1">
                  <a:blip r:embed="rId1"/>
                  <a:srcRect l="-2" t="1" b="17670"/>
                  <a:stretch/>
                </pic:blipFill>
                <pic:spPr bwMode="auto">
                  <a:xfrm>
                    <a:off x="0" y="0"/>
                    <a:ext cx="124097" cy="112923"/>
                  </a:xfrm>
                  <a:prstGeom prst="rect">
                    <a:avLst/>
                  </a:prstGeom>
                  <a:ln>
                    <a:noFill/>
                  </a:ln>
                  <a:extLst>
                    <a:ext uri="{53640926-AAD7-44D8-BBD7-CCE9431645EC}">
                      <a14:shadowObscured xmlns:a14="http://schemas.microsoft.com/office/drawing/2010/main"/>
                    </a:ext>
                  </a:extLst>
                </pic:spPr>
              </pic:pic>
            </a:graphicData>
          </a:graphic>
        </wp:inline>
      </w:drawing>
    </w:r>
    <w:r w:rsidRPr="00B94039">
      <w:tab/>
      <w:t>www.urban.org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0DD79" w14:textId="77777777" w:rsidR="00F33A55" w:rsidRDefault="00F33A55" w:rsidP="00791F8F">
      <w:pPr>
        <w:spacing w:after="0" w:line="240" w:lineRule="auto"/>
      </w:pPr>
      <w:r>
        <w:separator/>
      </w:r>
    </w:p>
  </w:footnote>
  <w:footnote w:type="continuationSeparator" w:id="0">
    <w:p w14:paraId="2C95EF82" w14:textId="77777777" w:rsidR="00F33A55" w:rsidRDefault="00F33A55" w:rsidP="00791F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6D0E1" w14:textId="77777777" w:rsidR="00C61A0C" w:rsidRDefault="00C61A0C" w:rsidP="000A7C6A">
    <w:pPr>
      <w:pStyle w:val="Header"/>
      <w:ind w:left="-461"/>
    </w:pPr>
    <w:r>
      <w:rPr>
        <w:noProof/>
      </w:rPr>
      <w:drawing>
        <wp:inline distT="0" distB="0" distL="0" distR="0" wp14:anchorId="01B21F49" wp14:editId="16748F6E">
          <wp:extent cx="1397591" cy="822960"/>
          <wp:effectExtent l="0" t="0" r="0" b="0"/>
          <wp:docPr id="302417084" name="Picture 3024170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rban_grid_blue_white.jpg"/>
                  <pic:cNvPicPr/>
                </pic:nvPicPr>
                <pic:blipFill rotWithShape="1">
                  <a:blip r:embed="rId1">
                    <a:extLst>
                      <a:ext uri="{28A0092B-C50C-407E-A947-70E740481C1C}">
                        <a14:useLocalDpi xmlns:a14="http://schemas.microsoft.com/office/drawing/2010/main" val="0"/>
                      </a:ext>
                    </a:extLst>
                  </a:blip>
                  <a:srcRect l="4368" t="-1" r="-1" b="5958"/>
                  <a:stretch/>
                </pic:blipFill>
                <pic:spPr bwMode="auto">
                  <a:xfrm>
                    <a:off x="0" y="0"/>
                    <a:ext cx="1397591" cy="82296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34F4"/>
    <w:multiLevelType w:val="multilevel"/>
    <w:tmpl w:val="BAF846D2"/>
    <w:lvl w:ilvl="0">
      <w:start w:val="1"/>
      <w:numFmt w:val="bullet"/>
      <w:pStyle w:val="BulletedList"/>
      <w:lvlText w:val=""/>
      <w:lvlJc w:val="left"/>
      <w:pPr>
        <w:ind w:left="720" w:hanging="360"/>
      </w:pPr>
      <w:rPr>
        <w:rFonts w:ascii="Wingdings" w:hAnsi="Wingdings" w:hint="default"/>
        <w:b w:val="0"/>
        <w:bCs w:val="0"/>
        <w:i w:val="0"/>
        <w:iCs w:val="0"/>
        <w:color w:val="0A4C6A"/>
        <w:position w:val="4"/>
        <w:sz w:val="12"/>
        <w:szCs w:val="10"/>
      </w:rPr>
    </w:lvl>
    <w:lvl w:ilvl="1">
      <w:start w:val="1"/>
      <w:numFmt w:val="bullet"/>
      <w:pStyle w:val="BulletedList2"/>
      <w:lvlText w:val="»"/>
      <w:lvlJc w:val="left"/>
      <w:pPr>
        <w:ind w:left="1080" w:hanging="360"/>
      </w:pPr>
      <w:rPr>
        <w:rFonts w:ascii="Segoe UI" w:hAnsi="Segoe UI" w:hint="default"/>
        <w:sz w:val="20"/>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o"/>
      <w:lvlJc w:val="left"/>
      <w:pPr>
        <w:ind w:left="2160" w:hanging="360"/>
      </w:pPr>
      <w:rPr>
        <w:rFonts w:ascii="Courier New" w:hAnsi="Courier New"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240" w:hanging="360"/>
      </w:pPr>
      <w:rPr>
        <w:rFonts w:ascii="Courier New" w:hAnsi="Courier New" w:hint="default"/>
      </w:rPr>
    </w:lvl>
    <w:lvl w:ilvl="8">
      <w:start w:val="1"/>
      <w:numFmt w:val="bullet"/>
      <w:lvlText w:val=""/>
      <w:lvlJc w:val="left"/>
      <w:pPr>
        <w:ind w:left="3600" w:hanging="360"/>
      </w:pPr>
      <w:rPr>
        <w:rFonts w:ascii="Wingdings" w:hAnsi="Wingdings" w:hint="default"/>
      </w:rPr>
    </w:lvl>
  </w:abstractNum>
  <w:abstractNum w:abstractNumId="1" w15:restartNumberingAfterBreak="0">
    <w:nsid w:val="12DE03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3F3C6D"/>
    <w:multiLevelType w:val="hybridMultilevel"/>
    <w:tmpl w:val="E22C6E9C"/>
    <w:lvl w:ilvl="0" w:tplc="562653D8">
      <w:start w:val="1"/>
      <w:numFmt w:val="bullet"/>
      <w:pStyle w:val="BoxBulletedList"/>
      <w:lvlText w:val=""/>
      <w:lvlJc w:val="left"/>
      <w:pPr>
        <w:ind w:left="576" w:hanging="360"/>
      </w:pPr>
      <w:rPr>
        <w:rFonts w:ascii="Wingdings" w:hAnsi="Wingdings" w:hint="default"/>
        <w:b w:val="0"/>
        <w:bCs w:val="0"/>
        <w:i w:val="0"/>
        <w:iCs w:val="0"/>
        <w:color w:val="0A4C6A"/>
        <w:position w:val="4"/>
        <w:sz w:val="12"/>
        <w:szCs w:val="1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252212"/>
    <w:multiLevelType w:val="hybridMultilevel"/>
    <w:tmpl w:val="98F0A47A"/>
    <w:lvl w:ilvl="0" w:tplc="B218AFA0">
      <w:start w:val="1"/>
      <w:numFmt w:val="bullet"/>
      <w:lvlText w:val="»"/>
      <w:lvlJc w:val="left"/>
      <w:pPr>
        <w:ind w:left="1800" w:hanging="360"/>
      </w:pPr>
      <w:rPr>
        <w:rFonts w:ascii="Lato Medium" w:hAnsi="Lato Medium" w:cs="Times New Roman" w:hint="default"/>
        <w:b w:val="0"/>
        <w:bCs w:val="0"/>
        <w:i w:val="0"/>
        <w:iCs w:val="0"/>
        <w:color w:val="000000" w:themeColor="text1"/>
        <w:position w:val="2"/>
        <w:sz w:val="22"/>
        <w:szCs w:val="22"/>
      </w:rPr>
    </w:lvl>
    <w:lvl w:ilvl="1" w:tplc="6F0EF45C">
      <w:start w:val="1"/>
      <w:numFmt w:val="bullet"/>
      <w:lvlText w:val="»"/>
      <w:lvlJc w:val="left"/>
      <w:pPr>
        <w:ind w:left="1440" w:hanging="360"/>
      </w:pPr>
      <w:rPr>
        <w:rFonts w:ascii="Lato Medium" w:hAnsi="Lato Medium" w:cs="Times New Roman" w:hint="default"/>
        <w:b w:val="0"/>
        <w:bCs w:val="0"/>
        <w:i w:val="0"/>
        <w:iCs w:val="0"/>
        <w:color w:val="FCB918"/>
        <w:position w:val="2"/>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485EF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15:restartNumberingAfterBreak="0">
    <w:nsid w:val="3C721DA8"/>
    <w:multiLevelType w:val="multilevel"/>
    <w:tmpl w:val="0294646E"/>
    <w:lvl w:ilvl="0">
      <w:start w:val="1"/>
      <w:numFmt w:val="decimal"/>
      <w:pStyle w:val="NumberedList"/>
      <w:lvlText w:val="%1."/>
      <w:lvlJc w:val="left"/>
      <w:pPr>
        <w:ind w:left="720" w:hanging="360"/>
      </w:pPr>
      <w:rPr>
        <w:rFonts w:ascii="Lato" w:hAnsi="Lato" w:hint="default"/>
        <w:b w:val="0"/>
        <w:bCs w:val="0"/>
        <w:i w:val="0"/>
        <w:iCs w:val="0"/>
        <w:color w:val="auto"/>
        <w:sz w:val="20"/>
        <w:szCs w:val="20"/>
      </w:rPr>
    </w:lvl>
    <w:lvl w:ilvl="1">
      <w:start w:val="1"/>
      <w:numFmt w:val="bullet"/>
      <w:lvlText w:val="»"/>
      <w:lvlJc w:val="left"/>
      <w:pPr>
        <w:ind w:left="1080" w:hanging="360"/>
      </w:pPr>
      <w:rPr>
        <w:rFonts w:ascii="Segoe UI" w:hAnsi="Segoe UI" w:hint="default"/>
        <w:sz w:val="20"/>
      </w:rPr>
    </w:lvl>
    <w:lvl w:ilvl="2">
      <w:start w:val="1"/>
      <w:numFmt w:val="lowerRoman"/>
      <w:lvlText w:val="%3."/>
      <w:lvlJc w:val="righ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righ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right"/>
      <w:pPr>
        <w:ind w:left="3600" w:hanging="360"/>
      </w:pPr>
      <w:rPr>
        <w:rFonts w:hint="default"/>
      </w:rPr>
    </w:lvl>
  </w:abstractNum>
  <w:abstractNum w:abstractNumId="6" w15:restartNumberingAfterBreak="0">
    <w:nsid w:val="53EB1E91"/>
    <w:multiLevelType w:val="hybridMultilevel"/>
    <w:tmpl w:val="556A40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AD030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97844646">
    <w:abstractNumId w:val="0"/>
  </w:num>
  <w:num w:numId="2" w16cid:durableId="1068116290">
    <w:abstractNumId w:val="3"/>
  </w:num>
  <w:num w:numId="3" w16cid:durableId="988438669">
    <w:abstractNumId w:val="5"/>
  </w:num>
  <w:num w:numId="4" w16cid:durableId="19855450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47198326">
    <w:abstractNumId w:val="2"/>
  </w:num>
  <w:num w:numId="6" w16cid:durableId="323247116">
    <w:abstractNumId w:val="1"/>
  </w:num>
  <w:num w:numId="7" w16cid:durableId="1486823843">
    <w:abstractNumId w:val="7"/>
  </w:num>
  <w:num w:numId="8" w16cid:durableId="1765420776">
    <w:abstractNumId w:val="4"/>
  </w:num>
  <w:num w:numId="9" w16cid:durableId="160792703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Hannah">
    <w15:presenceInfo w15:providerId="AD" w15:userId="S::HMartin@urban.org::29d27ac9-2bb3-4cea-99bd-128f8d6fd8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styleLockTheme/>
  <w:defaultTabStop w:val="720"/>
  <w:characterSpacingControl w:val="doNotCompress"/>
  <w:hdrShapeDefaults>
    <o:shapedefaults v:ext="edit" spidmax="2050"/>
  </w:hdrShapeDefaults>
  <w:footnotePr>
    <w:footnote w:id="-1"/>
    <w:footnote w:id="0"/>
  </w:footnotePr>
  <w:endnotePr>
    <w:pos w:val="sectEnd"/>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B5D"/>
    <w:rsid w:val="000027D3"/>
    <w:rsid w:val="00016084"/>
    <w:rsid w:val="00027347"/>
    <w:rsid w:val="00062DE8"/>
    <w:rsid w:val="000655C9"/>
    <w:rsid w:val="00070C9A"/>
    <w:rsid w:val="000768CB"/>
    <w:rsid w:val="00081587"/>
    <w:rsid w:val="000900B4"/>
    <w:rsid w:val="00096445"/>
    <w:rsid w:val="000A1684"/>
    <w:rsid w:val="000A4023"/>
    <w:rsid w:val="000A7C6A"/>
    <w:rsid w:val="000B3107"/>
    <w:rsid w:val="000C1745"/>
    <w:rsid w:val="000C4863"/>
    <w:rsid w:val="000C7E96"/>
    <w:rsid w:val="000E5CD3"/>
    <w:rsid w:val="000F7AA1"/>
    <w:rsid w:val="00121EF8"/>
    <w:rsid w:val="00122C43"/>
    <w:rsid w:val="00127201"/>
    <w:rsid w:val="00157ABE"/>
    <w:rsid w:val="0016430E"/>
    <w:rsid w:val="00183927"/>
    <w:rsid w:val="001870F0"/>
    <w:rsid w:val="001B01C1"/>
    <w:rsid w:val="001B117A"/>
    <w:rsid w:val="001B7947"/>
    <w:rsid w:val="001C5FD4"/>
    <w:rsid w:val="001C7C67"/>
    <w:rsid w:val="001D56E9"/>
    <w:rsid w:val="001D6E32"/>
    <w:rsid w:val="001E03FB"/>
    <w:rsid w:val="001F292B"/>
    <w:rsid w:val="001F463D"/>
    <w:rsid w:val="001F6F8E"/>
    <w:rsid w:val="00200714"/>
    <w:rsid w:val="00201860"/>
    <w:rsid w:val="002038F1"/>
    <w:rsid w:val="00223042"/>
    <w:rsid w:val="002245AD"/>
    <w:rsid w:val="00227EE9"/>
    <w:rsid w:val="002304A1"/>
    <w:rsid w:val="00254830"/>
    <w:rsid w:val="002701DB"/>
    <w:rsid w:val="0027126A"/>
    <w:rsid w:val="00274995"/>
    <w:rsid w:val="002A00FD"/>
    <w:rsid w:val="002A6E26"/>
    <w:rsid w:val="002A7379"/>
    <w:rsid w:val="002D7D7D"/>
    <w:rsid w:val="002E0D5A"/>
    <w:rsid w:val="002E7F75"/>
    <w:rsid w:val="002F0FB2"/>
    <w:rsid w:val="002F5BAC"/>
    <w:rsid w:val="00315C6A"/>
    <w:rsid w:val="003165FB"/>
    <w:rsid w:val="0032118E"/>
    <w:rsid w:val="003218F4"/>
    <w:rsid w:val="00333B29"/>
    <w:rsid w:val="00347675"/>
    <w:rsid w:val="0035062B"/>
    <w:rsid w:val="0035096F"/>
    <w:rsid w:val="003606D7"/>
    <w:rsid w:val="00367CE8"/>
    <w:rsid w:val="00374CE9"/>
    <w:rsid w:val="003920D6"/>
    <w:rsid w:val="003A2EC0"/>
    <w:rsid w:val="003A59FD"/>
    <w:rsid w:val="003E15A1"/>
    <w:rsid w:val="003E1ECD"/>
    <w:rsid w:val="003E390C"/>
    <w:rsid w:val="003E7819"/>
    <w:rsid w:val="003F256F"/>
    <w:rsid w:val="003F66C8"/>
    <w:rsid w:val="00405BAD"/>
    <w:rsid w:val="00422013"/>
    <w:rsid w:val="00431C3D"/>
    <w:rsid w:val="004516CF"/>
    <w:rsid w:val="0045504B"/>
    <w:rsid w:val="00457E4A"/>
    <w:rsid w:val="0046397E"/>
    <w:rsid w:val="004649F2"/>
    <w:rsid w:val="004657AD"/>
    <w:rsid w:val="00491BEE"/>
    <w:rsid w:val="004A5A2B"/>
    <w:rsid w:val="004B5D2B"/>
    <w:rsid w:val="004C223E"/>
    <w:rsid w:val="004C7B39"/>
    <w:rsid w:val="004C7B78"/>
    <w:rsid w:val="004D05FC"/>
    <w:rsid w:val="004D1D0F"/>
    <w:rsid w:val="004D5173"/>
    <w:rsid w:val="004F29CC"/>
    <w:rsid w:val="004F3F79"/>
    <w:rsid w:val="004F513F"/>
    <w:rsid w:val="00513362"/>
    <w:rsid w:val="0051374D"/>
    <w:rsid w:val="00526343"/>
    <w:rsid w:val="00533925"/>
    <w:rsid w:val="005363E9"/>
    <w:rsid w:val="005455FD"/>
    <w:rsid w:val="00547D1D"/>
    <w:rsid w:val="00564B4D"/>
    <w:rsid w:val="0058335D"/>
    <w:rsid w:val="0059778E"/>
    <w:rsid w:val="005B2C23"/>
    <w:rsid w:val="005B72B0"/>
    <w:rsid w:val="005C107B"/>
    <w:rsid w:val="005C1479"/>
    <w:rsid w:val="005C29CA"/>
    <w:rsid w:val="005C7A40"/>
    <w:rsid w:val="005D13CB"/>
    <w:rsid w:val="005E621B"/>
    <w:rsid w:val="005F60DA"/>
    <w:rsid w:val="005F6CAB"/>
    <w:rsid w:val="005F7D7E"/>
    <w:rsid w:val="00606384"/>
    <w:rsid w:val="0061598A"/>
    <w:rsid w:val="006205BA"/>
    <w:rsid w:val="00622C4C"/>
    <w:rsid w:val="006261AE"/>
    <w:rsid w:val="006347AB"/>
    <w:rsid w:val="006368B9"/>
    <w:rsid w:val="006436F5"/>
    <w:rsid w:val="00646FED"/>
    <w:rsid w:val="00647B21"/>
    <w:rsid w:val="006623D6"/>
    <w:rsid w:val="0066612E"/>
    <w:rsid w:val="006661AE"/>
    <w:rsid w:val="00672D80"/>
    <w:rsid w:val="006748EC"/>
    <w:rsid w:val="00682F3B"/>
    <w:rsid w:val="00684A2C"/>
    <w:rsid w:val="00686C71"/>
    <w:rsid w:val="00690D6D"/>
    <w:rsid w:val="006B12B6"/>
    <w:rsid w:val="006B21E5"/>
    <w:rsid w:val="006C373B"/>
    <w:rsid w:val="006D1F84"/>
    <w:rsid w:val="006D5B85"/>
    <w:rsid w:val="006F458C"/>
    <w:rsid w:val="00701B15"/>
    <w:rsid w:val="00711C29"/>
    <w:rsid w:val="007218EE"/>
    <w:rsid w:val="00725019"/>
    <w:rsid w:val="00725B45"/>
    <w:rsid w:val="00743859"/>
    <w:rsid w:val="00745D59"/>
    <w:rsid w:val="007561CD"/>
    <w:rsid w:val="00776545"/>
    <w:rsid w:val="00780F97"/>
    <w:rsid w:val="00791F8F"/>
    <w:rsid w:val="007959F4"/>
    <w:rsid w:val="007960EC"/>
    <w:rsid w:val="007B42E2"/>
    <w:rsid w:val="007B6D05"/>
    <w:rsid w:val="007C035A"/>
    <w:rsid w:val="007D01E8"/>
    <w:rsid w:val="007D2C21"/>
    <w:rsid w:val="00807819"/>
    <w:rsid w:val="00807AFD"/>
    <w:rsid w:val="00813DB9"/>
    <w:rsid w:val="0083296D"/>
    <w:rsid w:val="008335F6"/>
    <w:rsid w:val="008364BE"/>
    <w:rsid w:val="00837302"/>
    <w:rsid w:val="00843383"/>
    <w:rsid w:val="00851771"/>
    <w:rsid w:val="00852744"/>
    <w:rsid w:val="00860429"/>
    <w:rsid w:val="008630A4"/>
    <w:rsid w:val="00864C3E"/>
    <w:rsid w:val="00876636"/>
    <w:rsid w:val="008800E1"/>
    <w:rsid w:val="00883B69"/>
    <w:rsid w:val="00896207"/>
    <w:rsid w:val="008B17BA"/>
    <w:rsid w:val="008E3C6B"/>
    <w:rsid w:val="008E3EBF"/>
    <w:rsid w:val="00910BF5"/>
    <w:rsid w:val="009217A5"/>
    <w:rsid w:val="009230B7"/>
    <w:rsid w:val="00937EE6"/>
    <w:rsid w:val="009507AE"/>
    <w:rsid w:val="00953480"/>
    <w:rsid w:val="00953649"/>
    <w:rsid w:val="00971991"/>
    <w:rsid w:val="0098149C"/>
    <w:rsid w:val="00982C7F"/>
    <w:rsid w:val="00983354"/>
    <w:rsid w:val="009846B5"/>
    <w:rsid w:val="00994A96"/>
    <w:rsid w:val="009C1425"/>
    <w:rsid w:val="009D148B"/>
    <w:rsid w:val="009D5836"/>
    <w:rsid w:val="009E2854"/>
    <w:rsid w:val="009E3B02"/>
    <w:rsid w:val="009F0A3A"/>
    <w:rsid w:val="009F4F45"/>
    <w:rsid w:val="00A006C3"/>
    <w:rsid w:val="00A03EDD"/>
    <w:rsid w:val="00A40860"/>
    <w:rsid w:val="00A52B4D"/>
    <w:rsid w:val="00A64046"/>
    <w:rsid w:val="00A65720"/>
    <w:rsid w:val="00A667F0"/>
    <w:rsid w:val="00A76DC1"/>
    <w:rsid w:val="00A81055"/>
    <w:rsid w:val="00A83C0A"/>
    <w:rsid w:val="00A86481"/>
    <w:rsid w:val="00A87340"/>
    <w:rsid w:val="00A913F2"/>
    <w:rsid w:val="00A93C31"/>
    <w:rsid w:val="00A93E74"/>
    <w:rsid w:val="00A94B8C"/>
    <w:rsid w:val="00AA77D0"/>
    <w:rsid w:val="00AC3B95"/>
    <w:rsid w:val="00AD2BE6"/>
    <w:rsid w:val="00AD3A51"/>
    <w:rsid w:val="00AD5EE8"/>
    <w:rsid w:val="00AE10B4"/>
    <w:rsid w:val="00AE25E1"/>
    <w:rsid w:val="00AE275A"/>
    <w:rsid w:val="00AE3563"/>
    <w:rsid w:val="00B14C15"/>
    <w:rsid w:val="00B246FC"/>
    <w:rsid w:val="00B258B5"/>
    <w:rsid w:val="00B30E5D"/>
    <w:rsid w:val="00B51D5F"/>
    <w:rsid w:val="00B53341"/>
    <w:rsid w:val="00B57EB6"/>
    <w:rsid w:val="00B66BA2"/>
    <w:rsid w:val="00B77B56"/>
    <w:rsid w:val="00B80930"/>
    <w:rsid w:val="00B94039"/>
    <w:rsid w:val="00BA2071"/>
    <w:rsid w:val="00BA3396"/>
    <w:rsid w:val="00BB560C"/>
    <w:rsid w:val="00BC530D"/>
    <w:rsid w:val="00BE528A"/>
    <w:rsid w:val="00BE673D"/>
    <w:rsid w:val="00BF2972"/>
    <w:rsid w:val="00BF6ECB"/>
    <w:rsid w:val="00BF7441"/>
    <w:rsid w:val="00C00624"/>
    <w:rsid w:val="00C0526F"/>
    <w:rsid w:val="00C06289"/>
    <w:rsid w:val="00C14747"/>
    <w:rsid w:val="00C160E3"/>
    <w:rsid w:val="00C225AA"/>
    <w:rsid w:val="00C31238"/>
    <w:rsid w:val="00C31B47"/>
    <w:rsid w:val="00C42B5D"/>
    <w:rsid w:val="00C44DE7"/>
    <w:rsid w:val="00C61A0C"/>
    <w:rsid w:val="00C65E35"/>
    <w:rsid w:val="00C815DB"/>
    <w:rsid w:val="00CA487B"/>
    <w:rsid w:val="00CD2B21"/>
    <w:rsid w:val="00CD4478"/>
    <w:rsid w:val="00CD4EFA"/>
    <w:rsid w:val="00CE2F5D"/>
    <w:rsid w:val="00CE7425"/>
    <w:rsid w:val="00CE7CBE"/>
    <w:rsid w:val="00D21AE5"/>
    <w:rsid w:val="00D244AD"/>
    <w:rsid w:val="00D27FA3"/>
    <w:rsid w:val="00D30772"/>
    <w:rsid w:val="00D31FA8"/>
    <w:rsid w:val="00D347C1"/>
    <w:rsid w:val="00D4043F"/>
    <w:rsid w:val="00D41BD6"/>
    <w:rsid w:val="00D424C9"/>
    <w:rsid w:val="00D425B2"/>
    <w:rsid w:val="00D519D3"/>
    <w:rsid w:val="00D55365"/>
    <w:rsid w:val="00D714B5"/>
    <w:rsid w:val="00D72DD5"/>
    <w:rsid w:val="00D765A0"/>
    <w:rsid w:val="00D852B1"/>
    <w:rsid w:val="00DA0E6E"/>
    <w:rsid w:val="00DA25CE"/>
    <w:rsid w:val="00DA2616"/>
    <w:rsid w:val="00DA4A9D"/>
    <w:rsid w:val="00DA61F6"/>
    <w:rsid w:val="00DB3BA3"/>
    <w:rsid w:val="00DD01A3"/>
    <w:rsid w:val="00DE14DF"/>
    <w:rsid w:val="00DE513F"/>
    <w:rsid w:val="00DF7D79"/>
    <w:rsid w:val="00E103FB"/>
    <w:rsid w:val="00E16A6D"/>
    <w:rsid w:val="00E531C9"/>
    <w:rsid w:val="00E61E68"/>
    <w:rsid w:val="00E81C8A"/>
    <w:rsid w:val="00E84339"/>
    <w:rsid w:val="00EB13FE"/>
    <w:rsid w:val="00EC304F"/>
    <w:rsid w:val="00EE3B19"/>
    <w:rsid w:val="00EF23F6"/>
    <w:rsid w:val="00F17691"/>
    <w:rsid w:val="00F24124"/>
    <w:rsid w:val="00F31D16"/>
    <w:rsid w:val="00F33A55"/>
    <w:rsid w:val="00F34093"/>
    <w:rsid w:val="00F36D44"/>
    <w:rsid w:val="00F541E2"/>
    <w:rsid w:val="00F66CAA"/>
    <w:rsid w:val="00F6745B"/>
    <w:rsid w:val="00F710B4"/>
    <w:rsid w:val="00F81575"/>
    <w:rsid w:val="00F81945"/>
    <w:rsid w:val="00F87ED0"/>
    <w:rsid w:val="00F92455"/>
    <w:rsid w:val="00F95159"/>
    <w:rsid w:val="00FA158D"/>
    <w:rsid w:val="00FA7CAD"/>
    <w:rsid w:val="00FB0049"/>
    <w:rsid w:val="00FB2459"/>
    <w:rsid w:val="00FB39EE"/>
    <w:rsid w:val="00FE43C6"/>
    <w:rsid w:val="00FF6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A67D"/>
  <w15:chartTrackingRefBased/>
  <w15:docId w15:val="{52BCCC8D-5531-4268-A4FD-E1E67AEA8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Theme="minorHAnsi" w:hAnsi="Lato" w:cstheme="minorBidi"/>
        <w:lang w:val="en-US" w:eastAsia="en-US" w:bidi="ar-SA"/>
      </w:rPr>
    </w:rPrDefault>
    <w:pPrDefault>
      <w:pPr>
        <w:spacing w:after="120"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DA2616"/>
  </w:style>
  <w:style w:type="paragraph" w:styleId="Heading1">
    <w:name w:val="heading 1"/>
    <w:basedOn w:val="Normal"/>
    <w:next w:val="BodyText"/>
    <w:link w:val="Heading1Char"/>
    <w:qFormat/>
    <w:rsid w:val="00F87ED0"/>
    <w:pPr>
      <w:keepNext/>
      <w:keepLines/>
      <w:spacing w:before="280" w:line="400" w:lineRule="exact"/>
      <w:contextualSpacing/>
      <w:outlineLvl w:val="0"/>
    </w:pPr>
    <w:rPr>
      <w:rFonts w:asciiTheme="majorHAnsi" w:eastAsiaTheme="majorEastAsia" w:hAnsiTheme="majorHAnsi" w:cstheme="majorBidi"/>
      <w:spacing w:val="-2"/>
      <w:sz w:val="28"/>
      <w:szCs w:val="32"/>
    </w:rPr>
  </w:style>
  <w:style w:type="paragraph" w:styleId="Heading2">
    <w:name w:val="heading 2"/>
    <w:basedOn w:val="Normal"/>
    <w:next w:val="BodyText"/>
    <w:link w:val="Heading2Char"/>
    <w:qFormat/>
    <w:rsid w:val="001F292B"/>
    <w:pPr>
      <w:keepNext/>
      <w:keepLines/>
      <w:spacing w:before="180" w:after="6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DA2616"/>
    <w:pPr>
      <w:keepNext/>
      <w:keepLines/>
      <w:spacing w:before="120" w:after="0"/>
      <w:outlineLvl w:val="2"/>
    </w:pPr>
    <w:rPr>
      <w:rFonts w:eastAsiaTheme="majorEastAsia" w:cstheme="majorBidi"/>
      <w:b/>
      <w:i/>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1F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8F"/>
    <w:rPr>
      <w:rFonts w:ascii="Lato" w:hAnsi="Lato"/>
      <w:sz w:val="20"/>
    </w:rPr>
  </w:style>
  <w:style w:type="paragraph" w:styleId="Footer">
    <w:name w:val="footer"/>
    <w:basedOn w:val="Normal"/>
    <w:link w:val="FooterChar"/>
    <w:uiPriority w:val="99"/>
    <w:unhideWhenUsed/>
    <w:rsid w:val="00B94039"/>
    <w:pPr>
      <w:pBdr>
        <w:top w:val="single" w:sz="8" w:space="12" w:color="5C5859"/>
      </w:pBdr>
      <w:tabs>
        <w:tab w:val="center" w:pos="1584"/>
        <w:tab w:val="left" w:pos="1944"/>
        <w:tab w:val="center" w:pos="4075"/>
        <w:tab w:val="left" w:pos="4435"/>
        <w:tab w:val="center" w:pos="6660"/>
        <w:tab w:val="left" w:pos="7020"/>
        <w:tab w:val="center" w:pos="8496"/>
        <w:tab w:val="right" w:pos="10080"/>
      </w:tabs>
      <w:spacing w:after="0" w:line="240" w:lineRule="auto"/>
    </w:pPr>
    <w:rPr>
      <w:color w:val="404040" w:themeColor="text1" w:themeTint="BF"/>
      <w:sz w:val="18"/>
    </w:rPr>
  </w:style>
  <w:style w:type="character" w:customStyle="1" w:styleId="FooterChar">
    <w:name w:val="Footer Char"/>
    <w:basedOn w:val="DefaultParagraphFont"/>
    <w:link w:val="Footer"/>
    <w:uiPriority w:val="99"/>
    <w:rsid w:val="00B94039"/>
    <w:rPr>
      <w:color w:val="404040" w:themeColor="text1" w:themeTint="BF"/>
      <w:sz w:val="18"/>
    </w:rPr>
  </w:style>
  <w:style w:type="paragraph" w:customStyle="1" w:styleId="NonstandardBriefTitle">
    <w:name w:val="Nonstandard Brief Title"/>
    <w:basedOn w:val="Normal"/>
    <w:next w:val="NonstandardBriefSubtitle"/>
    <w:qFormat/>
    <w:rsid w:val="00F541E2"/>
    <w:pPr>
      <w:spacing w:before="240" w:after="0" w:line="240" w:lineRule="auto"/>
    </w:pPr>
    <w:rPr>
      <w:b/>
      <w:color w:val="0A4C6A" w:themeColor="text2"/>
      <w:sz w:val="52"/>
    </w:rPr>
  </w:style>
  <w:style w:type="paragraph" w:styleId="BodyText">
    <w:name w:val="Body Text"/>
    <w:basedOn w:val="Normal"/>
    <w:link w:val="BodyTextChar"/>
    <w:qFormat/>
    <w:rsid w:val="005C107B"/>
    <w:rPr>
      <w:color w:val="000000" w:themeColor="text1"/>
    </w:rPr>
  </w:style>
  <w:style w:type="character" w:customStyle="1" w:styleId="BodyTextChar">
    <w:name w:val="Body Text Char"/>
    <w:basedOn w:val="DefaultParagraphFont"/>
    <w:link w:val="BodyText"/>
    <w:rsid w:val="005C107B"/>
    <w:rPr>
      <w:color w:val="000000" w:themeColor="text1"/>
    </w:rPr>
  </w:style>
  <w:style w:type="paragraph" w:customStyle="1" w:styleId="BoxText">
    <w:name w:val="Box Text"/>
    <w:basedOn w:val="Normal"/>
    <w:uiPriority w:val="1"/>
    <w:qFormat/>
    <w:rsid w:val="009217A5"/>
    <w:pPr>
      <w:spacing w:before="120"/>
    </w:pPr>
    <w:rPr>
      <w:sz w:val="19"/>
    </w:rPr>
  </w:style>
  <w:style w:type="paragraph" w:customStyle="1" w:styleId="AuthorsByline">
    <w:name w:val="Authors Byline"/>
    <w:basedOn w:val="Normal"/>
    <w:rsid w:val="0035062B"/>
    <w:pPr>
      <w:spacing w:after="60" w:line="240" w:lineRule="auto"/>
    </w:pPr>
    <w:rPr>
      <w:sz w:val="21"/>
    </w:rPr>
  </w:style>
  <w:style w:type="paragraph" w:customStyle="1" w:styleId="NonstandardBriefSubtitle">
    <w:name w:val="Nonstandard Brief Subtitle"/>
    <w:basedOn w:val="Normal"/>
    <w:next w:val="AuthorsByline"/>
    <w:qFormat/>
    <w:rsid w:val="00F541E2"/>
    <w:pPr>
      <w:spacing w:line="240" w:lineRule="auto"/>
    </w:pPr>
    <w:rPr>
      <w:color w:val="000000" w:themeColor="text1"/>
      <w:sz w:val="36"/>
    </w:rPr>
  </w:style>
  <w:style w:type="paragraph" w:customStyle="1" w:styleId="FigurePlacer">
    <w:name w:val="Figure Placer"/>
    <w:basedOn w:val="Normal"/>
    <w:uiPriority w:val="1"/>
    <w:qFormat/>
    <w:rsid w:val="005F7D7E"/>
    <w:pPr>
      <w:keepNext/>
      <w:widowControl w:val="0"/>
      <w:spacing w:before="120" w:after="60" w:line="240" w:lineRule="auto"/>
      <w:jc w:val="right"/>
    </w:pPr>
    <w:rPr>
      <w:rFonts w:eastAsia="Calibri" w:cs="Times New Roman"/>
      <w:noProof/>
      <w:sz w:val="18"/>
      <w:szCs w:val="28"/>
    </w:rPr>
  </w:style>
  <w:style w:type="paragraph" w:customStyle="1" w:styleId="FigureTableTitle">
    <w:name w:val="Figure/Table Title"/>
    <w:basedOn w:val="Normal"/>
    <w:next w:val="FigureTableSubtitle"/>
    <w:uiPriority w:val="1"/>
    <w:qFormat/>
    <w:rsid w:val="00D519D3"/>
    <w:pPr>
      <w:keepNext/>
      <w:spacing w:after="0"/>
    </w:pPr>
    <w:rPr>
      <w:b/>
      <w:sz w:val="24"/>
    </w:rPr>
  </w:style>
  <w:style w:type="paragraph" w:customStyle="1" w:styleId="FigureTableNotes">
    <w:name w:val="Figure/Table Notes"/>
    <w:basedOn w:val="FigureTableTitle"/>
    <w:uiPriority w:val="1"/>
    <w:qFormat/>
    <w:rsid w:val="00D519D3"/>
    <w:pPr>
      <w:keepNext w:val="0"/>
      <w:spacing w:before="60" w:after="320" w:line="240" w:lineRule="exact"/>
      <w:contextualSpacing/>
    </w:pPr>
    <w:rPr>
      <w:rFonts w:eastAsia="Calibri" w:cs="Times New Roman"/>
      <w:b w:val="0"/>
      <w:iCs/>
      <w:sz w:val="16"/>
      <w:szCs w:val="18"/>
    </w:rPr>
  </w:style>
  <w:style w:type="paragraph" w:customStyle="1" w:styleId="FigureTableNumber">
    <w:name w:val="Figure/Table Number"/>
    <w:basedOn w:val="BodyText"/>
    <w:uiPriority w:val="1"/>
    <w:qFormat/>
    <w:rsid w:val="00A667F0"/>
    <w:pPr>
      <w:spacing w:before="240" w:after="0"/>
    </w:pPr>
    <w:rPr>
      <w:caps/>
      <w:color w:val="0A4C6A" w:themeColor="text2"/>
      <w:sz w:val="18"/>
    </w:rPr>
  </w:style>
  <w:style w:type="character" w:customStyle="1" w:styleId="Heading1Char">
    <w:name w:val="Heading 1 Char"/>
    <w:basedOn w:val="DefaultParagraphFont"/>
    <w:link w:val="Heading1"/>
    <w:rsid w:val="00F87ED0"/>
    <w:rPr>
      <w:rFonts w:asciiTheme="majorHAnsi" w:eastAsiaTheme="majorEastAsia" w:hAnsiTheme="majorHAnsi" w:cstheme="majorBidi"/>
      <w:spacing w:val="-2"/>
      <w:sz w:val="28"/>
      <w:szCs w:val="32"/>
    </w:rPr>
  </w:style>
  <w:style w:type="character" w:styleId="Hyperlink">
    <w:name w:val="Hyperlink"/>
    <w:basedOn w:val="DefaultParagraphFont"/>
    <w:uiPriority w:val="1"/>
    <w:unhideWhenUsed/>
    <w:rsid w:val="00843383"/>
    <w:rPr>
      <w:b w:val="0"/>
      <w:color w:val="0A4C6A" w:themeColor="text2"/>
      <w:u w:val="single"/>
    </w:rPr>
  </w:style>
  <w:style w:type="table" w:styleId="TableGrid">
    <w:name w:val="Table Grid"/>
    <w:basedOn w:val="TableNormal"/>
    <w:uiPriority w:val="59"/>
    <w:unhideWhenUsed/>
    <w:rsid w:val="00791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xTitle">
    <w:name w:val="Box Title"/>
    <w:basedOn w:val="BoxText"/>
    <w:next w:val="BoxText"/>
    <w:uiPriority w:val="1"/>
    <w:qFormat/>
    <w:rsid w:val="009217A5"/>
    <w:pPr>
      <w:spacing w:before="0"/>
    </w:pPr>
    <w:rPr>
      <w:b/>
      <w:caps/>
      <w:sz w:val="20"/>
    </w:rPr>
  </w:style>
  <w:style w:type="paragraph" w:styleId="BalloonText">
    <w:name w:val="Balloon Text"/>
    <w:basedOn w:val="Normal"/>
    <w:link w:val="BalloonTextChar"/>
    <w:uiPriority w:val="99"/>
    <w:semiHidden/>
    <w:unhideWhenUsed/>
    <w:rsid w:val="00791F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1F8F"/>
    <w:rPr>
      <w:rFonts w:ascii="Segoe UI" w:hAnsi="Segoe UI" w:cs="Segoe UI"/>
      <w:sz w:val="18"/>
      <w:szCs w:val="18"/>
    </w:rPr>
  </w:style>
  <w:style w:type="character" w:customStyle="1" w:styleId="Heading2Char">
    <w:name w:val="Heading 2 Char"/>
    <w:basedOn w:val="DefaultParagraphFont"/>
    <w:link w:val="Heading2"/>
    <w:rsid w:val="009D148B"/>
    <w:rPr>
      <w:rFonts w:eastAsiaTheme="majorEastAsia" w:cstheme="majorBidi"/>
      <w:b/>
      <w:sz w:val="24"/>
      <w:szCs w:val="26"/>
    </w:rPr>
  </w:style>
  <w:style w:type="paragraph" w:styleId="CommentText">
    <w:name w:val="annotation text"/>
    <w:basedOn w:val="Normal"/>
    <w:link w:val="CommentTextChar"/>
    <w:uiPriority w:val="99"/>
    <w:unhideWhenUsed/>
    <w:rsid w:val="001D6E32"/>
    <w:pPr>
      <w:spacing w:line="240" w:lineRule="auto"/>
    </w:pPr>
  </w:style>
  <w:style w:type="character" w:customStyle="1" w:styleId="CommentTextChar">
    <w:name w:val="Comment Text Char"/>
    <w:basedOn w:val="DefaultParagraphFont"/>
    <w:link w:val="CommentText"/>
    <w:uiPriority w:val="99"/>
    <w:rsid w:val="001D6E32"/>
    <w:rPr>
      <w:rFonts w:ascii="Lato" w:hAnsi="Lato"/>
      <w:sz w:val="20"/>
      <w:szCs w:val="20"/>
    </w:rPr>
  </w:style>
  <w:style w:type="paragraph" w:styleId="CommentSubject">
    <w:name w:val="annotation subject"/>
    <w:basedOn w:val="CommentText"/>
    <w:next w:val="CommentText"/>
    <w:link w:val="CommentSubjectChar"/>
    <w:uiPriority w:val="99"/>
    <w:semiHidden/>
    <w:rsid w:val="001D6E32"/>
    <w:rPr>
      <w:rFonts w:eastAsia="Calibri" w:cs="Times New Roman"/>
      <w:b/>
      <w:bCs/>
    </w:rPr>
  </w:style>
  <w:style w:type="character" w:customStyle="1" w:styleId="CommentSubjectChar">
    <w:name w:val="Comment Subject Char"/>
    <w:basedOn w:val="CommentTextChar"/>
    <w:link w:val="CommentSubject"/>
    <w:uiPriority w:val="99"/>
    <w:semiHidden/>
    <w:rsid w:val="001D6E32"/>
    <w:rPr>
      <w:rFonts w:ascii="Lato" w:eastAsia="Calibri" w:hAnsi="Lato" w:cs="Times New Roman"/>
      <w:b/>
      <w:bCs/>
      <w:sz w:val="20"/>
      <w:szCs w:val="20"/>
    </w:rPr>
  </w:style>
  <w:style w:type="paragraph" w:customStyle="1" w:styleId="FigureTableSubtitle">
    <w:name w:val="Figure/Table Subtitle"/>
    <w:basedOn w:val="FigureTableTitle"/>
    <w:uiPriority w:val="1"/>
    <w:qFormat/>
    <w:rsid w:val="00D519D3"/>
    <w:rPr>
      <w:rFonts w:eastAsia="Calibri" w:cs="Times New Roman"/>
      <w:b w:val="0"/>
      <w:i/>
      <w:sz w:val="20"/>
      <w:szCs w:val="28"/>
    </w:rPr>
  </w:style>
  <w:style w:type="character" w:styleId="CommentReference">
    <w:name w:val="annotation reference"/>
    <w:basedOn w:val="DefaultParagraphFont"/>
    <w:uiPriority w:val="99"/>
    <w:semiHidden/>
    <w:unhideWhenUsed/>
    <w:rsid w:val="001D6E32"/>
    <w:rPr>
      <w:sz w:val="16"/>
      <w:szCs w:val="16"/>
    </w:rPr>
  </w:style>
  <w:style w:type="paragraph" w:customStyle="1" w:styleId="Reference">
    <w:name w:val="Reference"/>
    <w:qFormat/>
    <w:rsid w:val="00864C3E"/>
    <w:pPr>
      <w:spacing w:after="60" w:line="240" w:lineRule="exact"/>
      <w:ind w:left="360" w:hanging="360"/>
    </w:pPr>
    <w:rPr>
      <w:sz w:val="18"/>
    </w:rPr>
  </w:style>
  <w:style w:type="character" w:styleId="Mention">
    <w:name w:val="Mention"/>
    <w:basedOn w:val="DefaultParagraphFont"/>
    <w:uiPriority w:val="99"/>
    <w:semiHidden/>
    <w:unhideWhenUsed/>
    <w:rsid w:val="00BA3396"/>
    <w:rPr>
      <w:color w:val="2B579A"/>
      <w:shd w:val="clear" w:color="auto" w:fill="E6E6E6"/>
    </w:rPr>
  </w:style>
  <w:style w:type="character" w:styleId="FollowedHyperlink">
    <w:name w:val="FollowedHyperlink"/>
    <w:basedOn w:val="DefaultParagraphFont"/>
    <w:uiPriority w:val="1"/>
    <w:unhideWhenUsed/>
    <w:rsid w:val="00843383"/>
    <w:rPr>
      <w:b w:val="0"/>
      <w:color w:val="0A4C6A" w:themeColor="text2"/>
      <w:u w:val="single"/>
    </w:rPr>
  </w:style>
  <w:style w:type="character" w:styleId="UnresolvedMention">
    <w:name w:val="Unresolved Mention"/>
    <w:basedOn w:val="DefaultParagraphFont"/>
    <w:uiPriority w:val="99"/>
    <w:semiHidden/>
    <w:unhideWhenUsed/>
    <w:rsid w:val="00422013"/>
    <w:rPr>
      <w:color w:val="605E5C"/>
      <w:shd w:val="clear" w:color="auto" w:fill="E1DFDD"/>
    </w:rPr>
  </w:style>
  <w:style w:type="paragraph" w:customStyle="1" w:styleId="BulletedList">
    <w:name w:val="Bulleted List"/>
    <w:basedOn w:val="BodyText"/>
    <w:qFormat/>
    <w:rsid w:val="000A7C6A"/>
    <w:pPr>
      <w:numPr>
        <w:numId w:val="1"/>
      </w:numPr>
      <w:spacing w:line="260" w:lineRule="exact"/>
    </w:pPr>
    <w:rPr>
      <w:rFonts w:eastAsia="Times New Roman" w:cs="Times New Roman"/>
      <w:bCs/>
    </w:rPr>
  </w:style>
  <w:style w:type="paragraph" w:customStyle="1" w:styleId="BulletedList2">
    <w:name w:val="Bulleted List 2"/>
    <w:basedOn w:val="Normal"/>
    <w:qFormat/>
    <w:rsid w:val="00BE528A"/>
    <w:pPr>
      <w:numPr>
        <w:ilvl w:val="1"/>
        <w:numId w:val="1"/>
      </w:numPr>
      <w:spacing w:line="260" w:lineRule="exact"/>
      <w:contextualSpacing/>
    </w:pPr>
    <w:rPr>
      <w:rFonts w:eastAsia="Calibri" w:cs="Times New Roman"/>
    </w:rPr>
  </w:style>
  <w:style w:type="paragraph" w:customStyle="1" w:styleId="NumberedList">
    <w:name w:val="Numbered List"/>
    <w:basedOn w:val="Normal"/>
    <w:qFormat/>
    <w:rsid w:val="002A6E26"/>
    <w:pPr>
      <w:numPr>
        <w:numId w:val="3"/>
      </w:numPr>
      <w:spacing w:line="260" w:lineRule="exact"/>
    </w:pPr>
    <w:rPr>
      <w:rFonts w:eastAsia="Calibri" w:cs="Times New Roman"/>
    </w:rPr>
  </w:style>
  <w:style w:type="paragraph" w:customStyle="1" w:styleId="TableColumnHeading">
    <w:name w:val="Table Column Heading"/>
    <w:basedOn w:val="Normal"/>
    <w:uiPriority w:val="1"/>
    <w:qFormat/>
    <w:rsid w:val="00983354"/>
    <w:pPr>
      <w:widowControl w:val="0"/>
      <w:spacing w:before="240" w:after="0" w:line="240" w:lineRule="auto"/>
      <w:jc w:val="center"/>
    </w:pPr>
    <w:rPr>
      <w:rFonts w:eastAsia="Times New Roman" w:cs="Times New Roman"/>
      <w:b/>
      <w:sz w:val="19"/>
      <w:szCs w:val="24"/>
    </w:rPr>
  </w:style>
  <w:style w:type="paragraph" w:customStyle="1" w:styleId="TableRow">
    <w:name w:val="Table Row"/>
    <w:basedOn w:val="TableColumnHeading"/>
    <w:uiPriority w:val="1"/>
    <w:qFormat/>
    <w:rsid w:val="00CD4EFA"/>
    <w:pPr>
      <w:spacing w:before="0"/>
      <w:jc w:val="left"/>
    </w:pPr>
    <w:rPr>
      <w:rFonts w:eastAsia="Calibri"/>
      <w:b w:val="0"/>
      <w:sz w:val="18"/>
    </w:rPr>
  </w:style>
  <w:style w:type="paragraph" w:customStyle="1" w:styleId="TableRowHeading">
    <w:name w:val="Table Row Heading"/>
    <w:basedOn w:val="TableRow"/>
    <w:uiPriority w:val="1"/>
    <w:qFormat/>
    <w:rsid w:val="006623D6"/>
    <w:pPr>
      <w:spacing w:before="40"/>
    </w:pPr>
    <w:rPr>
      <w:rFonts w:eastAsia="Times New Roman"/>
      <w:b/>
      <w:szCs w:val="18"/>
    </w:rPr>
  </w:style>
  <w:style w:type="paragraph" w:customStyle="1" w:styleId="TableRowSubheading">
    <w:name w:val="Table Row Subheading"/>
    <w:basedOn w:val="TableRow"/>
    <w:next w:val="TableRow"/>
    <w:uiPriority w:val="1"/>
    <w:qFormat/>
    <w:rsid w:val="006623D6"/>
    <w:pPr>
      <w:spacing w:before="40"/>
    </w:pPr>
    <w:rPr>
      <w:i/>
    </w:rPr>
  </w:style>
  <w:style w:type="paragraph" w:customStyle="1" w:styleId="TableText">
    <w:name w:val="Table Text"/>
    <w:basedOn w:val="Normal"/>
    <w:uiPriority w:val="1"/>
    <w:qFormat/>
    <w:rsid w:val="006623D6"/>
    <w:pPr>
      <w:spacing w:line="240" w:lineRule="auto"/>
    </w:pPr>
    <w:rPr>
      <w:rFonts w:eastAsia="Times New Roman" w:cs="Times New Roman"/>
      <w:snapToGrid w:val="0"/>
      <w:sz w:val="18"/>
    </w:rPr>
  </w:style>
  <w:style w:type="paragraph" w:styleId="Revision">
    <w:name w:val="Revision"/>
    <w:hidden/>
    <w:uiPriority w:val="99"/>
    <w:semiHidden/>
    <w:rsid w:val="00526343"/>
    <w:pPr>
      <w:spacing w:after="0" w:line="240" w:lineRule="auto"/>
    </w:pPr>
  </w:style>
  <w:style w:type="paragraph" w:styleId="Date">
    <w:name w:val="Date"/>
    <w:basedOn w:val="AuthorsByline"/>
    <w:next w:val="BodyText"/>
    <w:link w:val="DateChar"/>
    <w:rsid w:val="00D244AD"/>
    <w:pPr>
      <w:spacing w:after="320"/>
    </w:pPr>
    <w:rPr>
      <w:i/>
      <w:color w:val="5C5859"/>
    </w:rPr>
  </w:style>
  <w:style w:type="character" w:customStyle="1" w:styleId="DateChar">
    <w:name w:val="Date Char"/>
    <w:basedOn w:val="DefaultParagraphFont"/>
    <w:link w:val="Date"/>
    <w:rsid w:val="00D244AD"/>
    <w:rPr>
      <w:i/>
      <w:color w:val="5C5859"/>
      <w:sz w:val="21"/>
    </w:rPr>
  </w:style>
  <w:style w:type="paragraph" w:styleId="EndnoteText">
    <w:name w:val="endnote text"/>
    <w:basedOn w:val="Normal"/>
    <w:link w:val="EndnoteTextChar"/>
    <w:rsid w:val="00864C3E"/>
    <w:pPr>
      <w:spacing w:after="60" w:line="240" w:lineRule="exact"/>
      <w:ind w:left="216" w:hanging="216"/>
    </w:pPr>
    <w:rPr>
      <w:sz w:val="18"/>
    </w:rPr>
  </w:style>
  <w:style w:type="character" w:customStyle="1" w:styleId="EndnoteTextChar">
    <w:name w:val="Endnote Text Char"/>
    <w:basedOn w:val="DefaultParagraphFont"/>
    <w:link w:val="EndnoteText"/>
    <w:rsid w:val="00864C3E"/>
    <w:rPr>
      <w:sz w:val="18"/>
    </w:rPr>
  </w:style>
  <w:style w:type="character" w:styleId="EndnoteReference">
    <w:name w:val="endnote reference"/>
    <w:uiPriority w:val="2"/>
    <w:rsid w:val="001D56E9"/>
    <w:rPr>
      <w:rFonts w:ascii="Lato" w:hAnsi="Lato"/>
      <w:vertAlign w:val="superscript"/>
    </w:rPr>
  </w:style>
  <w:style w:type="paragraph" w:styleId="BodyTextFirstIndent">
    <w:name w:val="Body Text First Indent"/>
    <w:basedOn w:val="BodyText"/>
    <w:link w:val="BodyTextFirstIndentChar"/>
    <w:qFormat/>
    <w:rsid w:val="005C107B"/>
    <w:pPr>
      <w:ind w:firstLine="360"/>
    </w:pPr>
  </w:style>
  <w:style w:type="character" w:customStyle="1" w:styleId="BodyTextFirstIndentChar">
    <w:name w:val="Body Text First Indent Char"/>
    <w:basedOn w:val="BodyTextChar"/>
    <w:link w:val="BodyTextFirstIndent"/>
    <w:rsid w:val="005C107B"/>
    <w:rPr>
      <w:color w:val="000000" w:themeColor="text1"/>
    </w:rPr>
  </w:style>
  <w:style w:type="paragraph" w:customStyle="1" w:styleId="AuthorsAffiliation">
    <w:name w:val="Authors Affiliation"/>
    <w:basedOn w:val="Normal"/>
    <w:qFormat/>
    <w:rsid w:val="005455FD"/>
    <w:pPr>
      <w:spacing w:after="60" w:line="240" w:lineRule="auto"/>
    </w:pPr>
    <w:rPr>
      <w:rFonts w:cs="Gill Sans"/>
      <w:b/>
      <w:caps/>
      <w:spacing w:val="10"/>
      <w:sz w:val="15"/>
      <w:szCs w:val="16"/>
    </w:rPr>
  </w:style>
  <w:style w:type="paragraph" w:customStyle="1" w:styleId="StakeholderQuote1">
    <w:name w:val="Stakeholder Quote_1"/>
    <w:basedOn w:val="BodyTextFirstIndent"/>
    <w:link w:val="StakeholderQuote1Char"/>
    <w:uiPriority w:val="99"/>
    <w:semiHidden/>
    <w:qFormat/>
    <w:rsid w:val="002304A1"/>
    <w:pPr>
      <w:spacing w:before="360" w:after="360" w:line="360" w:lineRule="exact"/>
      <w:ind w:firstLine="0"/>
      <w:contextualSpacing/>
    </w:pPr>
    <w:rPr>
      <w:rFonts w:ascii="Segoe Pro" w:eastAsia="Calibri" w:hAnsi="Segoe Pro" w:cs="Times New Roman"/>
      <w:b/>
      <w:color w:val="0A4C6A" w:themeColor="text2"/>
      <w:sz w:val="24"/>
      <w:szCs w:val="24"/>
    </w:rPr>
  </w:style>
  <w:style w:type="character" w:customStyle="1" w:styleId="StakeholderQuote1Char">
    <w:name w:val="Stakeholder Quote_1 Char"/>
    <w:basedOn w:val="BodyTextFirstIndentChar"/>
    <w:link w:val="StakeholderQuote1"/>
    <w:uiPriority w:val="99"/>
    <w:semiHidden/>
    <w:rsid w:val="005C107B"/>
    <w:rPr>
      <w:rFonts w:ascii="Segoe Pro" w:eastAsia="Calibri" w:hAnsi="Segoe Pro" w:cs="Times New Roman"/>
      <w:b/>
      <w:color w:val="0A4C6A" w:themeColor="text2"/>
      <w:sz w:val="24"/>
      <w:szCs w:val="24"/>
    </w:rPr>
  </w:style>
  <w:style w:type="paragraph" w:customStyle="1" w:styleId="StakeholderQuote2">
    <w:name w:val="Stakeholder Quote_2"/>
    <w:basedOn w:val="StakeholderQuote1"/>
    <w:uiPriority w:val="99"/>
    <w:semiHidden/>
    <w:qFormat/>
    <w:rsid w:val="002304A1"/>
    <w:pPr>
      <w:spacing w:before="0" w:after="180" w:line="300" w:lineRule="exact"/>
      <w:ind w:left="720" w:right="720"/>
    </w:pPr>
    <w:rPr>
      <w:b w:val="0"/>
      <w:sz w:val="22"/>
    </w:rPr>
  </w:style>
  <w:style w:type="paragraph" w:customStyle="1" w:styleId="BoxBulletedList">
    <w:name w:val="Box Bulleted List"/>
    <w:basedOn w:val="BoxText"/>
    <w:next w:val="BoxText"/>
    <w:uiPriority w:val="1"/>
    <w:qFormat/>
    <w:rsid w:val="005F7D7E"/>
    <w:pPr>
      <w:numPr>
        <w:numId w:val="5"/>
      </w:numPr>
      <w:spacing w:before="0"/>
      <w:ind w:left="432" w:hanging="216"/>
    </w:pPr>
    <w:rPr>
      <w:color w:val="000000" w:themeColor="text1"/>
    </w:rPr>
  </w:style>
  <w:style w:type="character" w:customStyle="1" w:styleId="Editbeforepublication">
    <w:name w:val="Edit before publication"/>
    <w:basedOn w:val="DefaultParagraphFont"/>
    <w:uiPriority w:val="3"/>
    <w:qFormat/>
    <w:rsid w:val="005C107B"/>
    <w:rPr>
      <w:color w:val="EC008B" w:themeColor="accent4"/>
      <w:shd w:val="clear" w:color="auto" w:fill="FFE6ED"/>
    </w:rPr>
  </w:style>
  <w:style w:type="character" w:customStyle="1" w:styleId="Heading3Char">
    <w:name w:val="Heading 3 Char"/>
    <w:basedOn w:val="DefaultParagraphFont"/>
    <w:link w:val="Heading3"/>
    <w:uiPriority w:val="9"/>
    <w:rsid w:val="00DA2616"/>
    <w:rPr>
      <w:rFonts w:eastAsiaTheme="majorEastAsia" w:cstheme="majorBidi"/>
      <w:b/>
      <w:i/>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hyperlink" Target="http://www.urban.org/fundingprinciples" TargetMode="Externa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chart" Target="charts/chart3.xml"/><Relationship Id="rId22" Type="http://schemas.openxmlformats.org/officeDocument/2006/relationships/footer" Target="footer3.xml"/></Relationships>
</file>

<file path=word/_rels/endnotes.xml.rels><?xml version="1.0" encoding="UTF-8" standalone="yes"?>
<Relationships xmlns="http://schemas.openxmlformats.org/package/2006/relationships"><Relationship Id="rId1" Type="http://schemas.openxmlformats.org/officeDocument/2006/relationships/hyperlink" Target="https://www.census.gov/data/tables/time-series/demo/popest/2020s-counties-total.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Martin\Downloads\A%20Look%20at%20501(c)(3)%20Public%20Charities%20in%20Southeast%20Michigan.dotm"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893323738032989"/>
          <c:y val="0.1138408120671663"/>
          <c:w val="0.80167448198775837"/>
          <c:h val="0.85929570249501941"/>
        </c:manualLayout>
      </c:layout>
      <c:barChart>
        <c:barDir val="bar"/>
        <c:grouping val="percentStacked"/>
        <c:varyColors val="0"/>
        <c:ser>
          <c:idx val="0"/>
          <c:order val="0"/>
          <c:tx>
            <c:strRef>
              <c:f>Age!$B$1</c:f>
              <c:strCache>
                <c:ptCount val="1"/>
                <c:pt idx="0">
                  <c:v>0-5 years</c:v>
                </c:pt>
              </c:strCache>
            </c:strRef>
          </c:tx>
          <c:spPr>
            <a:solidFill>
              <a:schemeClr val="accent4"/>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Age!$A$2:$A$9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Age!$B$2:$B$9</c:f>
              <c:numCache>
                <c:formatCode>General</c:formatCode>
                <c:ptCount val="8"/>
              </c:numCache>
            </c:numRef>
          </c:val>
          <c:extLst>
            <c:ext xmlns:c16="http://schemas.microsoft.com/office/drawing/2014/chart" uri="{C3380CC4-5D6E-409C-BE32-E72D297353CC}">
              <c16:uniqueId val="{00000000-07D2-4AE1-8113-5BFF70606459}"/>
            </c:ext>
          </c:extLst>
        </c:ser>
        <c:ser>
          <c:idx val="1"/>
          <c:order val="1"/>
          <c:tx>
            <c:strRef>
              <c:f>Age!$C$1</c:f>
              <c:strCache>
                <c:ptCount val="1"/>
                <c:pt idx="0">
                  <c:v>6-10 years</c:v>
                </c:pt>
              </c:strCache>
            </c:strRef>
          </c:tx>
          <c:spPr>
            <a:solidFill>
              <a:srgbClr val="000000"/>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Age!$A$2:$A$9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Age!$C$2:$C$9</c:f>
              <c:numCache>
                <c:formatCode>General</c:formatCode>
                <c:ptCount val="8"/>
              </c:numCache>
            </c:numRef>
          </c:val>
          <c:extLst>
            <c:ext xmlns:c16="http://schemas.microsoft.com/office/drawing/2014/chart" uri="{C3380CC4-5D6E-409C-BE32-E72D297353CC}">
              <c16:uniqueId val="{00000001-07D2-4AE1-8113-5BFF70606459}"/>
            </c:ext>
          </c:extLst>
        </c:ser>
        <c:ser>
          <c:idx val="2"/>
          <c:order val="2"/>
          <c:tx>
            <c:strRef>
              <c:f>Age!$D$1</c:f>
              <c:strCache>
                <c:ptCount val="1"/>
                <c:pt idx="0">
                  <c:v>11-25 years</c:v>
                </c:pt>
              </c:strCache>
            </c:strRef>
          </c:tx>
          <c:spPr>
            <a:solidFill>
              <a:srgbClr val="D2D2D2"/>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Age!$A$2:$A$9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Age!$D$2:$D$9</c:f>
              <c:numCache>
                <c:formatCode>General</c:formatCode>
                <c:ptCount val="8"/>
              </c:numCache>
            </c:numRef>
          </c:val>
          <c:extLst>
            <c:ext xmlns:c16="http://schemas.microsoft.com/office/drawing/2014/chart" uri="{C3380CC4-5D6E-409C-BE32-E72D297353CC}">
              <c16:uniqueId val="{00000002-07D2-4AE1-8113-5BFF70606459}"/>
            </c:ext>
          </c:extLst>
        </c:ser>
        <c:ser>
          <c:idx val="3"/>
          <c:order val="3"/>
          <c:tx>
            <c:strRef>
              <c:f>Age!$E$1</c:f>
              <c:strCache>
                <c:ptCount val="1"/>
                <c:pt idx="0">
                  <c:v>26-49 years</c:v>
                </c:pt>
              </c:strCache>
            </c:strRef>
          </c:tx>
          <c:spPr>
            <a:solidFill>
              <a:srgbClr val="FDBF11"/>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Age!$A$2:$A$9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Age!$E$2:$E$9</c:f>
              <c:numCache>
                <c:formatCode>General</c:formatCode>
                <c:ptCount val="8"/>
              </c:numCache>
            </c:numRef>
          </c:val>
          <c:extLst>
            <c:ext xmlns:c16="http://schemas.microsoft.com/office/drawing/2014/chart" uri="{C3380CC4-5D6E-409C-BE32-E72D297353CC}">
              <c16:uniqueId val="{00000003-07D2-4AE1-8113-5BFF70606459}"/>
            </c:ext>
          </c:extLst>
        </c:ser>
        <c:ser>
          <c:idx val="4"/>
          <c:order val="4"/>
          <c:tx>
            <c:strRef>
              <c:f>Age!$F$1</c:f>
              <c:strCache>
                <c:ptCount val="1"/>
                <c:pt idx="0">
                  <c:v>50+ years</c:v>
                </c:pt>
              </c:strCache>
            </c:strRef>
          </c:tx>
          <c:spPr>
            <a:solidFill>
              <a:srgbClr val="EC008B"/>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Age!$A$2:$A$9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Age!$F$2:$F$9</c:f>
              <c:numCache>
                <c:formatCode>General</c:formatCode>
                <c:ptCount val="8"/>
              </c:numCache>
            </c:numRef>
          </c:val>
          <c:extLst>
            <c:ext xmlns:c16="http://schemas.microsoft.com/office/drawing/2014/chart" uri="{C3380CC4-5D6E-409C-BE32-E72D297353CC}">
              <c16:uniqueId val="{00000004-07D2-4AE1-8113-5BFF70606459}"/>
            </c:ext>
          </c:extLst>
        </c:ser>
        <c:dLbls>
          <c:showLegendKey val="0"/>
          <c:showVal val="1"/>
          <c:showCatName val="0"/>
          <c:showSerName val="0"/>
          <c:showPercent val="0"/>
          <c:showBubbleSize val="0"/>
        </c:dLbls>
        <c:gapWidth val="50"/>
        <c:overlap val="100"/>
        <c:axId val="2078836720"/>
        <c:axId val="2078837680"/>
      </c:barChart>
      <c:catAx>
        <c:axId val="2078836720"/>
        <c:scaling>
          <c:orientation val="maxMin"/>
        </c:scaling>
        <c:delete val="0"/>
        <c:axPos val="l"/>
        <c:numFmt formatCode="General" sourceLinked="1"/>
        <c:majorTickMark val="out"/>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a:solidFill>
                  <a:schemeClr val="tx1"/>
                </a:solidFill>
                <a:latin typeface="Lato" panose="020F0502020204030203" pitchFamily="34" charset="0"/>
                <a:ea typeface="+mn-ea"/>
                <a:cs typeface="+mn-cs"/>
              </a:defRPr>
            </a:pPr>
            <a:endParaRPr lang="en-US"/>
          </a:p>
        </c:txPr>
        <c:crossAx val="2078837680"/>
        <c:crosses val="autoZero"/>
        <c:auto val="1"/>
        <c:lblAlgn val="ctr"/>
        <c:lblOffset val="100"/>
        <c:noMultiLvlLbl val="0"/>
      </c:catAx>
      <c:valAx>
        <c:axId val="2078837680"/>
        <c:scaling>
          <c:orientation val="minMax"/>
          <c:max val="1"/>
        </c:scaling>
        <c:delete val="1"/>
        <c:axPos val="t"/>
        <c:numFmt formatCode="0%" sourceLinked="1"/>
        <c:majorTickMark val="out"/>
        <c:minorTickMark val="none"/>
        <c:tickLblPos val="nextTo"/>
        <c:crossAx val="2078836720"/>
        <c:crosses val="autoZero"/>
        <c:crossBetween val="between"/>
      </c:valAx>
    </c:plotArea>
    <c:legend>
      <c:legendPos val="t"/>
      <c:overlay val="0"/>
    </c:legend>
    <c:plotVisOnly val="1"/>
    <c:dispBlanksAs val="gap"/>
    <c:showDLblsOverMax val="0"/>
    <c:extLst/>
  </c:chart>
  <c:spPr>
    <a:solidFill>
      <a:srgbClr val="FFFFFF"/>
    </a:solidFill>
    <a:ln w="9525" cap="flat" cmpd="sng" algn="ctr">
      <a:noFill/>
      <a:round/>
    </a:ln>
    <a:effectLst/>
  </c:spPr>
  <c:txPr>
    <a:bodyPr/>
    <a:lstStyle/>
    <a:p>
      <a:pPr>
        <a:defRPr sz="850">
          <a:solidFill>
            <a:sysClr val="windowText" lastClr="000000"/>
          </a:solidFill>
          <a:latin typeface="Lato" panose="020F0502020204030203" pitchFamily="34"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893323738032989"/>
          <c:y val="0.1138408120671663"/>
          <c:w val="0.80167448198775837"/>
          <c:h val="0.85929570249501941"/>
        </c:manualLayout>
      </c:layout>
      <c:barChart>
        <c:barDir val="bar"/>
        <c:grouping val="percentStacked"/>
        <c:varyColors val="0"/>
        <c:ser>
          <c:idx val="0"/>
          <c:order val="0"/>
          <c:tx>
            <c:strRef>
              <c:f>Revenue!$B$1</c:f>
              <c:strCache>
                <c:ptCount val="1"/>
                <c:pt idx="0">
                  <c:v>Less than $100K</c:v>
                </c:pt>
              </c:strCache>
            </c:strRef>
          </c:tx>
          <c:spPr>
            <a:solidFill>
              <a:schemeClr val="accent4"/>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Revenue!$A$2:$A$9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Revenue!$B$2:$B$9</c:f>
              <c:numCache>
                <c:formatCode>General</c:formatCode>
                <c:ptCount val="8"/>
              </c:numCache>
            </c:numRef>
          </c:val>
          <c:extLst>
            <c:ext xmlns:c16="http://schemas.microsoft.com/office/drawing/2014/chart" uri="{C3380CC4-5D6E-409C-BE32-E72D297353CC}">
              <c16:uniqueId val="{00000000-A057-4D6F-BCA9-993900A7B97B}"/>
            </c:ext>
          </c:extLst>
        </c:ser>
        <c:ser>
          <c:idx val="1"/>
          <c:order val="1"/>
          <c:tx>
            <c:strRef>
              <c:f>Revenue!$C$1</c:f>
              <c:strCache>
                <c:ptCount val="1"/>
                <c:pt idx="0">
                  <c:v>$100K to $499K</c:v>
                </c:pt>
              </c:strCache>
            </c:strRef>
          </c:tx>
          <c:spPr>
            <a:solidFill>
              <a:srgbClr val="000000"/>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Revenue!$A$2:$A$9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Revenue!$C$2:$C$9</c:f>
              <c:numCache>
                <c:formatCode>General</c:formatCode>
                <c:ptCount val="8"/>
              </c:numCache>
            </c:numRef>
          </c:val>
          <c:extLst>
            <c:ext xmlns:c16="http://schemas.microsoft.com/office/drawing/2014/chart" uri="{C3380CC4-5D6E-409C-BE32-E72D297353CC}">
              <c16:uniqueId val="{00000001-A057-4D6F-BCA9-993900A7B97B}"/>
            </c:ext>
          </c:extLst>
        </c:ser>
        <c:ser>
          <c:idx val="2"/>
          <c:order val="2"/>
          <c:tx>
            <c:strRef>
              <c:f>Revenue!$D$1</c:f>
              <c:strCache>
                <c:ptCount val="1"/>
                <c:pt idx="0">
                  <c:v>$500K to $999K</c:v>
                </c:pt>
              </c:strCache>
            </c:strRef>
          </c:tx>
          <c:spPr>
            <a:solidFill>
              <a:srgbClr val="D2D2D2"/>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Revenue!$A$2:$A$9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Revenue!$D$2:$D$9</c:f>
              <c:numCache>
                <c:formatCode>General</c:formatCode>
                <c:ptCount val="8"/>
              </c:numCache>
            </c:numRef>
          </c:val>
          <c:extLst>
            <c:ext xmlns:c16="http://schemas.microsoft.com/office/drawing/2014/chart" uri="{C3380CC4-5D6E-409C-BE32-E72D297353CC}">
              <c16:uniqueId val="{00000002-A057-4D6F-BCA9-993900A7B97B}"/>
            </c:ext>
          </c:extLst>
        </c:ser>
        <c:ser>
          <c:idx val="3"/>
          <c:order val="3"/>
          <c:tx>
            <c:strRef>
              <c:f>Revenue!$E$1</c:f>
              <c:strCache>
                <c:ptCount val="1"/>
                <c:pt idx="0">
                  <c:v>$1M to $9.9M</c:v>
                </c:pt>
              </c:strCache>
            </c:strRef>
          </c:tx>
          <c:spPr>
            <a:solidFill>
              <a:srgbClr val="FDBF11"/>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Revenue!$A$2:$A$9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Revenue!$E$2:$E$9</c:f>
              <c:numCache>
                <c:formatCode>General</c:formatCode>
                <c:ptCount val="8"/>
              </c:numCache>
            </c:numRef>
          </c:val>
          <c:extLst>
            <c:ext xmlns:c16="http://schemas.microsoft.com/office/drawing/2014/chart" uri="{C3380CC4-5D6E-409C-BE32-E72D297353CC}">
              <c16:uniqueId val="{00000003-A057-4D6F-BCA9-993900A7B97B}"/>
            </c:ext>
          </c:extLst>
        </c:ser>
        <c:ser>
          <c:idx val="4"/>
          <c:order val="4"/>
          <c:tx>
            <c:strRef>
              <c:f>Revenue!$F$1</c:f>
              <c:strCache>
                <c:ptCount val="1"/>
                <c:pt idx="0">
                  <c:v>$10M+</c:v>
                </c:pt>
              </c:strCache>
            </c:strRef>
          </c:tx>
          <c:spPr>
            <a:solidFill>
              <a:srgbClr val="EC008B"/>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Revenue!$A$2:$A$9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Revenue!$F$2:$F$9</c:f>
              <c:numCache>
                <c:formatCode>General</c:formatCode>
                <c:ptCount val="8"/>
              </c:numCache>
            </c:numRef>
          </c:val>
          <c:extLst>
            <c:ext xmlns:c16="http://schemas.microsoft.com/office/drawing/2014/chart" uri="{C3380CC4-5D6E-409C-BE32-E72D297353CC}">
              <c16:uniqueId val="{00000004-A057-4D6F-BCA9-993900A7B97B}"/>
            </c:ext>
          </c:extLst>
        </c:ser>
        <c:dLbls>
          <c:showLegendKey val="0"/>
          <c:showVal val="1"/>
          <c:showCatName val="0"/>
          <c:showSerName val="0"/>
          <c:showPercent val="0"/>
          <c:showBubbleSize val="0"/>
        </c:dLbls>
        <c:gapWidth val="50"/>
        <c:overlap val="100"/>
        <c:axId val="2078836720"/>
        <c:axId val="2078837680"/>
      </c:barChart>
      <c:catAx>
        <c:axId val="2078836720"/>
        <c:scaling>
          <c:orientation val="maxMin"/>
        </c:scaling>
        <c:delete val="0"/>
        <c:axPos val="l"/>
        <c:numFmt formatCode="General" sourceLinked="1"/>
        <c:majorTickMark val="out"/>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a:solidFill>
                  <a:schemeClr val="tx1"/>
                </a:solidFill>
                <a:latin typeface="Lato" panose="020F0502020204030203" pitchFamily="34" charset="0"/>
                <a:ea typeface="+mn-ea"/>
                <a:cs typeface="+mn-cs"/>
              </a:defRPr>
            </a:pPr>
            <a:endParaRPr lang="en-US"/>
          </a:p>
        </c:txPr>
        <c:crossAx val="2078837680"/>
        <c:crosses val="autoZero"/>
        <c:auto val="1"/>
        <c:lblAlgn val="ctr"/>
        <c:lblOffset val="100"/>
        <c:noMultiLvlLbl val="0"/>
      </c:catAx>
      <c:valAx>
        <c:axId val="2078837680"/>
        <c:scaling>
          <c:orientation val="minMax"/>
          <c:max val="1"/>
        </c:scaling>
        <c:delete val="1"/>
        <c:axPos val="t"/>
        <c:numFmt formatCode="0%" sourceLinked="1"/>
        <c:majorTickMark val="out"/>
        <c:minorTickMark val="none"/>
        <c:tickLblPos val="nextTo"/>
        <c:crossAx val="2078836720"/>
        <c:crosses val="autoZero"/>
        <c:crossBetween val="between"/>
      </c:valAx>
    </c:plotArea>
    <c:legend>
      <c:legendPos val="t"/>
      <c:overlay val="0"/>
    </c:legend>
    <c:plotVisOnly val="1"/>
    <c:dispBlanksAs val="gap"/>
    <c:showDLblsOverMax val="0"/>
    <c:extLst/>
  </c:chart>
  <c:spPr>
    <a:solidFill>
      <a:srgbClr val="FFFFFF"/>
    </a:solidFill>
    <a:ln w="9525" cap="flat" cmpd="sng" algn="ctr">
      <a:noFill/>
      <a:round/>
    </a:ln>
    <a:effectLst/>
  </c:spPr>
  <c:txPr>
    <a:bodyPr/>
    <a:lstStyle/>
    <a:p>
      <a:pPr>
        <a:defRPr sz="850">
          <a:solidFill>
            <a:sysClr val="windowText" lastClr="000000"/>
          </a:solidFill>
          <a:latin typeface="Lato" panose="020F0502020204030203" pitchFamily="34"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893323738032989"/>
          <c:y val="0.1138408120671663"/>
          <c:w val="0.80167448198775837"/>
          <c:h val="0.85929570249501941"/>
        </c:manualLayout>
      </c:layout>
      <c:barChart>
        <c:barDir val="bar"/>
        <c:grouping val="percentStacked"/>
        <c:varyColors val="0"/>
        <c:ser>
          <c:idx val="0"/>
          <c:order val="0"/>
          <c:tx>
            <c:strRef>
              <c:f>Expenses!$B$1</c:f>
              <c:strCache>
                <c:ptCount val="1"/>
                <c:pt idx="0">
                  <c:v>Less than $100K</c:v>
                </c:pt>
              </c:strCache>
            </c:strRef>
          </c:tx>
          <c:spPr>
            <a:solidFill>
              <a:schemeClr val="accent4"/>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Expenses!$A$2:$A$9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Expenses!$B$2:$B$9</c:f>
              <c:numCache>
                <c:formatCode>General</c:formatCode>
                <c:ptCount val="8"/>
              </c:numCache>
            </c:numRef>
          </c:val>
          <c:extLst>
            <c:ext xmlns:c16="http://schemas.microsoft.com/office/drawing/2014/chart" uri="{C3380CC4-5D6E-409C-BE32-E72D297353CC}">
              <c16:uniqueId val="{00000000-386B-4254-BCAD-D815DDEB46B8}"/>
            </c:ext>
          </c:extLst>
        </c:ser>
        <c:ser>
          <c:idx val="1"/>
          <c:order val="1"/>
          <c:tx>
            <c:strRef>
              <c:f>Expenses!$C$1</c:f>
              <c:strCache>
                <c:ptCount val="1"/>
                <c:pt idx="0">
                  <c:v>$100K to $499K</c:v>
                </c:pt>
              </c:strCache>
            </c:strRef>
          </c:tx>
          <c:spPr>
            <a:solidFill>
              <a:srgbClr val="000000"/>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Expenses!$A$2:$A$9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Expenses!$C$2:$C$9</c:f>
              <c:numCache>
                <c:formatCode>General</c:formatCode>
                <c:ptCount val="8"/>
              </c:numCache>
            </c:numRef>
          </c:val>
          <c:extLst>
            <c:ext xmlns:c16="http://schemas.microsoft.com/office/drawing/2014/chart" uri="{C3380CC4-5D6E-409C-BE32-E72D297353CC}">
              <c16:uniqueId val="{00000001-386B-4254-BCAD-D815DDEB46B8}"/>
            </c:ext>
          </c:extLst>
        </c:ser>
        <c:ser>
          <c:idx val="2"/>
          <c:order val="2"/>
          <c:tx>
            <c:strRef>
              <c:f>Expenses!$D$1</c:f>
              <c:strCache>
                <c:ptCount val="1"/>
                <c:pt idx="0">
                  <c:v>$500K to $999K</c:v>
                </c:pt>
              </c:strCache>
            </c:strRef>
          </c:tx>
          <c:spPr>
            <a:solidFill>
              <a:srgbClr val="D2D2D2"/>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Expenses!$A$2:$A$9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Expenses!$D$2:$D$9</c:f>
              <c:numCache>
                <c:formatCode>General</c:formatCode>
                <c:ptCount val="8"/>
              </c:numCache>
            </c:numRef>
          </c:val>
          <c:extLst>
            <c:ext xmlns:c16="http://schemas.microsoft.com/office/drawing/2014/chart" uri="{C3380CC4-5D6E-409C-BE32-E72D297353CC}">
              <c16:uniqueId val="{00000002-386B-4254-BCAD-D815DDEB46B8}"/>
            </c:ext>
          </c:extLst>
        </c:ser>
        <c:ser>
          <c:idx val="3"/>
          <c:order val="3"/>
          <c:tx>
            <c:strRef>
              <c:f>Expenses!$E$1</c:f>
              <c:strCache>
                <c:ptCount val="1"/>
                <c:pt idx="0">
                  <c:v>$1M to $9.9M</c:v>
                </c:pt>
              </c:strCache>
            </c:strRef>
          </c:tx>
          <c:spPr>
            <a:solidFill>
              <a:srgbClr val="FDBF11"/>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Expenses!$A$2:$A$9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Expenses!$E$2:$E$9</c:f>
              <c:numCache>
                <c:formatCode>General</c:formatCode>
                <c:ptCount val="8"/>
              </c:numCache>
            </c:numRef>
          </c:val>
          <c:extLst>
            <c:ext xmlns:c16="http://schemas.microsoft.com/office/drawing/2014/chart" uri="{C3380CC4-5D6E-409C-BE32-E72D297353CC}">
              <c16:uniqueId val="{00000003-386B-4254-BCAD-D815DDEB46B8}"/>
            </c:ext>
          </c:extLst>
        </c:ser>
        <c:ser>
          <c:idx val="4"/>
          <c:order val="4"/>
          <c:tx>
            <c:strRef>
              <c:f>Expenses!$F$1</c:f>
              <c:strCache>
                <c:ptCount val="1"/>
                <c:pt idx="0">
                  <c:v>$10M+</c:v>
                </c:pt>
              </c:strCache>
            </c:strRef>
          </c:tx>
          <c:spPr>
            <a:solidFill>
              <a:srgbClr val="EC008B"/>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Expenses!$A$2:$A$9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Expenses!$F$2:$F$9</c:f>
              <c:numCache>
                <c:formatCode>General</c:formatCode>
                <c:ptCount val="8"/>
              </c:numCache>
            </c:numRef>
          </c:val>
          <c:extLst>
            <c:ext xmlns:c16="http://schemas.microsoft.com/office/drawing/2014/chart" uri="{C3380CC4-5D6E-409C-BE32-E72D297353CC}">
              <c16:uniqueId val="{00000004-386B-4254-BCAD-D815DDEB46B8}"/>
            </c:ext>
          </c:extLst>
        </c:ser>
        <c:dLbls>
          <c:showLegendKey val="0"/>
          <c:showVal val="1"/>
          <c:showCatName val="0"/>
          <c:showSerName val="0"/>
          <c:showPercent val="0"/>
          <c:showBubbleSize val="0"/>
        </c:dLbls>
        <c:gapWidth val="50"/>
        <c:overlap val="100"/>
        <c:axId val="2078836720"/>
        <c:axId val="2078837680"/>
      </c:barChart>
      <c:catAx>
        <c:axId val="2078836720"/>
        <c:scaling>
          <c:orientation val="maxMin"/>
        </c:scaling>
        <c:delete val="0"/>
        <c:axPos val="l"/>
        <c:numFmt formatCode="General" sourceLinked="1"/>
        <c:majorTickMark val="out"/>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a:solidFill>
                  <a:schemeClr val="tx1"/>
                </a:solidFill>
                <a:latin typeface="Lato" panose="020F0502020204030203" pitchFamily="34" charset="0"/>
                <a:ea typeface="+mn-ea"/>
                <a:cs typeface="+mn-cs"/>
              </a:defRPr>
            </a:pPr>
            <a:endParaRPr lang="en-US"/>
          </a:p>
        </c:txPr>
        <c:crossAx val="2078837680"/>
        <c:crosses val="autoZero"/>
        <c:auto val="1"/>
        <c:lblAlgn val="ctr"/>
        <c:lblOffset val="100"/>
        <c:noMultiLvlLbl val="0"/>
      </c:catAx>
      <c:valAx>
        <c:axId val="2078837680"/>
        <c:scaling>
          <c:orientation val="minMax"/>
          <c:max val="1"/>
        </c:scaling>
        <c:delete val="1"/>
        <c:axPos val="t"/>
        <c:numFmt formatCode="0%" sourceLinked="1"/>
        <c:majorTickMark val="out"/>
        <c:minorTickMark val="none"/>
        <c:tickLblPos val="nextTo"/>
        <c:crossAx val="2078836720"/>
        <c:crosses val="autoZero"/>
        <c:crossBetween val="between"/>
      </c:valAx>
    </c:plotArea>
    <c:legend>
      <c:legendPos val="t"/>
      <c:overlay val="0"/>
    </c:legend>
    <c:plotVisOnly val="1"/>
    <c:dispBlanksAs val="gap"/>
    <c:showDLblsOverMax val="0"/>
    <c:extLst/>
  </c:chart>
  <c:spPr>
    <a:solidFill>
      <a:srgbClr val="FFFFFF"/>
    </a:solidFill>
    <a:ln w="9525" cap="flat" cmpd="sng" algn="ctr">
      <a:noFill/>
      <a:round/>
    </a:ln>
    <a:effectLst/>
  </c:spPr>
  <c:txPr>
    <a:bodyPr/>
    <a:lstStyle/>
    <a:p>
      <a:pPr>
        <a:defRPr sz="850">
          <a:solidFill>
            <a:sysClr val="windowText" lastClr="000000"/>
          </a:solidFill>
          <a:latin typeface="Lato" panose="020F0502020204030203" pitchFamily="34"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893323738032989"/>
          <c:y val="0.1138408120671663"/>
          <c:w val="0.80167448198775837"/>
          <c:h val="0.85929570249501941"/>
        </c:manualLayout>
      </c:layout>
      <c:barChart>
        <c:barDir val="bar"/>
        <c:grouping val="percentStacked"/>
        <c:varyColors val="0"/>
        <c:ser>
          <c:idx val="0"/>
          <c:order val="0"/>
          <c:tx>
            <c:strRef>
              <c:f>'Operating Surplus'!$B$1</c:f>
              <c:strCache>
                <c:ptCount val="1"/>
                <c:pt idx="0">
                  <c:v>-20% or lower</c:v>
                </c:pt>
              </c:strCache>
            </c:strRef>
          </c:tx>
          <c:spPr>
            <a:solidFill>
              <a:schemeClr val="accent4"/>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'Operating Surplus'!$A$2:$A$9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'Operating Surplus'!$B$2:$B$9</c:f>
              <c:numCache>
                <c:formatCode>General</c:formatCode>
                <c:ptCount val="8"/>
              </c:numCache>
            </c:numRef>
          </c:val>
          <c:extLst>
            <c:ext xmlns:c16="http://schemas.microsoft.com/office/drawing/2014/chart" uri="{C3380CC4-5D6E-409C-BE32-E72D297353CC}">
              <c16:uniqueId val="{00000000-B25E-49E1-B298-E93282D9E58D}"/>
            </c:ext>
          </c:extLst>
        </c:ser>
        <c:ser>
          <c:idx val="1"/>
          <c:order val="1"/>
          <c:tx>
            <c:strRef>
              <c:f>'Operating Surplus'!$C$1</c:f>
              <c:strCache>
                <c:ptCount val="1"/>
                <c:pt idx="0">
                  <c:v>-19.99% to -5%</c:v>
                </c:pt>
              </c:strCache>
            </c:strRef>
          </c:tx>
          <c:spPr>
            <a:solidFill>
              <a:srgbClr val="000000"/>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'Operating Surplus'!$A$2:$A$9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'Operating Surplus'!$C$2:$C$9</c:f>
              <c:numCache>
                <c:formatCode>General</c:formatCode>
                <c:ptCount val="8"/>
              </c:numCache>
            </c:numRef>
          </c:val>
          <c:extLst>
            <c:ext xmlns:c16="http://schemas.microsoft.com/office/drawing/2014/chart" uri="{C3380CC4-5D6E-409C-BE32-E72D297353CC}">
              <c16:uniqueId val="{00000001-B25E-49E1-B298-E93282D9E58D}"/>
            </c:ext>
          </c:extLst>
        </c:ser>
        <c:ser>
          <c:idx val="2"/>
          <c:order val="2"/>
          <c:tx>
            <c:strRef>
              <c:f>'Operating Surplus'!$D$1</c:f>
              <c:strCache>
                <c:ptCount val="1"/>
                <c:pt idx="0">
                  <c:v>-4.99% to -.01%</c:v>
                </c:pt>
              </c:strCache>
            </c:strRef>
          </c:tx>
          <c:spPr>
            <a:solidFill>
              <a:srgbClr val="D2D2D2"/>
            </a:solidFill>
          </c:spPr>
          <c:invertIfNegative val="0"/>
          <c:dLbls>
            <c:dLbl>
              <c:idx val="0"/>
              <c:spPr>
                <a:noFill/>
                <a:ln>
                  <a:noFill/>
                </a:ln>
                <a:effectLst/>
              </c:spPr>
              <c:txPr>
                <a:bodyPr wrap="square" lIns="38100" tIns="19050" rIns="38100" bIns="19050" anchor="ctr">
                  <a:spAutoFit/>
                </a:bodyPr>
                <a:lstStyle/>
                <a:p>
                  <a:pPr>
                    <a:defRPr>
                      <a:solidFill>
                        <a:sysClr val="windowText" lastClr="000000"/>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2-B25E-49E1-B298-E93282D9E58D}"/>
                </c:ext>
              </c:extLst>
            </c:dLbl>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'Operating Surplus'!$A$2:$A$9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'Operating Surplus'!$D$2:$D$9</c:f>
              <c:numCache>
                <c:formatCode>General</c:formatCode>
                <c:ptCount val="8"/>
              </c:numCache>
            </c:numRef>
          </c:val>
          <c:extLst>
            <c:ext xmlns:c16="http://schemas.microsoft.com/office/drawing/2014/chart" uri="{C3380CC4-5D6E-409C-BE32-E72D297353CC}">
              <c16:uniqueId val="{00000003-B25E-49E1-B298-E93282D9E58D}"/>
            </c:ext>
          </c:extLst>
        </c:ser>
        <c:ser>
          <c:idx val="3"/>
          <c:order val="3"/>
          <c:tx>
            <c:strRef>
              <c:f>'Operating Surplus'!$E$1</c:f>
              <c:strCache>
                <c:ptCount val="1"/>
                <c:pt idx="0">
                  <c:v>0%</c:v>
                </c:pt>
              </c:strCache>
            </c:strRef>
          </c:tx>
          <c:spPr>
            <a:solidFill>
              <a:srgbClr val="FDBF11"/>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'Operating Surplus'!$A$2:$A$9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'Operating Surplus'!$E$2:$E$9</c:f>
              <c:numCache>
                <c:formatCode>General</c:formatCode>
                <c:ptCount val="8"/>
              </c:numCache>
            </c:numRef>
          </c:val>
          <c:extLst>
            <c:ext xmlns:c16="http://schemas.microsoft.com/office/drawing/2014/chart" uri="{C3380CC4-5D6E-409C-BE32-E72D297353CC}">
              <c16:uniqueId val="{00000004-B25E-49E1-B298-E93282D9E58D}"/>
            </c:ext>
          </c:extLst>
        </c:ser>
        <c:ser>
          <c:idx val="4"/>
          <c:order val="4"/>
          <c:tx>
            <c:strRef>
              <c:f>'Operating Surplus'!$F$1</c:f>
              <c:strCache>
                <c:ptCount val="1"/>
                <c:pt idx="0">
                  <c:v>0.1% to 4.99%</c:v>
                </c:pt>
              </c:strCache>
            </c:strRef>
          </c:tx>
          <c:spPr>
            <a:solidFill>
              <a:srgbClr val="55B748"/>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'Operating Surplus'!$A$2:$A$9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'Operating Surplus'!$F$2:$F$9</c:f>
              <c:numCache>
                <c:formatCode>General</c:formatCode>
                <c:ptCount val="8"/>
              </c:numCache>
            </c:numRef>
          </c:val>
          <c:extLst>
            <c:ext xmlns:c16="http://schemas.microsoft.com/office/drawing/2014/chart" uri="{C3380CC4-5D6E-409C-BE32-E72D297353CC}">
              <c16:uniqueId val="{00000005-B25E-49E1-B298-E93282D9E58D}"/>
            </c:ext>
          </c:extLst>
        </c:ser>
        <c:ser>
          <c:idx val="5"/>
          <c:order val="5"/>
          <c:tx>
            <c:strRef>
              <c:f>'Operating Surplus'!$G$1</c:f>
              <c:strCache>
                <c:ptCount val="1"/>
                <c:pt idx="0">
                  <c:v>5% to 19.99%</c:v>
                </c:pt>
              </c:strCache>
            </c:strRef>
          </c:tx>
          <c:spPr>
            <a:solidFill>
              <a:srgbClr val="EC008B"/>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'Operating Surplus'!$A$2:$A$9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'Operating Surplus'!$G$2:$G$9</c:f>
              <c:numCache>
                <c:formatCode>General</c:formatCode>
                <c:ptCount val="8"/>
              </c:numCache>
            </c:numRef>
          </c:val>
          <c:extLst>
            <c:ext xmlns:c16="http://schemas.microsoft.com/office/drawing/2014/chart" uri="{C3380CC4-5D6E-409C-BE32-E72D297353CC}">
              <c16:uniqueId val="{00000006-B25E-49E1-B298-E93282D9E58D}"/>
            </c:ext>
          </c:extLst>
        </c:ser>
        <c:ser>
          <c:idx val="6"/>
          <c:order val="6"/>
          <c:tx>
            <c:strRef>
              <c:f>'Operating Surplus'!$H$1</c:f>
              <c:strCache>
                <c:ptCount val="1"/>
                <c:pt idx="0">
                  <c:v>20% or higher</c:v>
                </c:pt>
              </c:strCache>
            </c:strRef>
          </c:tx>
          <c:spPr>
            <a:solidFill>
              <a:srgbClr val="0A4C6A"/>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'Operating Surplus'!$A$2:$A$9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'Operating Surplus'!$H$2:$H$9</c:f>
              <c:numCache>
                <c:formatCode>General</c:formatCode>
                <c:ptCount val="8"/>
              </c:numCache>
            </c:numRef>
          </c:val>
          <c:extLst>
            <c:ext xmlns:c16="http://schemas.microsoft.com/office/drawing/2014/chart" uri="{C3380CC4-5D6E-409C-BE32-E72D297353CC}">
              <c16:uniqueId val="{00000007-B25E-49E1-B298-E93282D9E58D}"/>
            </c:ext>
          </c:extLst>
        </c:ser>
        <c:dLbls>
          <c:showLegendKey val="0"/>
          <c:showVal val="1"/>
          <c:showCatName val="0"/>
          <c:showSerName val="0"/>
          <c:showPercent val="0"/>
          <c:showBubbleSize val="0"/>
        </c:dLbls>
        <c:gapWidth val="50"/>
        <c:overlap val="100"/>
        <c:axId val="2078836720"/>
        <c:axId val="2078837680"/>
      </c:barChart>
      <c:catAx>
        <c:axId val="2078836720"/>
        <c:scaling>
          <c:orientation val="maxMin"/>
        </c:scaling>
        <c:delete val="0"/>
        <c:axPos val="l"/>
        <c:numFmt formatCode="General" sourceLinked="1"/>
        <c:majorTickMark val="out"/>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a:solidFill>
                  <a:schemeClr val="tx1"/>
                </a:solidFill>
                <a:latin typeface="Lato" panose="020F0502020204030203" pitchFamily="34" charset="0"/>
                <a:ea typeface="+mn-ea"/>
                <a:cs typeface="+mn-cs"/>
              </a:defRPr>
            </a:pPr>
            <a:endParaRPr lang="en-US"/>
          </a:p>
        </c:txPr>
        <c:crossAx val="2078837680"/>
        <c:crosses val="autoZero"/>
        <c:auto val="1"/>
        <c:lblAlgn val="ctr"/>
        <c:lblOffset val="100"/>
        <c:noMultiLvlLbl val="0"/>
      </c:catAx>
      <c:valAx>
        <c:axId val="2078837680"/>
        <c:scaling>
          <c:orientation val="minMax"/>
          <c:max val="1"/>
        </c:scaling>
        <c:delete val="1"/>
        <c:axPos val="t"/>
        <c:numFmt formatCode="0%" sourceLinked="1"/>
        <c:majorTickMark val="out"/>
        <c:minorTickMark val="none"/>
        <c:tickLblPos val="nextTo"/>
        <c:crossAx val="2078836720"/>
        <c:crosses val="autoZero"/>
        <c:crossBetween val="between"/>
      </c:valAx>
    </c:plotArea>
    <c:legend>
      <c:legendPos val="t"/>
      <c:overlay val="0"/>
    </c:legend>
    <c:plotVisOnly val="1"/>
    <c:dispBlanksAs val="gap"/>
    <c:showDLblsOverMax val="0"/>
    <c:extLst/>
  </c:chart>
  <c:spPr>
    <a:solidFill>
      <a:srgbClr val="FFFFFF"/>
    </a:solidFill>
    <a:ln w="9525" cap="flat" cmpd="sng" algn="ctr">
      <a:noFill/>
      <a:round/>
    </a:ln>
    <a:effectLst/>
  </c:spPr>
  <c:txPr>
    <a:bodyPr/>
    <a:lstStyle/>
    <a:p>
      <a:pPr>
        <a:defRPr sz="850">
          <a:solidFill>
            <a:sysClr val="windowText" lastClr="000000"/>
          </a:solidFill>
          <a:latin typeface="Lato" panose="020F0502020204030203" pitchFamily="34"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893323738032989"/>
          <c:y val="0.1138408120671663"/>
          <c:w val="0.80167448198775837"/>
          <c:h val="0.85929570249501941"/>
        </c:manualLayout>
      </c:layout>
      <c:barChart>
        <c:barDir val="bar"/>
        <c:grouping val="percentStacked"/>
        <c:varyColors val="0"/>
        <c:ser>
          <c:idx val="0"/>
          <c:order val="0"/>
          <c:tx>
            <c:strRef>
              <c:f>Assets!$B$1</c:f>
              <c:strCache>
                <c:ptCount val="1"/>
                <c:pt idx="0">
                  <c:v>Less than $100K</c:v>
                </c:pt>
              </c:strCache>
            </c:strRef>
          </c:tx>
          <c:spPr>
            <a:solidFill>
              <a:schemeClr val="accent4"/>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Assets!$A$2:$A$9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Assets!$B$2:$B$9</c:f>
              <c:numCache>
                <c:formatCode>General</c:formatCode>
                <c:ptCount val="8"/>
              </c:numCache>
            </c:numRef>
          </c:val>
          <c:extLst>
            <c:ext xmlns:c16="http://schemas.microsoft.com/office/drawing/2014/chart" uri="{C3380CC4-5D6E-409C-BE32-E72D297353CC}">
              <c16:uniqueId val="{00000000-7D44-4F22-9226-05137E990DCC}"/>
            </c:ext>
          </c:extLst>
        </c:ser>
        <c:ser>
          <c:idx val="1"/>
          <c:order val="1"/>
          <c:tx>
            <c:strRef>
              <c:f>Assets!$C$1</c:f>
              <c:strCache>
                <c:ptCount val="1"/>
                <c:pt idx="0">
                  <c:v>$100K to $499K</c:v>
                </c:pt>
              </c:strCache>
            </c:strRef>
          </c:tx>
          <c:spPr>
            <a:solidFill>
              <a:srgbClr val="000000"/>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Assets!$A$2:$A$9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Assets!$C$2:$C$9</c:f>
              <c:numCache>
                <c:formatCode>General</c:formatCode>
                <c:ptCount val="8"/>
              </c:numCache>
            </c:numRef>
          </c:val>
          <c:extLst>
            <c:ext xmlns:c16="http://schemas.microsoft.com/office/drawing/2014/chart" uri="{C3380CC4-5D6E-409C-BE32-E72D297353CC}">
              <c16:uniqueId val="{00000001-7D44-4F22-9226-05137E990DCC}"/>
            </c:ext>
          </c:extLst>
        </c:ser>
        <c:ser>
          <c:idx val="2"/>
          <c:order val="2"/>
          <c:tx>
            <c:strRef>
              <c:f>Assets!$D$1</c:f>
              <c:strCache>
                <c:ptCount val="1"/>
                <c:pt idx="0">
                  <c:v>$500K to $999K</c:v>
                </c:pt>
              </c:strCache>
            </c:strRef>
          </c:tx>
          <c:spPr>
            <a:solidFill>
              <a:srgbClr val="D2D2D2"/>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Assets!$A$2:$A$9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Assets!$D$2:$D$9</c:f>
              <c:numCache>
                <c:formatCode>General</c:formatCode>
                <c:ptCount val="8"/>
              </c:numCache>
            </c:numRef>
          </c:val>
          <c:extLst>
            <c:ext xmlns:c16="http://schemas.microsoft.com/office/drawing/2014/chart" uri="{C3380CC4-5D6E-409C-BE32-E72D297353CC}">
              <c16:uniqueId val="{00000002-7D44-4F22-9226-05137E990DCC}"/>
            </c:ext>
          </c:extLst>
        </c:ser>
        <c:ser>
          <c:idx val="3"/>
          <c:order val="3"/>
          <c:tx>
            <c:strRef>
              <c:f>Assets!$E$1</c:f>
              <c:strCache>
                <c:ptCount val="1"/>
                <c:pt idx="0">
                  <c:v>$1M to $9.9M</c:v>
                </c:pt>
              </c:strCache>
            </c:strRef>
          </c:tx>
          <c:spPr>
            <a:solidFill>
              <a:srgbClr val="FDBF11"/>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Assets!$A$2:$A$9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Assets!$E$2:$E$9</c:f>
              <c:numCache>
                <c:formatCode>General</c:formatCode>
                <c:ptCount val="8"/>
              </c:numCache>
            </c:numRef>
          </c:val>
          <c:extLst>
            <c:ext xmlns:c16="http://schemas.microsoft.com/office/drawing/2014/chart" uri="{C3380CC4-5D6E-409C-BE32-E72D297353CC}">
              <c16:uniqueId val="{00000003-7D44-4F22-9226-05137E990DCC}"/>
            </c:ext>
          </c:extLst>
        </c:ser>
        <c:ser>
          <c:idx val="4"/>
          <c:order val="4"/>
          <c:tx>
            <c:strRef>
              <c:f>Assets!$F$1</c:f>
              <c:strCache>
                <c:ptCount val="1"/>
                <c:pt idx="0">
                  <c:v>$10M+</c:v>
                </c:pt>
              </c:strCache>
            </c:strRef>
          </c:tx>
          <c:spPr>
            <a:solidFill>
              <a:srgbClr val="EC008B"/>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Assets!$A$2:$A$9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Assets!$F$2:$F$9</c:f>
              <c:numCache>
                <c:formatCode>General</c:formatCode>
                <c:ptCount val="8"/>
              </c:numCache>
            </c:numRef>
          </c:val>
          <c:extLst>
            <c:ext xmlns:c16="http://schemas.microsoft.com/office/drawing/2014/chart" uri="{C3380CC4-5D6E-409C-BE32-E72D297353CC}">
              <c16:uniqueId val="{00000004-7D44-4F22-9226-05137E990DCC}"/>
            </c:ext>
          </c:extLst>
        </c:ser>
        <c:dLbls>
          <c:showLegendKey val="0"/>
          <c:showVal val="1"/>
          <c:showCatName val="0"/>
          <c:showSerName val="0"/>
          <c:showPercent val="0"/>
          <c:showBubbleSize val="0"/>
        </c:dLbls>
        <c:gapWidth val="50"/>
        <c:overlap val="100"/>
        <c:axId val="2078836720"/>
        <c:axId val="2078837680"/>
      </c:barChart>
      <c:catAx>
        <c:axId val="2078836720"/>
        <c:scaling>
          <c:orientation val="maxMin"/>
        </c:scaling>
        <c:delete val="0"/>
        <c:axPos val="l"/>
        <c:numFmt formatCode="General" sourceLinked="1"/>
        <c:majorTickMark val="out"/>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a:solidFill>
                  <a:schemeClr val="tx1"/>
                </a:solidFill>
                <a:latin typeface="Lato" panose="020F0502020204030203" pitchFamily="34" charset="0"/>
                <a:ea typeface="+mn-ea"/>
                <a:cs typeface="+mn-cs"/>
              </a:defRPr>
            </a:pPr>
            <a:endParaRPr lang="en-US"/>
          </a:p>
        </c:txPr>
        <c:crossAx val="2078837680"/>
        <c:crosses val="autoZero"/>
        <c:auto val="1"/>
        <c:lblAlgn val="ctr"/>
        <c:lblOffset val="100"/>
        <c:noMultiLvlLbl val="0"/>
      </c:catAx>
      <c:valAx>
        <c:axId val="2078837680"/>
        <c:scaling>
          <c:orientation val="minMax"/>
          <c:max val="1"/>
        </c:scaling>
        <c:delete val="1"/>
        <c:axPos val="t"/>
        <c:numFmt formatCode="0%" sourceLinked="1"/>
        <c:majorTickMark val="out"/>
        <c:minorTickMark val="none"/>
        <c:tickLblPos val="nextTo"/>
        <c:crossAx val="2078836720"/>
        <c:crosses val="autoZero"/>
        <c:crossBetween val="between"/>
      </c:valAx>
    </c:plotArea>
    <c:legend>
      <c:legendPos val="t"/>
      <c:overlay val="0"/>
    </c:legend>
    <c:plotVisOnly val="1"/>
    <c:dispBlanksAs val="gap"/>
    <c:showDLblsOverMax val="0"/>
    <c:extLst/>
  </c:chart>
  <c:spPr>
    <a:solidFill>
      <a:srgbClr val="FFFFFF"/>
    </a:solidFill>
    <a:ln w="9525" cap="flat" cmpd="sng" algn="ctr">
      <a:noFill/>
      <a:round/>
    </a:ln>
    <a:effectLst/>
  </c:spPr>
  <c:txPr>
    <a:bodyPr/>
    <a:lstStyle/>
    <a:p>
      <a:pPr>
        <a:defRPr sz="850">
          <a:solidFill>
            <a:sysClr val="windowText" lastClr="000000"/>
          </a:solidFill>
          <a:latin typeface="Lato" panose="020F0502020204030203" pitchFamily="34"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893323738032989"/>
          <c:y val="0.1138408120671663"/>
          <c:w val="0.80167448198775837"/>
          <c:h val="0.85929570249501941"/>
        </c:manualLayout>
      </c:layout>
      <c:barChart>
        <c:barDir val="bar"/>
        <c:grouping val="percentStacked"/>
        <c:varyColors val="0"/>
        <c:ser>
          <c:idx val="0"/>
          <c:order val="0"/>
          <c:tx>
            <c:strRef>
              <c:f>Liabilities!$B$1</c:f>
              <c:strCache>
                <c:ptCount val="1"/>
                <c:pt idx="0">
                  <c:v>Less than $100K</c:v>
                </c:pt>
              </c:strCache>
            </c:strRef>
          </c:tx>
          <c:spPr>
            <a:solidFill>
              <a:schemeClr val="accent4"/>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Liabilities!$A$2:$A$9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Liabilities!$B$2:$B$9</c:f>
              <c:numCache>
                <c:formatCode>General</c:formatCode>
                <c:ptCount val="8"/>
              </c:numCache>
            </c:numRef>
          </c:val>
          <c:extLst>
            <c:ext xmlns:c16="http://schemas.microsoft.com/office/drawing/2014/chart" uri="{C3380CC4-5D6E-409C-BE32-E72D297353CC}">
              <c16:uniqueId val="{00000000-271A-4699-80A6-6D5528214CE3}"/>
            </c:ext>
          </c:extLst>
        </c:ser>
        <c:ser>
          <c:idx val="1"/>
          <c:order val="1"/>
          <c:tx>
            <c:strRef>
              <c:f>Liabilities!$C$1</c:f>
              <c:strCache>
                <c:ptCount val="1"/>
                <c:pt idx="0">
                  <c:v>$100K to $499K</c:v>
                </c:pt>
              </c:strCache>
            </c:strRef>
          </c:tx>
          <c:spPr>
            <a:solidFill>
              <a:srgbClr val="000000"/>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Liabilities!$A$2:$A$9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Liabilities!$C$2:$C$9</c:f>
              <c:numCache>
                <c:formatCode>General</c:formatCode>
                <c:ptCount val="8"/>
              </c:numCache>
            </c:numRef>
          </c:val>
          <c:extLst>
            <c:ext xmlns:c16="http://schemas.microsoft.com/office/drawing/2014/chart" uri="{C3380CC4-5D6E-409C-BE32-E72D297353CC}">
              <c16:uniqueId val="{00000001-271A-4699-80A6-6D5528214CE3}"/>
            </c:ext>
          </c:extLst>
        </c:ser>
        <c:ser>
          <c:idx val="2"/>
          <c:order val="2"/>
          <c:tx>
            <c:strRef>
              <c:f>Liabilities!$D$1</c:f>
              <c:strCache>
                <c:ptCount val="1"/>
                <c:pt idx="0">
                  <c:v>$500K to $999K</c:v>
                </c:pt>
              </c:strCache>
            </c:strRef>
          </c:tx>
          <c:spPr>
            <a:solidFill>
              <a:srgbClr val="D2D2D2"/>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Liabilities!$A$2:$A$9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Liabilities!$D$2:$D$9</c:f>
              <c:numCache>
                <c:formatCode>General</c:formatCode>
                <c:ptCount val="8"/>
              </c:numCache>
            </c:numRef>
          </c:val>
          <c:extLst>
            <c:ext xmlns:c16="http://schemas.microsoft.com/office/drawing/2014/chart" uri="{C3380CC4-5D6E-409C-BE32-E72D297353CC}">
              <c16:uniqueId val="{00000002-271A-4699-80A6-6D5528214CE3}"/>
            </c:ext>
          </c:extLst>
        </c:ser>
        <c:ser>
          <c:idx val="3"/>
          <c:order val="3"/>
          <c:tx>
            <c:strRef>
              <c:f>Liabilities!$E$1</c:f>
              <c:strCache>
                <c:ptCount val="1"/>
                <c:pt idx="0">
                  <c:v>$1M to $9.9M</c:v>
                </c:pt>
              </c:strCache>
            </c:strRef>
          </c:tx>
          <c:spPr>
            <a:solidFill>
              <a:srgbClr val="FDBF11"/>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Liabilities!$A$2:$A$9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Liabilities!$E$2:$E$9</c:f>
              <c:numCache>
                <c:formatCode>General</c:formatCode>
                <c:ptCount val="8"/>
              </c:numCache>
            </c:numRef>
          </c:val>
          <c:extLst>
            <c:ext xmlns:c16="http://schemas.microsoft.com/office/drawing/2014/chart" uri="{C3380CC4-5D6E-409C-BE32-E72D297353CC}">
              <c16:uniqueId val="{00000003-271A-4699-80A6-6D5528214CE3}"/>
            </c:ext>
          </c:extLst>
        </c:ser>
        <c:ser>
          <c:idx val="4"/>
          <c:order val="4"/>
          <c:tx>
            <c:strRef>
              <c:f>Liabilities!$F$1</c:f>
              <c:strCache>
                <c:ptCount val="1"/>
                <c:pt idx="0">
                  <c:v>$10M+</c:v>
                </c:pt>
              </c:strCache>
            </c:strRef>
          </c:tx>
          <c:spPr>
            <a:solidFill>
              <a:srgbClr val="EC008B"/>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Liabilities!$A$2:$A$9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Liabilities!$F$2:$F$9</c:f>
              <c:numCache>
                <c:formatCode>General</c:formatCode>
                <c:ptCount val="8"/>
              </c:numCache>
            </c:numRef>
          </c:val>
          <c:extLst>
            <c:ext xmlns:c16="http://schemas.microsoft.com/office/drawing/2014/chart" uri="{C3380CC4-5D6E-409C-BE32-E72D297353CC}">
              <c16:uniqueId val="{00000004-271A-4699-80A6-6D5528214CE3}"/>
            </c:ext>
          </c:extLst>
        </c:ser>
        <c:dLbls>
          <c:showLegendKey val="0"/>
          <c:showVal val="1"/>
          <c:showCatName val="0"/>
          <c:showSerName val="0"/>
          <c:showPercent val="0"/>
          <c:showBubbleSize val="0"/>
        </c:dLbls>
        <c:gapWidth val="50"/>
        <c:overlap val="100"/>
        <c:axId val="2078836720"/>
        <c:axId val="2078837680"/>
      </c:barChart>
      <c:catAx>
        <c:axId val="2078836720"/>
        <c:scaling>
          <c:orientation val="maxMin"/>
        </c:scaling>
        <c:delete val="0"/>
        <c:axPos val="l"/>
        <c:numFmt formatCode="General" sourceLinked="1"/>
        <c:majorTickMark val="out"/>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a:solidFill>
                  <a:schemeClr val="tx1"/>
                </a:solidFill>
                <a:latin typeface="Lato" panose="020F0502020204030203" pitchFamily="34" charset="0"/>
                <a:ea typeface="+mn-ea"/>
                <a:cs typeface="+mn-cs"/>
              </a:defRPr>
            </a:pPr>
            <a:endParaRPr lang="en-US"/>
          </a:p>
        </c:txPr>
        <c:crossAx val="2078837680"/>
        <c:crosses val="autoZero"/>
        <c:auto val="1"/>
        <c:lblAlgn val="ctr"/>
        <c:lblOffset val="100"/>
        <c:noMultiLvlLbl val="0"/>
      </c:catAx>
      <c:valAx>
        <c:axId val="2078837680"/>
        <c:scaling>
          <c:orientation val="minMax"/>
          <c:max val="1"/>
        </c:scaling>
        <c:delete val="1"/>
        <c:axPos val="t"/>
        <c:numFmt formatCode="0%" sourceLinked="1"/>
        <c:majorTickMark val="out"/>
        <c:minorTickMark val="none"/>
        <c:tickLblPos val="nextTo"/>
        <c:crossAx val="2078836720"/>
        <c:crosses val="autoZero"/>
        <c:crossBetween val="between"/>
      </c:valAx>
    </c:plotArea>
    <c:legend>
      <c:legendPos val="t"/>
      <c:overlay val="0"/>
    </c:legend>
    <c:plotVisOnly val="1"/>
    <c:dispBlanksAs val="gap"/>
    <c:showDLblsOverMax val="0"/>
    <c:extLst/>
  </c:chart>
  <c:spPr>
    <a:solidFill>
      <a:srgbClr val="FFFFFF"/>
    </a:solidFill>
    <a:ln w="9525" cap="flat" cmpd="sng" algn="ctr">
      <a:noFill/>
      <a:round/>
    </a:ln>
    <a:effectLst/>
  </c:spPr>
  <c:txPr>
    <a:bodyPr/>
    <a:lstStyle/>
    <a:p>
      <a:pPr>
        <a:defRPr sz="850">
          <a:solidFill>
            <a:sysClr val="windowText" lastClr="000000"/>
          </a:solidFill>
          <a:latin typeface="Lato" panose="020F0502020204030203" pitchFamily="34"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893323738032989"/>
          <c:y val="0.1138408120671663"/>
          <c:w val="0.80167448198775837"/>
          <c:h val="0.85929570249501941"/>
        </c:manualLayout>
      </c:layout>
      <c:barChart>
        <c:barDir val="bar"/>
        <c:grouping val="percentStacked"/>
        <c:varyColors val="0"/>
        <c:ser>
          <c:idx val="0"/>
          <c:order val="0"/>
          <c:tx>
            <c:strRef>
              <c:f>Employees!$B$1</c:f>
              <c:strCache>
                <c:ptCount val="1"/>
                <c:pt idx="0">
                  <c:v>0</c:v>
                </c:pt>
              </c:strCache>
            </c:strRef>
          </c:tx>
          <c:spPr>
            <a:solidFill>
              <a:schemeClr val="accent4"/>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Employees!$A$2:$A$9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Employees!$B$2:$B$9</c:f>
              <c:numCache>
                <c:formatCode>General</c:formatCode>
                <c:ptCount val="8"/>
              </c:numCache>
            </c:numRef>
          </c:val>
          <c:extLst>
            <c:ext xmlns:c16="http://schemas.microsoft.com/office/drawing/2014/chart" uri="{C3380CC4-5D6E-409C-BE32-E72D297353CC}">
              <c16:uniqueId val="{00000000-9B5E-4FB7-A1D4-FE584D24AEC1}"/>
            </c:ext>
          </c:extLst>
        </c:ser>
        <c:ser>
          <c:idx val="1"/>
          <c:order val="1"/>
          <c:tx>
            <c:strRef>
              <c:f>Employees!$C$1</c:f>
              <c:strCache>
                <c:ptCount val="1"/>
                <c:pt idx="0">
                  <c:v>1</c:v>
                </c:pt>
              </c:strCache>
            </c:strRef>
          </c:tx>
          <c:spPr>
            <a:solidFill>
              <a:srgbClr val="000000"/>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Employees!$A$2:$A$9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Employees!$C$2:$C$9</c:f>
              <c:numCache>
                <c:formatCode>General</c:formatCode>
                <c:ptCount val="8"/>
              </c:numCache>
            </c:numRef>
          </c:val>
          <c:extLst>
            <c:ext xmlns:c16="http://schemas.microsoft.com/office/drawing/2014/chart" uri="{C3380CC4-5D6E-409C-BE32-E72D297353CC}">
              <c16:uniqueId val="{00000001-9B5E-4FB7-A1D4-FE584D24AEC1}"/>
            </c:ext>
          </c:extLst>
        </c:ser>
        <c:ser>
          <c:idx val="2"/>
          <c:order val="2"/>
          <c:tx>
            <c:strRef>
              <c:f>Employees!$D$1</c:f>
              <c:strCache>
                <c:ptCount val="1"/>
                <c:pt idx="0">
                  <c:v>2-9</c:v>
                </c:pt>
              </c:strCache>
            </c:strRef>
          </c:tx>
          <c:spPr>
            <a:solidFill>
              <a:srgbClr val="D2D2D2"/>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Employees!$A$2:$A$9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Employees!$D$2:$D$9</c:f>
              <c:numCache>
                <c:formatCode>General</c:formatCode>
                <c:ptCount val="8"/>
              </c:numCache>
            </c:numRef>
          </c:val>
          <c:extLst>
            <c:ext xmlns:c16="http://schemas.microsoft.com/office/drawing/2014/chart" uri="{C3380CC4-5D6E-409C-BE32-E72D297353CC}">
              <c16:uniqueId val="{00000002-9B5E-4FB7-A1D4-FE584D24AEC1}"/>
            </c:ext>
          </c:extLst>
        </c:ser>
        <c:ser>
          <c:idx val="3"/>
          <c:order val="3"/>
          <c:tx>
            <c:strRef>
              <c:f>Employees!$E$1</c:f>
              <c:strCache>
                <c:ptCount val="1"/>
                <c:pt idx="0">
                  <c:v>10-19</c:v>
                </c:pt>
              </c:strCache>
            </c:strRef>
          </c:tx>
          <c:spPr>
            <a:solidFill>
              <a:srgbClr val="FDBF11"/>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Employees!$A$2:$A$9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Employees!$E$2:$E$9</c:f>
              <c:numCache>
                <c:formatCode>General</c:formatCode>
                <c:ptCount val="8"/>
              </c:numCache>
            </c:numRef>
          </c:val>
          <c:extLst>
            <c:ext xmlns:c16="http://schemas.microsoft.com/office/drawing/2014/chart" uri="{C3380CC4-5D6E-409C-BE32-E72D297353CC}">
              <c16:uniqueId val="{00000003-9B5E-4FB7-A1D4-FE584D24AEC1}"/>
            </c:ext>
          </c:extLst>
        </c:ser>
        <c:ser>
          <c:idx val="4"/>
          <c:order val="4"/>
          <c:tx>
            <c:strRef>
              <c:f>Employees!$F$1</c:f>
              <c:strCache>
                <c:ptCount val="1"/>
                <c:pt idx="0">
                  <c:v>20-49</c:v>
                </c:pt>
              </c:strCache>
            </c:strRef>
          </c:tx>
          <c:spPr>
            <a:solidFill>
              <a:srgbClr val="55B748"/>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Employees!$A$2:$A$9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Employees!$F$2:$F$9</c:f>
              <c:numCache>
                <c:formatCode>General</c:formatCode>
                <c:ptCount val="8"/>
              </c:numCache>
            </c:numRef>
          </c:val>
          <c:extLst>
            <c:ext xmlns:c16="http://schemas.microsoft.com/office/drawing/2014/chart" uri="{C3380CC4-5D6E-409C-BE32-E72D297353CC}">
              <c16:uniqueId val="{00000004-9B5E-4FB7-A1D4-FE584D24AEC1}"/>
            </c:ext>
          </c:extLst>
        </c:ser>
        <c:ser>
          <c:idx val="5"/>
          <c:order val="5"/>
          <c:tx>
            <c:strRef>
              <c:f>Employees!$G$1</c:f>
              <c:strCache>
                <c:ptCount val="1"/>
                <c:pt idx="0">
                  <c:v>50+</c:v>
                </c:pt>
              </c:strCache>
            </c:strRef>
          </c:tx>
          <c:spPr>
            <a:solidFill>
              <a:srgbClr val="EC008B"/>
            </a:solidFill>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Employees!$A$2:$A$9</c:f>
              <c:strCache>
                <c:ptCount val="8"/>
                <c:pt idx="0">
                  <c:v>Southeast Michigan</c:v>
                </c:pt>
                <c:pt idx="1">
                  <c:v>Livingston</c:v>
                </c:pt>
                <c:pt idx="2">
                  <c:v>Macomb</c:v>
                </c:pt>
                <c:pt idx="3">
                  <c:v>Monroe</c:v>
                </c:pt>
                <c:pt idx="4">
                  <c:v>Oakland</c:v>
                </c:pt>
                <c:pt idx="5">
                  <c:v>St. Clair</c:v>
                </c:pt>
                <c:pt idx="6">
                  <c:v>Washtenaw</c:v>
                </c:pt>
                <c:pt idx="7">
                  <c:v>Wayne</c:v>
                </c:pt>
              </c:strCache>
            </c:strRef>
          </c:cat>
          <c:val>
            <c:numRef>
              <c:f>Employees!$G$2:$G$9</c:f>
              <c:numCache>
                <c:formatCode>General</c:formatCode>
                <c:ptCount val="8"/>
              </c:numCache>
            </c:numRef>
          </c:val>
          <c:extLst>
            <c:ext xmlns:c16="http://schemas.microsoft.com/office/drawing/2014/chart" uri="{C3380CC4-5D6E-409C-BE32-E72D297353CC}">
              <c16:uniqueId val="{00000005-9B5E-4FB7-A1D4-FE584D24AEC1}"/>
            </c:ext>
          </c:extLst>
        </c:ser>
        <c:dLbls>
          <c:showLegendKey val="0"/>
          <c:showVal val="1"/>
          <c:showCatName val="0"/>
          <c:showSerName val="0"/>
          <c:showPercent val="0"/>
          <c:showBubbleSize val="0"/>
        </c:dLbls>
        <c:gapWidth val="50"/>
        <c:overlap val="100"/>
        <c:axId val="2078836720"/>
        <c:axId val="2078837680"/>
      </c:barChart>
      <c:catAx>
        <c:axId val="2078836720"/>
        <c:scaling>
          <c:orientation val="maxMin"/>
        </c:scaling>
        <c:delete val="0"/>
        <c:axPos val="l"/>
        <c:numFmt formatCode="General" sourceLinked="1"/>
        <c:majorTickMark val="out"/>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a:solidFill>
                  <a:schemeClr val="tx1"/>
                </a:solidFill>
                <a:latin typeface="Lato" panose="020F0502020204030203" pitchFamily="34" charset="0"/>
                <a:ea typeface="+mn-ea"/>
                <a:cs typeface="+mn-cs"/>
              </a:defRPr>
            </a:pPr>
            <a:endParaRPr lang="en-US"/>
          </a:p>
        </c:txPr>
        <c:crossAx val="2078837680"/>
        <c:crosses val="autoZero"/>
        <c:auto val="1"/>
        <c:lblAlgn val="ctr"/>
        <c:lblOffset val="100"/>
        <c:noMultiLvlLbl val="0"/>
      </c:catAx>
      <c:valAx>
        <c:axId val="2078837680"/>
        <c:scaling>
          <c:orientation val="minMax"/>
          <c:max val="1"/>
        </c:scaling>
        <c:delete val="1"/>
        <c:axPos val="t"/>
        <c:numFmt formatCode="0%" sourceLinked="1"/>
        <c:majorTickMark val="out"/>
        <c:minorTickMark val="none"/>
        <c:tickLblPos val="nextTo"/>
        <c:crossAx val="2078836720"/>
        <c:crosses val="autoZero"/>
        <c:crossBetween val="between"/>
      </c:valAx>
    </c:plotArea>
    <c:legend>
      <c:legendPos val="t"/>
      <c:overlay val="0"/>
    </c:legend>
    <c:plotVisOnly val="1"/>
    <c:dispBlanksAs val="gap"/>
    <c:showDLblsOverMax val="0"/>
    <c:extLst/>
  </c:chart>
  <c:spPr>
    <a:solidFill>
      <a:srgbClr val="FFFFFF"/>
    </a:solidFill>
    <a:ln w="9525" cap="flat" cmpd="sng" algn="ctr">
      <a:noFill/>
      <a:round/>
    </a:ln>
    <a:effectLst/>
  </c:spPr>
  <c:txPr>
    <a:bodyPr/>
    <a:lstStyle/>
    <a:p>
      <a:pPr>
        <a:defRPr sz="850">
          <a:solidFill>
            <a:sysClr val="windowText" lastClr="000000"/>
          </a:solidFill>
          <a:latin typeface="Lato" panose="020F0502020204030203" pitchFamily="34" charset="0"/>
        </a:defRPr>
      </a:pPr>
      <a:endParaRPr lang="en-US"/>
    </a:p>
  </c:txPr>
  <c:externalData r:id="rId2">
    <c:autoUpdate val="0"/>
  </c:externalData>
</c:chartSpace>
</file>

<file path=word/theme/theme1.xml><?xml version="1.0" encoding="utf-8"?>
<a:theme xmlns:a="http://schemas.openxmlformats.org/drawingml/2006/main" name="Urban2025">
  <a:themeElements>
    <a:clrScheme name="Urban2025b">
      <a:dk1>
        <a:srgbClr val="000000"/>
      </a:dk1>
      <a:lt1>
        <a:srgbClr val="FFFFFF"/>
      </a:lt1>
      <a:dk2>
        <a:srgbClr val="0A4C6A"/>
      </a:dk2>
      <a:lt2>
        <a:srgbClr val="062635"/>
      </a:lt2>
      <a:accent1>
        <a:srgbClr val="1696D2"/>
      </a:accent1>
      <a:accent2>
        <a:srgbClr val="D2D2D2"/>
      </a:accent2>
      <a:accent3>
        <a:srgbClr val="FDBF11"/>
      </a:accent3>
      <a:accent4>
        <a:srgbClr val="EC008B"/>
      </a:accent4>
      <a:accent5>
        <a:srgbClr val="55B748"/>
      </a:accent5>
      <a:accent6>
        <a:srgbClr val="DB2B27"/>
      </a:accent6>
      <a:hlink>
        <a:srgbClr val="0A4C6A"/>
      </a:hlink>
      <a:folHlink>
        <a:srgbClr val="0A4C6A"/>
      </a:folHlink>
    </a:clrScheme>
    <a:fontScheme name="Custom 2">
      <a:majorFont>
        <a:latin typeface="Lato Bold"/>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4F7AA-16C3-4279-8934-84DF05DD7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 Look at 501(c)(3) Public Charities in Southeast Michigan</Template>
  <TotalTime>112</TotalTime>
  <Pages>7</Pages>
  <Words>1415</Words>
  <Characters>8071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Hannah</dc:creator>
  <cp:keywords/>
  <dc:description>v2026.1.0</dc:description>
  <cp:lastModifiedBy>Martin, Hannah</cp:lastModifiedBy>
  <cp:revision>62</cp:revision>
  <cp:lastPrinted>2025-05-20T22:00:00Z</cp:lastPrinted>
  <dcterms:created xsi:type="dcterms:W3CDTF">2026-10-02T17:30:00Z</dcterms:created>
  <dcterms:modified xsi:type="dcterms:W3CDTF">2026-10-20T20:11:00Z</dcterms:modified>
</cp:coreProperties>
</file>