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D30" w:rsidRPr="00A06D30" w:rsidRDefault="00993D7D" w:rsidP="0000476A">
      <w:pPr>
        <w:pStyle w:val="Title"/>
        <w:rPr>
          <w:rFonts w:eastAsia="Times New Roman"/>
        </w:rPr>
      </w:pPr>
      <w:r>
        <w:rPr>
          <w:rFonts w:eastAsia="Times New Roman"/>
        </w:rPr>
        <w:t xml:space="preserve">Rents burden </w:t>
      </w:r>
      <w:r w:rsidR="00D1022F">
        <w:rPr>
          <w:rFonts w:eastAsia="Times New Roman"/>
        </w:rPr>
        <w:t xml:space="preserve">high </w:t>
      </w:r>
      <w:r>
        <w:rPr>
          <w:rFonts w:eastAsia="Times New Roman"/>
        </w:rPr>
        <w:t>in low- and high-cost metros alike</w:t>
      </w:r>
    </w:p>
    <w:p w:rsidR="00A06D30" w:rsidRDefault="00A06D30" w:rsidP="004F0AC0">
      <w:pPr>
        <w:spacing w:after="0" w:line="240" w:lineRule="auto"/>
        <w:rPr>
          <w:rFonts w:ascii="Arial" w:eastAsia="Times New Roman" w:hAnsi="Arial" w:cs="Arial"/>
          <w:color w:val="000000"/>
          <w:sz w:val="24"/>
          <w:szCs w:val="24"/>
        </w:rPr>
      </w:pPr>
    </w:p>
    <w:p w:rsidR="00197FB0" w:rsidRDefault="004F0AC0" w:rsidP="004F0AC0">
      <w:pPr>
        <w:spacing w:after="0" w:line="240" w:lineRule="auto"/>
        <w:rPr>
          <w:rFonts w:ascii="Arial" w:eastAsia="Times New Roman" w:hAnsi="Arial" w:cs="Arial"/>
          <w:color w:val="000000"/>
          <w:sz w:val="24"/>
          <w:szCs w:val="24"/>
        </w:rPr>
      </w:pPr>
      <w:r w:rsidRPr="004F0AC0">
        <w:rPr>
          <w:rFonts w:ascii="Arial" w:eastAsia="Times New Roman" w:hAnsi="Arial" w:cs="Arial"/>
          <w:color w:val="000000"/>
          <w:sz w:val="24"/>
          <w:szCs w:val="24"/>
        </w:rPr>
        <w:t xml:space="preserve">Housing, a cost that nearly every American family has to bear, has become prohibitively expensive for </w:t>
      </w:r>
      <w:r w:rsidR="004B2F95">
        <w:rPr>
          <w:rFonts w:ascii="Arial" w:eastAsia="Times New Roman" w:hAnsi="Arial" w:cs="Arial"/>
          <w:color w:val="000000"/>
          <w:sz w:val="24"/>
          <w:szCs w:val="24"/>
        </w:rPr>
        <w:t>much</w:t>
      </w:r>
      <w:r w:rsidRPr="004F0AC0">
        <w:rPr>
          <w:rFonts w:ascii="Arial" w:eastAsia="Times New Roman" w:hAnsi="Arial" w:cs="Arial"/>
          <w:color w:val="000000"/>
          <w:sz w:val="24"/>
          <w:szCs w:val="24"/>
        </w:rPr>
        <w:t xml:space="preserve"> of the population.</w:t>
      </w:r>
      <w:r w:rsidR="00F615B1">
        <w:rPr>
          <w:rFonts w:ascii="Arial" w:eastAsia="Times New Roman" w:hAnsi="Arial" w:cs="Arial"/>
          <w:color w:val="000000"/>
          <w:sz w:val="24"/>
          <w:szCs w:val="24"/>
        </w:rPr>
        <w:t xml:space="preserve"> </w:t>
      </w:r>
      <w:r w:rsidR="00197FB0" w:rsidRPr="004F0AC0">
        <w:rPr>
          <w:rFonts w:ascii="Arial" w:eastAsia="Times New Roman" w:hAnsi="Arial" w:cs="Arial"/>
          <w:color w:val="000000"/>
          <w:sz w:val="24"/>
          <w:szCs w:val="24"/>
        </w:rPr>
        <w:t xml:space="preserve">In </w:t>
      </w:r>
      <w:r w:rsidR="00197FB0">
        <w:rPr>
          <w:rFonts w:ascii="Arial" w:eastAsia="Times New Roman" w:hAnsi="Arial" w:cs="Arial"/>
          <w:color w:val="000000"/>
          <w:sz w:val="24"/>
          <w:szCs w:val="24"/>
        </w:rPr>
        <w:t>1990 and 2000, about a third</w:t>
      </w:r>
      <w:r w:rsidR="00197FB0" w:rsidRPr="004F0AC0">
        <w:rPr>
          <w:rFonts w:ascii="Arial" w:eastAsia="Times New Roman" w:hAnsi="Arial" w:cs="Arial"/>
          <w:color w:val="000000"/>
          <w:sz w:val="24"/>
          <w:szCs w:val="24"/>
        </w:rPr>
        <w:t xml:space="preserve"> of Ameri</w:t>
      </w:r>
      <w:r w:rsidR="00197FB0" w:rsidRPr="00A06D30">
        <w:rPr>
          <w:rFonts w:ascii="Arial" w:eastAsia="Times New Roman" w:hAnsi="Arial" w:cs="Arial"/>
          <w:color w:val="000000"/>
          <w:sz w:val="24"/>
          <w:szCs w:val="24"/>
        </w:rPr>
        <w:t xml:space="preserve">can </w:t>
      </w:r>
      <w:r w:rsidR="00197FB0">
        <w:rPr>
          <w:rFonts w:ascii="Arial" w:eastAsia="Times New Roman" w:hAnsi="Arial" w:cs="Arial"/>
          <w:color w:val="000000"/>
          <w:sz w:val="24"/>
          <w:szCs w:val="24"/>
        </w:rPr>
        <w:t>renters</w:t>
      </w:r>
      <w:r w:rsidR="00197FB0" w:rsidRPr="00A06D30">
        <w:rPr>
          <w:rFonts w:ascii="Arial" w:eastAsia="Times New Roman" w:hAnsi="Arial" w:cs="Arial"/>
          <w:color w:val="000000"/>
          <w:sz w:val="24"/>
          <w:szCs w:val="24"/>
        </w:rPr>
        <w:t xml:space="preserve"> were </w:t>
      </w:r>
      <w:r w:rsidR="00197FB0">
        <w:rPr>
          <w:rFonts w:ascii="Arial" w:eastAsia="Times New Roman" w:hAnsi="Arial" w:cs="Arial"/>
          <w:color w:val="000000"/>
          <w:sz w:val="24"/>
          <w:szCs w:val="24"/>
        </w:rPr>
        <w:t>cost</w:t>
      </w:r>
      <w:r w:rsidR="00197FB0" w:rsidRPr="00A06D30">
        <w:rPr>
          <w:rFonts w:ascii="Arial" w:eastAsia="Times New Roman" w:hAnsi="Arial" w:cs="Arial"/>
          <w:color w:val="000000"/>
          <w:sz w:val="24"/>
          <w:szCs w:val="24"/>
        </w:rPr>
        <w:t xml:space="preserve"> burdened</w:t>
      </w:r>
      <w:r w:rsidR="00197FB0">
        <w:rPr>
          <w:rFonts w:ascii="Arial" w:eastAsia="Times New Roman" w:hAnsi="Arial" w:cs="Arial"/>
          <w:color w:val="000000"/>
          <w:sz w:val="24"/>
          <w:szCs w:val="24"/>
        </w:rPr>
        <w:t>—defined here as paying more than 35 percent of their income on rent</w:t>
      </w:r>
      <w:r w:rsidR="00197FB0" w:rsidRPr="00A06D30">
        <w:rPr>
          <w:rFonts w:ascii="Arial" w:eastAsia="Times New Roman" w:hAnsi="Arial" w:cs="Arial"/>
          <w:color w:val="000000"/>
          <w:sz w:val="24"/>
          <w:szCs w:val="24"/>
        </w:rPr>
        <w:t xml:space="preserve">. </w:t>
      </w:r>
      <w:r w:rsidR="00197FB0">
        <w:rPr>
          <w:rFonts w:ascii="Arial" w:eastAsia="Times New Roman" w:hAnsi="Arial" w:cs="Arial"/>
          <w:color w:val="000000"/>
          <w:sz w:val="24"/>
          <w:szCs w:val="24"/>
        </w:rPr>
        <w:t>By</w:t>
      </w:r>
      <w:r w:rsidR="00197FB0" w:rsidRPr="004F0AC0">
        <w:rPr>
          <w:rFonts w:ascii="Arial" w:eastAsia="Times New Roman" w:hAnsi="Arial" w:cs="Arial"/>
          <w:color w:val="000000"/>
          <w:sz w:val="24"/>
          <w:szCs w:val="24"/>
        </w:rPr>
        <w:t xml:space="preserve"> 2010</w:t>
      </w:r>
      <w:r w:rsidR="00197FB0">
        <w:rPr>
          <w:rFonts w:ascii="Arial" w:eastAsia="Times New Roman" w:hAnsi="Arial" w:cs="Arial"/>
          <w:color w:val="000000"/>
          <w:sz w:val="24"/>
          <w:szCs w:val="24"/>
        </w:rPr>
        <w:t>,</w:t>
      </w:r>
      <w:r w:rsidR="00197FB0" w:rsidRPr="004F0AC0">
        <w:rPr>
          <w:rFonts w:ascii="Arial" w:eastAsia="Times New Roman" w:hAnsi="Arial" w:cs="Arial"/>
          <w:color w:val="000000"/>
          <w:sz w:val="24"/>
          <w:szCs w:val="24"/>
        </w:rPr>
        <w:t xml:space="preserve"> that </w:t>
      </w:r>
      <w:r w:rsidR="00197FB0">
        <w:rPr>
          <w:rFonts w:ascii="Arial" w:eastAsia="Times New Roman" w:hAnsi="Arial" w:cs="Arial"/>
          <w:color w:val="000000"/>
          <w:sz w:val="24"/>
          <w:szCs w:val="24"/>
        </w:rPr>
        <w:t>share</w:t>
      </w:r>
      <w:r w:rsidR="00197FB0" w:rsidRPr="004F0AC0">
        <w:rPr>
          <w:rFonts w:ascii="Arial" w:eastAsia="Times New Roman" w:hAnsi="Arial" w:cs="Arial"/>
          <w:color w:val="000000"/>
          <w:sz w:val="24"/>
          <w:szCs w:val="24"/>
        </w:rPr>
        <w:t xml:space="preserve"> had </w:t>
      </w:r>
      <w:r w:rsidR="00197FB0" w:rsidRPr="00A06D30">
        <w:rPr>
          <w:rFonts w:ascii="Arial" w:eastAsia="Times New Roman" w:hAnsi="Arial" w:cs="Arial"/>
          <w:color w:val="000000"/>
          <w:sz w:val="24"/>
          <w:szCs w:val="24"/>
        </w:rPr>
        <w:t>jumped</w:t>
      </w:r>
      <w:r w:rsidR="00197FB0">
        <w:rPr>
          <w:rFonts w:ascii="Arial" w:eastAsia="Times New Roman" w:hAnsi="Arial" w:cs="Arial"/>
          <w:color w:val="000000"/>
          <w:sz w:val="24"/>
          <w:szCs w:val="24"/>
        </w:rPr>
        <w:t xml:space="preserve"> to 44 percent nationwide and was even higher in some places.</w:t>
      </w:r>
    </w:p>
    <w:p w:rsidR="00197FB0" w:rsidRDefault="00197FB0" w:rsidP="004F0AC0">
      <w:pPr>
        <w:spacing w:after="0" w:line="240" w:lineRule="auto"/>
        <w:rPr>
          <w:rFonts w:ascii="Arial" w:eastAsia="Times New Roman" w:hAnsi="Arial" w:cs="Arial"/>
          <w:color w:val="000000"/>
          <w:sz w:val="24"/>
          <w:szCs w:val="24"/>
        </w:rPr>
      </w:pPr>
    </w:p>
    <w:p w:rsidR="00024DB5" w:rsidRPr="004F0AC0" w:rsidRDefault="00024DB5" w:rsidP="00024DB5">
      <w:pPr>
        <w:spacing w:after="0" w:line="240" w:lineRule="auto"/>
        <w:rPr>
          <w:rFonts w:ascii="Arial" w:eastAsia="Times New Roman" w:hAnsi="Arial" w:cs="Arial"/>
          <w:sz w:val="24"/>
          <w:szCs w:val="24"/>
        </w:rPr>
      </w:pPr>
      <w:r w:rsidRPr="004F0AC0">
        <w:rPr>
          <w:rFonts w:ascii="Arial" w:eastAsia="Times New Roman" w:hAnsi="Arial" w:cs="Arial"/>
          <w:color w:val="000000"/>
          <w:sz w:val="24"/>
          <w:szCs w:val="24"/>
        </w:rPr>
        <w:t xml:space="preserve">New analysis of </w:t>
      </w:r>
      <w:r w:rsidR="00F615B1">
        <w:rPr>
          <w:rFonts w:ascii="Arial" w:eastAsia="Times New Roman" w:hAnsi="Arial" w:cs="Arial"/>
          <w:color w:val="000000"/>
          <w:sz w:val="24"/>
          <w:szCs w:val="24"/>
        </w:rPr>
        <w:t xml:space="preserve">data from the </w:t>
      </w:r>
      <w:r w:rsidRPr="004F0AC0">
        <w:rPr>
          <w:rFonts w:ascii="Arial" w:eastAsia="Times New Roman" w:hAnsi="Arial" w:cs="Arial"/>
          <w:color w:val="000000"/>
          <w:sz w:val="24"/>
          <w:szCs w:val="24"/>
        </w:rPr>
        <w:t>Neighborhood Change Database shows how widespread rent cost burden</w:t>
      </w:r>
      <w:r w:rsidR="00123C4C">
        <w:rPr>
          <w:rFonts w:ascii="Arial" w:eastAsia="Times New Roman" w:hAnsi="Arial" w:cs="Arial"/>
          <w:color w:val="000000"/>
          <w:sz w:val="24"/>
          <w:szCs w:val="24"/>
        </w:rPr>
        <w:t>s have</w:t>
      </w:r>
      <w:r w:rsidRPr="004F0AC0">
        <w:rPr>
          <w:rFonts w:ascii="Arial" w:eastAsia="Times New Roman" w:hAnsi="Arial" w:cs="Arial"/>
          <w:color w:val="000000"/>
          <w:sz w:val="24"/>
          <w:szCs w:val="24"/>
        </w:rPr>
        <w:t xml:space="preserve"> become</w:t>
      </w:r>
      <w:r w:rsidR="00F615B1">
        <w:rPr>
          <w:rFonts w:ascii="Arial" w:eastAsia="Times New Roman" w:hAnsi="Arial" w:cs="Arial"/>
          <w:color w:val="000000"/>
          <w:sz w:val="24"/>
          <w:szCs w:val="24"/>
        </w:rPr>
        <w:t xml:space="preserve">, increasing in poorer cities and high-cost metros alike. </w:t>
      </w:r>
      <w:r w:rsidRPr="004F0AC0">
        <w:rPr>
          <w:rFonts w:ascii="Arial" w:eastAsia="Times New Roman" w:hAnsi="Arial" w:cs="Arial"/>
          <w:color w:val="000000"/>
          <w:sz w:val="24"/>
          <w:szCs w:val="24"/>
        </w:rPr>
        <w:t xml:space="preserve"> </w:t>
      </w:r>
    </w:p>
    <w:p w:rsidR="00024DB5" w:rsidRDefault="00024DB5" w:rsidP="00024DB5">
      <w:pPr>
        <w:spacing w:after="0" w:line="240" w:lineRule="auto"/>
        <w:rPr>
          <w:rFonts w:ascii="Arial" w:eastAsia="Times New Roman" w:hAnsi="Arial" w:cs="Arial"/>
          <w:color w:val="000000"/>
          <w:sz w:val="24"/>
          <w:szCs w:val="24"/>
        </w:rPr>
      </w:pPr>
    </w:p>
    <w:p w:rsidR="005A4C80" w:rsidRDefault="00024DB5" w:rsidP="005A4C80">
      <w:pPr>
        <w:spacing w:after="0" w:line="240" w:lineRule="auto"/>
        <w:rPr>
          <w:rFonts w:ascii="Arial" w:eastAsia="Times New Roman" w:hAnsi="Arial" w:cs="Arial"/>
          <w:color w:val="000000"/>
          <w:sz w:val="24"/>
          <w:szCs w:val="24"/>
        </w:rPr>
      </w:pPr>
      <w:r w:rsidRPr="004F0AC0">
        <w:rPr>
          <w:rFonts w:ascii="Arial" w:eastAsia="Times New Roman" w:hAnsi="Arial" w:cs="Arial"/>
          <w:color w:val="000000"/>
          <w:sz w:val="24"/>
          <w:szCs w:val="24"/>
        </w:rPr>
        <w:t>While home</w:t>
      </w:r>
      <w:r w:rsidR="0041704F">
        <w:rPr>
          <w:rFonts w:ascii="Arial" w:eastAsia="Times New Roman" w:hAnsi="Arial" w:cs="Arial"/>
          <w:color w:val="000000"/>
          <w:sz w:val="24"/>
          <w:szCs w:val="24"/>
        </w:rPr>
        <w:t xml:space="preserve">owners </w:t>
      </w:r>
      <w:r w:rsidRPr="004F0AC0">
        <w:rPr>
          <w:rFonts w:ascii="Arial" w:eastAsia="Times New Roman" w:hAnsi="Arial" w:cs="Arial"/>
          <w:color w:val="000000"/>
          <w:sz w:val="24"/>
          <w:szCs w:val="24"/>
        </w:rPr>
        <w:t>build equity</w:t>
      </w:r>
      <w:r>
        <w:rPr>
          <w:rFonts w:ascii="Arial" w:eastAsia="Times New Roman" w:hAnsi="Arial" w:cs="Arial"/>
          <w:color w:val="000000"/>
          <w:sz w:val="24"/>
          <w:szCs w:val="24"/>
        </w:rPr>
        <w:t xml:space="preserve"> </w:t>
      </w:r>
      <w:r w:rsidR="0041704F">
        <w:rPr>
          <w:rFonts w:ascii="Arial" w:eastAsia="Times New Roman" w:hAnsi="Arial" w:cs="Arial"/>
          <w:color w:val="000000"/>
          <w:sz w:val="24"/>
          <w:szCs w:val="24"/>
        </w:rPr>
        <w:t>when housing prices rise</w:t>
      </w:r>
      <w:r w:rsidRPr="004F0AC0">
        <w:rPr>
          <w:rFonts w:ascii="Arial" w:eastAsia="Times New Roman" w:hAnsi="Arial" w:cs="Arial"/>
          <w:color w:val="000000"/>
          <w:sz w:val="24"/>
          <w:szCs w:val="24"/>
        </w:rPr>
        <w:t xml:space="preserve">, renters face a much different </w:t>
      </w:r>
      <w:r w:rsidRPr="00A06D30">
        <w:rPr>
          <w:rFonts w:ascii="Arial" w:eastAsia="Times New Roman" w:hAnsi="Arial" w:cs="Arial"/>
          <w:color w:val="000000"/>
          <w:sz w:val="24"/>
          <w:szCs w:val="24"/>
        </w:rPr>
        <w:t>reality</w:t>
      </w:r>
      <w:r w:rsidRPr="004F0AC0">
        <w:rPr>
          <w:rFonts w:ascii="Arial" w:eastAsia="Times New Roman" w:hAnsi="Arial" w:cs="Arial"/>
          <w:color w:val="000000"/>
          <w:sz w:val="24"/>
          <w:szCs w:val="24"/>
        </w:rPr>
        <w:t xml:space="preserve">: </w:t>
      </w:r>
      <w:r w:rsidRPr="00A06D30">
        <w:rPr>
          <w:rFonts w:ascii="Arial" w:eastAsia="Times New Roman" w:hAnsi="Arial" w:cs="Arial"/>
          <w:color w:val="000000"/>
          <w:sz w:val="24"/>
          <w:szCs w:val="24"/>
        </w:rPr>
        <w:t xml:space="preserve">housing price inflation directly </w:t>
      </w:r>
      <w:r>
        <w:rPr>
          <w:rFonts w:ascii="Arial" w:eastAsia="Times New Roman" w:hAnsi="Arial" w:cs="Arial"/>
          <w:color w:val="000000"/>
          <w:sz w:val="24"/>
          <w:szCs w:val="24"/>
        </w:rPr>
        <w:t>affects their</w:t>
      </w:r>
      <w:r w:rsidRPr="00A06D30">
        <w:rPr>
          <w:rFonts w:ascii="Arial" w:eastAsia="Times New Roman" w:hAnsi="Arial" w:cs="Arial"/>
          <w:color w:val="000000"/>
          <w:sz w:val="24"/>
          <w:szCs w:val="24"/>
        </w:rPr>
        <w:t xml:space="preserve"> ability to spend or save for the future. </w:t>
      </w:r>
      <w:r w:rsidR="005A4C80">
        <w:rPr>
          <w:rFonts w:ascii="Arial" w:eastAsia="Times New Roman" w:hAnsi="Arial" w:cs="Arial"/>
          <w:color w:val="000000"/>
          <w:sz w:val="24"/>
          <w:szCs w:val="24"/>
        </w:rPr>
        <w:t xml:space="preserve">And unlike homeowners, renters see no return on their dollar. </w:t>
      </w:r>
    </w:p>
    <w:p w:rsidR="005A4C80" w:rsidRDefault="005A4C80" w:rsidP="004F0AC0">
      <w:pPr>
        <w:spacing w:after="0" w:line="240" w:lineRule="auto"/>
        <w:rPr>
          <w:rFonts w:ascii="Arial" w:eastAsia="Times New Roman" w:hAnsi="Arial" w:cs="Arial"/>
          <w:sz w:val="24"/>
          <w:szCs w:val="24"/>
        </w:rPr>
      </w:pPr>
    </w:p>
    <w:p w:rsidR="005A4C80" w:rsidRPr="004F0AC0" w:rsidRDefault="005A4C80" w:rsidP="004F0AC0">
      <w:pPr>
        <w:spacing w:after="0" w:line="240" w:lineRule="auto"/>
        <w:rPr>
          <w:rFonts w:ascii="Arial" w:eastAsia="Times New Roman" w:hAnsi="Arial" w:cs="Arial"/>
          <w:sz w:val="24"/>
          <w:szCs w:val="24"/>
        </w:rPr>
      </w:pPr>
    </w:p>
    <w:p w:rsidR="00D1022F" w:rsidRDefault="00F615B1" w:rsidP="004F0AC0">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Rent</w:t>
      </w:r>
      <w:r w:rsidR="0085486A">
        <w:rPr>
          <w:rFonts w:ascii="Arial" w:eastAsia="Times New Roman" w:hAnsi="Arial" w:cs="Arial"/>
          <w:b/>
          <w:color w:val="000000"/>
          <w:sz w:val="24"/>
          <w:szCs w:val="24"/>
        </w:rPr>
        <w:t xml:space="preserve"> Cost</w:t>
      </w:r>
      <w:r>
        <w:rPr>
          <w:rFonts w:ascii="Arial" w:eastAsia="Times New Roman" w:hAnsi="Arial" w:cs="Arial"/>
          <w:b/>
          <w:color w:val="000000"/>
          <w:sz w:val="24"/>
          <w:szCs w:val="24"/>
        </w:rPr>
        <w:t xml:space="preserve"> Burdens</w:t>
      </w:r>
      <w:r w:rsidR="00284F01">
        <w:rPr>
          <w:rFonts w:ascii="Arial" w:eastAsia="Times New Roman" w:hAnsi="Arial" w:cs="Arial"/>
          <w:b/>
          <w:color w:val="000000"/>
          <w:sz w:val="24"/>
          <w:szCs w:val="24"/>
        </w:rPr>
        <w:t xml:space="preserve"> </w:t>
      </w:r>
      <w:r w:rsidR="0085486A">
        <w:rPr>
          <w:rFonts w:ascii="Arial" w:eastAsia="Times New Roman" w:hAnsi="Arial" w:cs="Arial"/>
          <w:b/>
          <w:color w:val="000000"/>
          <w:sz w:val="24"/>
          <w:szCs w:val="24"/>
        </w:rPr>
        <w:t xml:space="preserve">Are a Problem </w:t>
      </w:r>
      <w:r w:rsidR="00284F01">
        <w:rPr>
          <w:rFonts w:ascii="Arial" w:eastAsia="Times New Roman" w:hAnsi="Arial" w:cs="Arial"/>
          <w:b/>
          <w:color w:val="000000"/>
          <w:sz w:val="24"/>
          <w:szCs w:val="24"/>
        </w:rPr>
        <w:t>in All Types of Neighborhoods</w:t>
      </w:r>
    </w:p>
    <w:p w:rsidR="004D4962" w:rsidRDefault="0041704F" w:rsidP="004F0AC0">
      <w:pPr>
        <w:spacing w:after="0" w:line="240" w:lineRule="auto"/>
        <w:rPr>
          <w:rFonts w:ascii="Arial" w:eastAsia="Times New Roman" w:hAnsi="Arial" w:cs="Arial"/>
          <w:sz w:val="24"/>
          <w:szCs w:val="24"/>
        </w:rPr>
      </w:pPr>
      <w:bookmarkStart w:id="0" w:name="_GoBack"/>
      <w:bookmarkEnd w:id="0"/>
      <w:r>
        <w:rPr>
          <w:rFonts w:ascii="Arial" w:eastAsia="Times New Roman" w:hAnsi="Arial" w:cs="Arial"/>
          <w:color w:val="000000"/>
          <w:sz w:val="24"/>
          <w:szCs w:val="24"/>
        </w:rPr>
        <w:t xml:space="preserve">Rent burden is an important </w:t>
      </w:r>
      <w:r w:rsidRPr="00A06D30">
        <w:rPr>
          <w:rFonts w:ascii="Arial" w:eastAsia="Times New Roman" w:hAnsi="Arial" w:cs="Arial"/>
          <w:color w:val="000000"/>
          <w:sz w:val="24"/>
          <w:szCs w:val="24"/>
        </w:rPr>
        <w:t>economic indicator, perhaps</w:t>
      </w:r>
      <w:r>
        <w:rPr>
          <w:rFonts w:ascii="Arial" w:eastAsia="Times New Roman" w:hAnsi="Arial" w:cs="Arial"/>
          <w:color w:val="000000"/>
          <w:sz w:val="24"/>
          <w:szCs w:val="24"/>
        </w:rPr>
        <w:t xml:space="preserve"> as important but</w:t>
      </w:r>
      <w:r w:rsidRPr="00A06D30">
        <w:rPr>
          <w:rFonts w:ascii="Arial" w:eastAsia="Times New Roman" w:hAnsi="Arial" w:cs="Arial"/>
          <w:color w:val="000000"/>
          <w:sz w:val="24"/>
          <w:szCs w:val="24"/>
        </w:rPr>
        <w:t xml:space="preserve"> not as widely discussed as unemployment</w:t>
      </w:r>
      <w:r>
        <w:rPr>
          <w:rFonts w:ascii="Arial" w:eastAsia="Times New Roman" w:hAnsi="Arial" w:cs="Arial"/>
          <w:color w:val="000000"/>
          <w:sz w:val="24"/>
          <w:szCs w:val="24"/>
        </w:rPr>
        <w:t xml:space="preserve"> rates</w:t>
      </w:r>
      <w:r w:rsidRPr="00A06D30">
        <w:rPr>
          <w:rFonts w:ascii="Arial" w:eastAsia="Times New Roman" w:hAnsi="Arial" w:cs="Arial"/>
          <w:color w:val="000000"/>
          <w:sz w:val="24"/>
          <w:szCs w:val="24"/>
        </w:rPr>
        <w:t xml:space="preserve"> or gasoline prices</w:t>
      </w:r>
      <w:r>
        <w:rPr>
          <w:rFonts w:ascii="Arial" w:eastAsia="Times New Roman" w:hAnsi="Arial" w:cs="Arial"/>
          <w:color w:val="000000"/>
          <w:sz w:val="24"/>
          <w:szCs w:val="24"/>
        </w:rPr>
        <w:t xml:space="preserve">. </w:t>
      </w:r>
      <w:r w:rsidR="004D4962">
        <w:rPr>
          <w:rFonts w:ascii="Arial" w:eastAsia="Times New Roman" w:hAnsi="Arial" w:cs="Arial"/>
          <w:sz w:val="24"/>
          <w:szCs w:val="24"/>
        </w:rPr>
        <w:t>Rent</w:t>
      </w:r>
      <w:r w:rsidR="0085486A">
        <w:rPr>
          <w:rFonts w:ascii="Arial" w:eastAsia="Times New Roman" w:hAnsi="Arial" w:cs="Arial"/>
          <w:sz w:val="24"/>
          <w:szCs w:val="24"/>
        </w:rPr>
        <w:t xml:space="preserve"> cost</w:t>
      </w:r>
      <w:r w:rsidR="004D4962">
        <w:rPr>
          <w:rFonts w:ascii="Arial" w:eastAsia="Times New Roman" w:hAnsi="Arial" w:cs="Arial"/>
          <w:sz w:val="24"/>
          <w:szCs w:val="24"/>
        </w:rPr>
        <w:t xml:space="preserve"> burdens are a function of two components: rents and incomes. </w:t>
      </w:r>
      <w:r w:rsidR="00262344">
        <w:rPr>
          <w:rFonts w:ascii="Arial" w:eastAsia="Times New Roman" w:hAnsi="Arial" w:cs="Arial"/>
          <w:sz w:val="24"/>
          <w:szCs w:val="24"/>
        </w:rPr>
        <w:t xml:space="preserve">Rates of rent burden </w:t>
      </w:r>
      <w:r w:rsidR="004D4962">
        <w:rPr>
          <w:rFonts w:ascii="Arial" w:eastAsia="Times New Roman" w:hAnsi="Arial" w:cs="Arial"/>
          <w:sz w:val="24"/>
          <w:szCs w:val="24"/>
        </w:rPr>
        <w:t xml:space="preserve">can go up when rents rise faster than incomes or when incomes fall faster than rents. Looking at the two together, we see that both rents and incomes increased modestly </w:t>
      </w:r>
      <w:r w:rsidR="00544092">
        <w:rPr>
          <w:rFonts w:ascii="Arial" w:eastAsia="Times New Roman" w:hAnsi="Arial" w:cs="Arial"/>
          <w:sz w:val="24"/>
          <w:szCs w:val="24"/>
        </w:rPr>
        <w:t>between 1990 and 2000</w:t>
      </w:r>
      <w:r w:rsidR="00284F01">
        <w:rPr>
          <w:rFonts w:ascii="Arial" w:eastAsia="Times New Roman" w:hAnsi="Arial" w:cs="Arial"/>
          <w:sz w:val="24"/>
          <w:szCs w:val="24"/>
        </w:rPr>
        <w:t>,</w:t>
      </w:r>
      <w:r w:rsidR="00544092">
        <w:rPr>
          <w:rFonts w:ascii="Arial" w:eastAsia="Times New Roman" w:hAnsi="Arial" w:cs="Arial"/>
          <w:sz w:val="24"/>
          <w:szCs w:val="24"/>
        </w:rPr>
        <w:t xml:space="preserve"> but</w:t>
      </w:r>
      <w:r w:rsidR="00284F01">
        <w:rPr>
          <w:rFonts w:ascii="Arial" w:eastAsia="Times New Roman" w:hAnsi="Arial" w:cs="Arial"/>
          <w:sz w:val="24"/>
          <w:szCs w:val="24"/>
        </w:rPr>
        <w:t xml:space="preserve"> between</w:t>
      </w:r>
      <w:r w:rsidR="00544092">
        <w:rPr>
          <w:rFonts w:ascii="Arial" w:eastAsia="Times New Roman" w:hAnsi="Arial" w:cs="Arial"/>
          <w:sz w:val="24"/>
          <w:szCs w:val="24"/>
        </w:rPr>
        <w:t xml:space="preserve"> 2000 </w:t>
      </w:r>
      <w:r w:rsidR="00284F01">
        <w:rPr>
          <w:rFonts w:ascii="Arial" w:eastAsia="Times New Roman" w:hAnsi="Arial" w:cs="Arial"/>
          <w:sz w:val="24"/>
          <w:szCs w:val="24"/>
        </w:rPr>
        <w:t>and</w:t>
      </w:r>
      <w:r w:rsidR="00544092">
        <w:rPr>
          <w:rFonts w:ascii="Arial" w:eastAsia="Times New Roman" w:hAnsi="Arial" w:cs="Arial"/>
          <w:sz w:val="24"/>
          <w:szCs w:val="24"/>
        </w:rPr>
        <w:t xml:space="preserve"> </w:t>
      </w:r>
      <w:r w:rsidR="004D4962">
        <w:rPr>
          <w:rFonts w:ascii="Arial" w:eastAsia="Times New Roman" w:hAnsi="Arial" w:cs="Arial"/>
          <w:sz w:val="24"/>
          <w:szCs w:val="24"/>
        </w:rPr>
        <w:t xml:space="preserve">2010, inflation-adjusted incomes fell </w:t>
      </w:r>
      <w:r w:rsidR="00544092">
        <w:rPr>
          <w:rFonts w:ascii="Arial" w:eastAsia="Times New Roman" w:hAnsi="Arial" w:cs="Arial"/>
          <w:sz w:val="24"/>
          <w:szCs w:val="24"/>
        </w:rPr>
        <w:t>while</w:t>
      </w:r>
      <w:r w:rsidR="004D4962">
        <w:rPr>
          <w:rFonts w:ascii="Arial" w:eastAsia="Times New Roman" w:hAnsi="Arial" w:cs="Arial"/>
          <w:sz w:val="24"/>
          <w:szCs w:val="24"/>
        </w:rPr>
        <w:t xml:space="preserve"> rents continued to rise.</w:t>
      </w:r>
    </w:p>
    <w:p w:rsidR="004D4962" w:rsidRDefault="004D4962" w:rsidP="004F0AC0">
      <w:pPr>
        <w:spacing w:after="0" w:line="240" w:lineRule="auto"/>
        <w:rPr>
          <w:rFonts w:ascii="Arial" w:eastAsia="Times New Roman" w:hAnsi="Arial" w:cs="Arial"/>
          <w:sz w:val="24"/>
          <w:szCs w:val="24"/>
        </w:rPr>
      </w:pPr>
    </w:p>
    <w:p w:rsidR="004D4962" w:rsidRDefault="004D4962" w:rsidP="004F0AC0">
      <w:pPr>
        <w:spacing w:after="0" w:line="240" w:lineRule="auto"/>
        <w:rPr>
          <w:rFonts w:ascii="Arial" w:eastAsia="Times New Roman" w:hAnsi="Arial" w:cs="Arial"/>
          <w:sz w:val="24"/>
          <w:szCs w:val="24"/>
        </w:rPr>
      </w:pPr>
      <w:r>
        <w:rPr>
          <w:noProof/>
        </w:rPr>
        <w:drawing>
          <wp:inline distT="0" distB="0" distL="0" distR="0" wp14:anchorId="37028EC0" wp14:editId="782B1A2A">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D4962" w:rsidRPr="004F0AC0" w:rsidRDefault="004D4962" w:rsidP="004F0AC0">
      <w:pPr>
        <w:spacing w:after="0" w:line="240" w:lineRule="auto"/>
        <w:rPr>
          <w:rFonts w:ascii="Arial" w:eastAsia="Times New Roman" w:hAnsi="Arial" w:cs="Arial"/>
          <w:sz w:val="24"/>
          <w:szCs w:val="24"/>
        </w:rPr>
      </w:pPr>
    </w:p>
    <w:p w:rsidR="004D0AB8" w:rsidRDefault="004D0AB8" w:rsidP="004F0AC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In 1990, 41</w:t>
      </w:r>
      <w:r w:rsidR="00DD16C8">
        <w:rPr>
          <w:rFonts w:ascii="Arial" w:eastAsia="Times New Roman" w:hAnsi="Arial" w:cs="Arial"/>
          <w:color w:val="000000"/>
          <w:sz w:val="24"/>
          <w:szCs w:val="24"/>
        </w:rPr>
        <w:t xml:space="preserve"> percent</w:t>
      </w:r>
      <w:r>
        <w:rPr>
          <w:rFonts w:ascii="Arial" w:eastAsia="Times New Roman" w:hAnsi="Arial" w:cs="Arial"/>
          <w:color w:val="000000"/>
          <w:sz w:val="24"/>
          <w:szCs w:val="24"/>
        </w:rPr>
        <w:t xml:space="preserve"> of those living in low</w:t>
      </w:r>
      <w:r w:rsidR="00DD16C8">
        <w:rPr>
          <w:rFonts w:ascii="Arial" w:eastAsia="Times New Roman" w:hAnsi="Arial" w:cs="Arial"/>
          <w:color w:val="000000"/>
          <w:sz w:val="24"/>
          <w:szCs w:val="24"/>
        </w:rPr>
        <w:t>-socioeconomic (SES)</w:t>
      </w:r>
      <w:r>
        <w:rPr>
          <w:rFonts w:ascii="Arial" w:eastAsia="Times New Roman" w:hAnsi="Arial" w:cs="Arial"/>
          <w:color w:val="000000"/>
          <w:sz w:val="24"/>
          <w:szCs w:val="24"/>
        </w:rPr>
        <w:t xml:space="preserve"> neighborhoods were rent burdened, but high</w:t>
      </w:r>
      <w:r w:rsidR="00DD16C8">
        <w:rPr>
          <w:rFonts w:ascii="Arial" w:eastAsia="Times New Roman" w:hAnsi="Arial" w:cs="Arial"/>
          <w:color w:val="000000"/>
          <w:sz w:val="24"/>
          <w:szCs w:val="24"/>
        </w:rPr>
        <w:t>-SES</w:t>
      </w:r>
      <w:r>
        <w:rPr>
          <w:rFonts w:ascii="Arial" w:eastAsia="Times New Roman" w:hAnsi="Arial" w:cs="Arial"/>
          <w:color w:val="000000"/>
          <w:sz w:val="24"/>
          <w:szCs w:val="24"/>
        </w:rPr>
        <w:t xml:space="preserve"> neighborhoods were not immune. Between 1990 and 2000, the situation improved slightly in low</w:t>
      </w:r>
      <w:r w:rsidR="00DD16C8">
        <w:rPr>
          <w:rFonts w:ascii="Arial" w:eastAsia="Times New Roman" w:hAnsi="Arial" w:cs="Arial"/>
          <w:color w:val="000000"/>
          <w:sz w:val="24"/>
          <w:szCs w:val="24"/>
        </w:rPr>
        <w:t>-SES</w:t>
      </w:r>
      <w:r>
        <w:rPr>
          <w:rFonts w:ascii="Arial" w:eastAsia="Times New Roman" w:hAnsi="Arial" w:cs="Arial"/>
          <w:color w:val="000000"/>
          <w:sz w:val="24"/>
          <w:szCs w:val="24"/>
        </w:rPr>
        <w:t xml:space="preserve"> neighborhoods before relapsing significantly. By 2010</w:t>
      </w:r>
      <w:r w:rsidR="00DD16C8">
        <w:rPr>
          <w:rFonts w:ascii="Arial" w:eastAsia="Times New Roman" w:hAnsi="Arial" w:cs="Arial"/>
          <w:color w:val="000000"/>
          <w:sz w:val="24"/>
          <w:szCs w:val="24"/>
        </w:rPr>
        <w:t>,</w:t>
      </w:r>
      <w:r>
        <w:rPr>
          <w:rFonts w:ascii="Arial" w:eastAsia="Times New Roman" w:hAnsi="Arial" w:cs="Arial"/>
          <w:color w:val="000000"/>
          <w:sz w:val="24"/>
          <w:szCs w:val="24"/>
        </w:rPr>
        <w:t xml:space="preserve"> over half of </w:t>
      </w:r>
      <w:r w:rsidR="0085486A">
        <w:rPr>
          <w:rFonts w:ascii="Arial" w:eastAsia="Times New Roman" w:hAnsi="Arial" w:cs="Arial"/>
          <w:color w:val="000000"/>
          <w:sz w:val="24"/>
          <w:szCs w:val="24"/>
        </w:rPr>
        <w:t>renters</w:t>
      </w:r>
      <w:r>
        <w:rPr>
          <w:rFonts w:ascii="Arial" w:eastAsia="Times New Roman" w:hAnsi="Arial" w:cs="Arial"/>
          <w:color w:val="000000"/>
          <w:sz w:val="24"/>
          <w:szCs w:val="24"/>
        </w:rPr>
        <w:t xml:space="preserve"> in </w:t>
      </w:r>
      <w:r w:rsidR="00DD16C8">
        <w:rPr>
          <w:rFonts w:ascii="Arial" w:eastAsia="Times New Roman" w:hAnsi="Arial" w:cs="Arial"/>
          <w:color w:val="000000"/>
          <w:sz w:val="24"/>
          <w:szCs w:val="24"/>
        </w:rPr>
        <w:t xml:space="preserve">low-SES </w:t>
      </w:r>
      <w:r>
        <w:rPr>
          <w:rFonts w:ascii="Arial" w:eastAsia="Times New Roman" w:hAnsi="Arial" w:cs="Arial"/>
          <w:color w:val="000000"/>
          <w:sz w:val="24"/>
          <w:szCs w:val="24"/>
        </w:rPr>
        <w:t>neighborhoods</w:t>
      </w:r>
      <w:r w:rsidR="00DD16C8">
        <w:rPr>
          <w:rFonts w:ascii="Arial" w:eastAsia="Times New Roman" w:hAnsi="Arial" w:cs="Arial"/>
          <w:color w:val="000000"/>
          <w:sz w:val="24"/>
          <w:szCs w:val="24"/>
        </w:rPr>
        <w:t xml:space="preserve"> </w:t>
      </w:r>
      <w:r>
        <w:rPr>
          <w:rFonts w:ascii="Arial" w:eastAsia="Times New Roman" w:hAnsi="Arial" w:cs="Arial"/>
          <w:color w:val="000000"/>
          <w:sz w:val="24"/>
          <w:szCs w:val="24"/>
        </w:rPr>
        <w:t>and more than a third in high</w:t>
      </w:r>
      <w:r w:rsidR="0085486A">
        <w:rPr>
          <w:rFonts w:ascii="Arial" w:eastAsia="Times New Roman" w:hAnsi="Arial" w:cs="Arial"/>
          <w:color w:val="000000"/>
          <w:sz w:val="24"/>
          <w:szCs w:val="24"/>
        </w:rPr>
        <w:t>-SES</w:t>
      </w:r>
      <w:r>
        <w:rPr>
          <w:rFonts w:ascii="Arial" w:eastAsia="Times New Roman" w:hAnsi="Arial" w:cs="Arial"/>
          <w:color w:val="000000"/>
          <w:sz w:val="24"/>
          <w:szCs w:val="24"/>
        </w:rPr>
        <w:t xml:space="preserve"> neighborhoods</w:t>
      </w:r>
      <w:r w:rsidR="0085486A">
        <w:rPr>
          <w:rFonts w:ascii="Arial" w:eastAsia="Times New Roman" w:hAnsi="Arial" w:cs="Arial"/>
          <w:color w:val="000000"/>
          <w:sz w:val="24"/>
          <w:szCs w:val="24"/>
        </w:rPr>
        <w:t xml:space="preserve"> were cost burdened</w:t>
      </w:r>
      <w:r>
        <w:rPr>
          <w:rFonts w:ascii="Arial" w:eastAsia="Times New Roman" w:hAnsi="Arial" w:cs="Arial"/>
          <w:color w:val="000000"/>
          <w:sz w:val="24"/>
          <w:szCs w:val="24"/>
        </w:rPr>
        <w:t xml:space="preserve">. </w:t>
      </w:r>
    </w:p>
    <w:p w:rsidR="004F0AC0" w:rsidRPr="004F0AC0" w:rsidRDefault="004F0AC0" w:rsidP="004F0AC0">
      <w:pPr>
        <w:spacing w:after="0" w:line="240" w:lineRule="auto"/>
        <w:rPr>
          <w:rFonts w:ascii="Arial" w:eastAsia="Times New Roman" w:hAnsi="Arial" w:cs="Arial"/>
          <w:sz w:val="24"/>
          <w:szCs w:val="24"/>
        </w:rPr>
      </w:pPr>
    </w:p>
    <w:p w:rsidR="004F0AC0" w:rsidRPr="004F0AC0" w:rsidRDefault="004D0AB8" w:rsidP="004F0AC0">
      <w:pPr>
        <w:spacing w:after="0" w:line="240" w:lineRule="auto"/>
        <w:rPr>
          <w:rFonts w:ascii="Arial" w:eastAsia="Times New Roman" w:hAnsi="Arial" w:cs="Arial"/>
          <w:sz w:val="24"/>
          <w:szCs w:val="24"/>
        </w:rPr>
      </w:pPr>
      <w:r>
        <w:rPr>
          <w:noProof/>
        </w:rPr>
        <w:drawing>
          <wp:inline distT="0" distB="0" distL="0" distR="0" wp14:anchorId="29571EF3" wp14:editId="0E4B277F">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F0AC0" w:rsidRPr="004F0AC0" w:rsidRDefault="004F0AC0" w:rsidP="004F0AC0">
      <w:pPr>
        <w:spacing w:after="0" w:line="240" w:lineRule="auto"/>
        <w:rPr>
          <w:rFonts w:ascii="Arial" w:eastAsia="Times New Roman" w:hAnsi="Arial" w:cs="Arial"/>
          <w:sz w:val="24"/>
          <w:szCs w:val="24"/>
        </w:rPr>
      </w:pPr>
    </w:p>
    <w:p w:rsidR="00BA4AB8" w:rsidRDefault="00A234D9" w:rsidP="004F0AC0">
      <w:p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However, low-SES</w:t>
      </w:r>
      <w:r w:rsidR="00BA4AB8">
        <w:rPr>
          <w:rFonts w:ascii="Arial" w:eastAsia="Times New Roman" w:hAnsi="Arial" w:cs="Arial"/>
          <w:bCs/>
          <w:color w:val="000000"/>
          <w:sz w:val="24"/>
          <w:szCs w:val="24"/>
        </w:rPr>
        <w:t xml:space="preserve"> neighborhoods have more renters</w:t>
      </w:r>
      <w:r w:rsidR="00544092">
        <w:rPr>
          <w:rFonts w:ascii="Arial" w:eastAsia="Times New Roman" w:hAnsi="Arial" w:cs="Arial"/>
          <w:bCs/>
          <w:color w:val="000000"/>
          <w:sz w:val="24"/>
          <w:szCs w:val="24"/>
        </w:rPr>
        <w:t>, by volume,</w:t>
      </w:r>
      <w:r w:rsidR="00BA4AB8">
        <w:rPr>
          <w:rFonts w:ascii="Arial" w:eastAsia="Times New Roman" w:hAnsi="Arial" w:cs="Arial"/>
          <w:bCs/>
          <w:color w:val="000000"/>
          <w:sz w:val="24"/>
          <w:szCs w:val="24"/>
        </w:rPr>
        <w:t xml:space="preserve"> than nei</w:t>
      </w:r>
      <w:r w:rsidR="00544092">
        <w:rPr>
          <w:rFonts w:ascii="Arial" w:eastAsia="Times New Roman" w:hAnsi="Arial" w:cs="Arial"/>
          <w:bCs/>
          <w:color w:val="000000"/>
          <w:sz w:val="24"/>
          <w:szCs w:val="24"/>
        </w:rPr>
        <w:t xml:space="preserve">ghborhoods that rank at the top; and thus a higher number of </w:t>
      </w:r>
      <w:r>
        <w:rPr>
          <w:rFonts w:ascii="Arial" w:eastAsia="Times New Roman" w:hAnsi="Arial" w:cs="Arial"/>
          <w:bCs/>
          <w:color w:val="000000"/>
          <w:sz w:val="24"/>
          <w:szCs w:val="24"/>
        </w:rPr>
        <w:t>cost-</w:t>
      </w:r>
      <w:r w:rsidR="00544092">
        <w:rPr>
          <w:rFonts w:ascii="Arial" w:eastAsia="Times New Roman" w:hAnsi="Arial" w:cs="Arial"/>
          <w:bCs/>
          <w:color w:val="000000"/>
          <w:sz w:val="24"/>
          <w:szCs w:val="24"/>
        </w:rPr>
        <w:t xml:space="preserve">burdened </w:t>
      </w:r>
      <w:r>
        <w:rPr>
          <w:rFonts w:ascii="Arial" w:eastAsia="Times New Roman" w:hAnsi="Arial" w:cs="Arial"/>
          <w:bCs/>
          <w:color w:val="000000"/>
          <w:sz w:val="24"/>
          <w:szCs w:val="24"/>
        </w:rPr>
        <w:t>renters</w:t>
      </w:r>
      <w:r w:rsidR="00544092">
        <w:rPr>
          <w:rFonts w:ascii="Arial" w:eastAsia="Times New Roman" w:hAnsi="Arial" w:cs="Arial"/>
          <w:bCs/>
          <w:color w:val="000000"/>
          <w:sz w:val="24"/>
          <w:szCs w:val="24"/>
        </w:rPr>
        <w:t>.</w:t>
      </w:r>
      <w:r w:rsidR="00BA4AB8">
        <w:rPr>
          <w:rFonts w:ascii="Arial" w:eastAsia="Times New Roman" w:hAnsi="Arial" w:cs="Arial"/>
          <w:bCs/>
          <w:color w:val="000000"/>
          <w:sz w:val="24"/>
          <w:szCs w:val="24"/>
        </w:rPr>
        <w:t xml:space="preserve"> </w:t>
      </w:r>
      <w:r>
        <w:rPr>
          <w:rFonts w:ascii="Arial" w:eastAsia="Times New Roman" w:hAnsi="Arial" w:cs="Arial"/>
          <w:bCs/>
          <w:color w:val="000000"/>
          <w:sz w:val="24"/>
          <w:szCs w:val="24"/>
        </w:rPr>
        <w:t>T</w:t>
      </w:r>
      <w:r w:rsidR="0050326A">
        <w:rPr>
          <w:rFonts w:ascii="Arial" w:eastAsia="Times New Roman" w:hAnsi="Arial" w:cs="Arial"/>
          <w:bCs/>
          <w:color w:val="000000"/>
          <w:sz w:val="24"/>
          <w:szCs w:val="24"/>
        </w:rPr>
        <w:t>he number of rent</w:t>
      </w:r>
      <w:r w:rsidR="00B22EBA">
        <w:rPr>
          <w:rFonts w:ascii="Arial" w:eastAsia="Times New Roman" w:hAnsi="Arial" w:cs="Arial"/>
          <w:bCs/>
          <w:color w:val="000000"/>
          <w:sz w:val="24"/>
          <w:szCs w:val="24"/>
        </w:rPr>
        <w:t>er</w:t>
      </w:r>
      <w:r w:rsidR="0050326A">
        <w:rPr>
          <w:rFonts w:ascii="Arial" w:eastAsia="Times New Roman" w:hAnsi="Arial" w:cs="Arial"/>
          <w:bCs/>
          <w:color w:val="000000"/>
          <w:sz w:val="24"/>
          <w:szCs w:val="24"/>
        </w:rPr>
        <w:t xml:space="preserve">s </w:t>
      </w:r>
      <w:r>
        <w:rPr>
          <w:rFonts w:ascii="Arial" w:eastAsia="Times New Roman" w:hAnsi="Arial" w:cs="Arial"/>
          <w:bCs/>
          <w:color w:val="000000"/>
          <w:sz w:val="24"/>
          <w:szCs w:val="24"/>
        </w:rPr>
        <w:t xml:space="preserve">in low-SES neighborhoods </w:t>
      </w:r>
      <w:r w:rsidR="0050326A" w:rsidRPr="00B22EBA">
        <w:rPr>
          <w:rFonts w:ascii="Arial" w:eastAsia="Times New Roman" w:hAnsi="Arial" w:cs="Arial"/>
          <w:bCs/>
          <w:color w:val="000000"/>
          <w:sz w:val="24"/>
          <w:szCs w:val="24"/>
        </w:rPr>
        <w:t>has</w:t>
      </w:r>
      <w:r w:rsidR="0050326A">
        <w:rPr>
          <w:rFonts w:ascii="Arial" w:eastAsia="Times New Roman" w:hAnsi="Arial" w:cs="Arial"/>
          <w:bCs/>
          <w:color w:val="000000"/>
          <w:sz w:val="24"/>
          <w:szCs w:val="24"/>
        </w:rPr>
        <w:t xml:space="preserve"> risen from 5</w:t>
      </w:r>
      <w:r w:rsidR="004D0AB8">
        <w:rPr>
          <w:rFonts w:ascii="Arial" w:eastAsia="Times New Roman" w:hAnsi="Arial" w:cs="Arial"/>
          <w:bCs/>
          <w:color w:val="000000"/>
          <w:sz w:val="24"/>
          <w:szCs w:val="24"/>
        </w:rPr>
        <w:t>2</w:t>
      </w:r>
      <w:r>
        <w:rPr>
          <w:rFonts w:ascii="Arial" w:eastAsia="Times New Roman" w:hAnsi="Arial" w:cs="Arial"/>
          <w:bCs/>
          <w:color w:val="000000"/>
          <w:sz w:val="24"/>
          <w:szCs w:val="24"/>
        </w:rPr>
        <w:t xml:space="preserve"> percent</w:t>
      </w:r>
      <w:r w:rsidR="0050326A">
        <w:rPr>
          <w:rFonts w:ascii="Arial" w:eastAsia="Times New Roman" w:hAnsi="Arial" w:cs="Arial"/>
          <w:bCs/>
          <w:color w:val="000000"/>
          <w:sz w:val="24"/>
          <w:szCs w:val="24"/>
        </w:rPr>
        <w:t xml:space="preserve"> in 19</w:t>
      </w:r>
      <w:r w:rsidR="004D0AB8">
        <w:rPr>
          <w:rFonts w:ascii="Arial" w:eastAsia="Times New Roman" w:hAnsi="Arial" w:cs="Arial"/>
          <w:bCs/>
          <w:color w:val="000000"/>
          <w:sz w:val="24"/>
          <w:szCs w:val="24"/>
        </w:rPr>
        <w:t>9</w:t>
      </w:r>
      <w:r w:rsidR="0050326A">
        <w:rPr>
          <w:rFonts w:ascii="Arial" w:eastAsia="Times New Roman" w:hAnsi="Arial" w:cs="Arial"/>
          <w:bCs/>
          <w:color w:val="000000"/>
          <w:sz w:val="24"/>
          <w:szCs w:val="24"/>
        </w:rPr>
        <w:t>0 to 56</w:t>
      </w:r>
      <w:r>
        <w:rPr>
          <w:rFonts w:ascii="Arial" w:eastAsia="Times New Roman" w:hAnsi="Arial" w:cs="Arial"/>
          <w:bCs/>
          <w:color w:val="000000"/>
          <w:sz w:val="24"/>
          <w:szCs w:val="24"/>
        </w:rPr>
        <w:t xml:space="preserve"> percent</w:t>
      </w:r>
      <w:r w:rsidR="0050326A">
        <w:rPr>
          <w:rFonts w:ascii="Arial" w:eastAsia="Times New Roman" w:hAnsi="Arial" w:cs="Arial"/>
          <w:bCs/>
          <w:color w:val="000000"/>
          <w:sz w:val="24"/>
          <w:szCs w:val="24"/>
        </w:rPr>
        <w:t xml:space="preserve"> in 2010</w:t>
      </w:r>
      <w:r w:rsidR="00C03BE0">
        <w:rPr>
          <w:rFonts w:ascii="Arial" w:eastAsia="Times New Roman" w:hAnsi="Arial" w:cs="Arial"/>
          <w:bCs/>
          <w:color w:val="000000"/>
          <w:sz w:val="24"/>
          <w:szCs w:val="24"/>
        </w:rPr>
        <w:t>. On the other end</w:t>
      </w:r>
      <w:r w:rsidR="00BA4AB8">
        <w:rPr>
          <w:rFonts w:ascii="Arial" w:eastAsia="Times New Roman" w:hAnsi="Arial" w:cs="Arial"/>
          <w:bCs/>
          <w:color w:val="000000"/>
          <w:sz w:val="24"/>
          <w:szCs w:val="24"/>
        </w:rPr>
        <w:t xml:space="preserve">, </w:t>
      </w:r>
      <w:r>
        <w:rPr>
          <w:rFonts w:ascii="Arial" w:eastAsia="Times New Roman" w:hAnsi="Arial" w:cs="Arial"/>
          <w:bCs/>
          <w:color w:val="000000"/>
          <w:sz w:val="24"/>
          <w:szCs w:val="24"/>
        </w:rPr>
        <w:t xml:space="preserve">the number of renters in high-SES </w:t>
      </w:r>
      <w:r w:rsidR="00BA4AB8">
        <w:rPr>
          <w:rFonts w:ascii="Arial" w:eastAsia="Times New Roman" w:hAnsi="Arial" w:cs="Arial"/>
          <w:bCs/>
          <w:color w:val="000000"/>
          <w:sz w:val="24"/>
          <w:szCs w:val="24"/>
        </w:rPr>
        <w:t xml:space="preserve">neighborhoods </w:t>
      </w:r>
      <w:r>
        <w:rPr>
          <w:rFonts w:ascii="Arial" w:eastAsia="Times New Roman" w:hAnsi="Arial" w:cs="Arial"/>
          <w:bCs/>
          <w:color w:val="000000"/>
          <w:sz w:val="24"/>
          <w:szCs w:val="24"/>
        </w:rPr>
        <w:t>has</w:t>
      </w:r>
      <w:r w:rsidR="00BA4AB8">
        <w:rPr>
          <w:rFonts w:ascii="Arial" w:eastAsia="Times New Roman" w:hAnsi="Arial" w:cs="Arial"/>
          <w:bCs/>
          <w:color w:val="000000"/>
          <w:sz w:val="24"/>
          <w:szCs w:val="24"/>
        </w:rPr>
        <w:t xml:space="preserve"> fall</w:t>
      </w:r>
      <w:r>
        <w:rPr>
          <w:rFonts w:ascii="Arial" w:eastAsia="Times New Roman" w:hAnsi="Arial" w:cs="Arial"/>
          <w:bCs/>
          <w:color w:val="000000"/>
          <w:sz w:val="24"/>
          <w:szCs w:val="24"/>
        </w:rPr>
        <w:t>en</w:t>
      </w:r>
      <w:r w:rsidR="00BA4AB8">
        <w:rPr>
          <w:rFonts w:ascii="Arial" w:eastAsia="Times New Roman" w:hAnsi="Arial" w:cs="Arial"/>
          <w:bCs/>
          <w:color w:val="000000"/>
          <w:sz w:val="24"/>
          <w:szCs w:val="24"/>
        </w:rPr>
        <w:t xml:space="preserve"> from 2</w:t>
      </w:r>
      <w:r w:rsidR="004D0AB8">
        <w:rPr>
          <w:rFonts w:ascii="Arial" w:eastAsia="Times New Roman" w:hAnsi="Arial" w:cs="Arial"/>
          <w:bCs/>
          <w:color w:val="000000"/>
          <w:sz w:val="24"/>
          <w:szCs w:val="24"/>
        </w:rPr>
        <w:t>7</w:t>
      </w:r>
      <w:r>
        <w:rPr>
          <w:rFonts w:ascii="Arial" w:eastAsia="Times New Roman" w:hAnsi="Arial" w:cs="Arial"/>
          <w:bCs/>
          <w:color w:val="000000"/>
          <w:sz w:val="24"/>
          <w:szCs w:val="24"/>
        </w:rPr>
        <w:t xml:space="preserve"> percent</w:t>
      </w:r>
      <w:r w:rsidR="00BA4AB8">
        <w:rPr>
          <w:rFonts w:ascii="Arial" w:eastAsia="Times New Roman" w:hAnsi="Arial" w:cs="Arial"/>
          <w:bCs/>
          <w:color w:val="000000"/>
          <w:sz w:val="24"/>
          <w:szCs w:val="24"/>
        </w:rPr>
        <w:t xml:space="preserve"> in 19</w:t>
      </w:r>
      <w:r w:rsidR="004D0AB8">
        <w:rPr>
          <w:rFonts w:ascii="Arial" w:eastAsia="Times New Roman" w:hAnsi="Arial" w:cs="Arial"/>
          <w:bCs/>
          <w:color w:val="000000"/>
          <w:sz w:val="24"/>
          <w:szCs w:val="24"/>
        </w:rPr>
        <w:t>9</w:t>
      </w:r>
      <w:r w:rsidR="00BA4AB8">
        <w:rPr>
          <w:rFonts w:ascii="Arial" w:eastAsia="Times New Roman" w:hAnsi="Arial" w:cs="Arial"/>
          <w:bCs/>
          <w:color w:val="000000"/>
          <w:sz w:val="24"/>
          <w:szCs w:val="24"/>
        </w:rPr>
        <w:t>0 to</w:t>
      </w:r>
      <w:r w:rsidR="00B22EBA">
        <w:rPr>
          <w:rFonts w:ascii="Arial" w:eastAsia="Times New Roman" w:hAnsi="Arial" w:cs="Arial"/>
          <w:bCs/>
          <w:color w:val="000000"/>
          <w:sz w:val="24"/>
          <w:szCs w:val="24"/>
        </w:rPr>
        <w:t xml:space="preserve"> only</w:t>
      </w:r>
      <w:r w:rsidR="00BA4AB8">
        <w:rPr>
          <w:rFonts w:ascii="Arial" w:eastAsia="Times New Roman" w:hAnsi="Arial" w:cs="Arial"/>
          <w:bCs/>
          <w:color w:val="000000"/>
          <w:sz w:val="24"/>
          <w:szCs w:val="24"/>
        </w:rPr>
        <w:t xml:space="preserve"> 19</w:t>
      </w:r>
      <w:r>
        <w:rPr>
          <w:rFonts w:ascii="Arial" w:eastAsia="Times New Roman" w:hAnsi="Arial" w:cs="Arial"/>
          <w:bCs/>
          <w:color w:val="000000"/>
          <w:sz w:val="24"/>
          <w:szCs w:val="24"/>
        </w:rPr>
        <w:t xml:space="preserve"> percent</w:t>
      </w:r>
      <w:r w:rsidR="00BA4AB8">
        <w:rPr>
          <w:rFonts w:ascii="Arial" w:eastAsia="Times New Roman" w:hAnsi="Arial" w:cs="Arial"/>
          <w:bCs/>
          <w:color w:val="000000"/>
          <w:sz w:val="24"/>
          <w:szCs w:val="24"/>
        </w:rPr>
        <w:t xml:space="preserve"> by 2010. </w:t>
      </w:r>
    </w:p>
    <w:p w:rsidR="00BA4AB8" w:rsidRDefault="00BA4AB8" w:rsidP="004F0AC0">
      <w:pPr>
        <w:spacing w:after="0" w:line="240" w:lineRule="auto"/>
        <w:rPr>
          <w:rFonts w:ascii="Arial" w:eastAsia="Times New Roman" w:hAnsi="Arial" w:cs="Arial"/>
          <w:bCs/>
          <w:color w:val="000000"/>
          <w:sz w:val="24"/>
          <w:szCs w:val="24"/>
        </w:rPr>
      </w:pPr>
    </w:p>
    <w:p w:rsidR="00BA4AB8" w:rsidRPr="00BA4AB8" w:rsidRDefault="004D0AB8" w:rsidP="004F0AC0">
      <w:pPr>
        <w:spacing w:after="0" w:line="240" w:lineRule="auto"/>
        <w:rPr>
          <w:rFonts w:ascii="Arial" w:eastAsia="Times New Roman" w:hAnsi="Arial" w:cs="Arial"/>
          <w:bCs/>
          <w:color w:val="000000"/>
          <w:sz w:val="24"/>
          <w:szCs w:val="24"/>
        </w:rPr>
      </w:pPr>
      <w:r>
        <w:rPr>
          <w:noProof/>
        </w:rPr>
        <w:drawing>
          <wp:inline distT="0" distB="0" distL="0" distR="0" wp14:anchorId="7436F718" wp14:editId="7BB24A41">
            <wp:extent cx="4572000" cy="306705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4AB8" w:rsidRDefault="00BA4AB8" w:rsidP="004F0AC0">
      <w:pPr>
        <w:spacing w:after="0" w:line="240" w:lineRule="auto"/>
        <w:rPr>
          <w:rFonts w:ascii="Arial" w:eastAsia="Times New Roman" w:hAnsi="Arial" w:cs="Arial"/>
          <w:b/>
          <w:bCs/>
          <w:color w:val="000000"/>
          <w:sz w:val="24"/>
          <w:szCs w:val="24"/>
        </w:rPr>
      </w:pPr>
    </w:p>
    <w:p w:rsidR="00BA4AB8" w:rsidRDefault="00A61601" w:rsidP="004F0AC0">
      <w:p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I</w:t>
      </w:r>
      <w:r w:rsidR="00A234D9">
        <w:rPr>
          <w:rFonts w:ascii="Arial" w:eastAsia="Times New Roman" w:hAnsi="Arial" w:cs="Arial"/>
          <w:bCs/>
          <w:color w:val="000000"/>
          <w:sz w:val="24"/>
          <w:szCs w:val="24"/>
        </w:rPr>
        <w:t>n</w:t>
      </w:r>
      <w:r>
        <w:rPr>
          <w:rFonts w:ascii="Arial" w:eastAsia="Times New Roman" w:hAnsi="Arial" w:cs="Arial"/>
          <w:bCs/>
          <w:color w:val="000000"/>
          <w:sz w:val="24"/>
          <w:szCs w:val="24"/>
        </w:rPr>
        <w:t xml:space="preserve"> total, 4.8 million of America’s renter households</w:t>
      </w:r>
      <w:r w:rsidR="00A234D9">
        <w:rPr>
          <w:rFonts w:ascii="Arial" w:eastAsia="Times New Roman" w:hAnsi="Arial" w:cs="Arial"/>
          <w:bCs/>
          <w:color w:val="000000"/>
          <w:sz w:val="24"/>
          <w:szCs w:val="24"/>
        </w:rPr>
        <w:t xml:space="preserve"> live in low-SES neighborhoods</w:t>
      </w:r>
      <w:r>
        <w:rPr>
          <w:rFonts w:ascii="Arial" w:eastAsia="Times New Roman" w:hAnsi="Arial" w:cs="Arial"/>
          <w:bCs/>
          <w:color w:val="000000"/>
          <w:sz w:val="24"/>
          <w:szCs w:val="24"/>
        </w:rPr>
        <w:t xml:space="preserve">, compared </w:t>
      </w:r>
      <w:r w:rsidR="00A234D9">
        <w:rPr>
          <w:rFonts w:ascii="Arial" w:eastAsia="Times New Roman" w:hAnsi="Arial" w:cs="Arial"/>
          <w:bCs/>
          <w:color w:val="000000"/>
          <w:sz w:val="24"/>
          <w:szCs w:val="24"/>
        </w:rPr>
        <w:t>with</w:t>
      </w:r>
      <w:r>
        <w:rPr>
          <w:rFonts w:ascii="Arial" w:eastAsia="Times New Roman" w:hAnsi="Arial" w:cs="Arial"/>
          <w:bCs/>
          <w:color w:val="000000"/>
          <w:sz w:val="24"/>
          <w:szCs w:val="24"/>
        </w:rPr>
        <w:t xml:space="preserve"> about half as many</w:t>
      </w:r>
      <w:r w:rsidR="00B22EBA">
        <w:rPr>
          <w:rFonts w:ascii="Arial" w:eastAsia="Times New Roman" w:hAnsi="Arial" w:cs="Arial"/>
          <w:bCs/>
          <w:color w:val="000000"/>
          <w:sz w:val="24"/>
          <w:szCs w:val="24"/>
        </w:rPr>
        <w:t>,</w:t>
      </w:r>
      <w:r>
        <w:rPr>
          <w:rFonts w:ascii="Arial" w:eastAsia="Times New Roman" w:hAnsi="Arial" w:cs="Arial"/>
          <w:bCs/>
          <w:color w:val="000000"/>
          <w:sz w:val="24"/>
          <w:szCs w:val="24"/>
        </w:rPr>
        <w:t xml:space="preserve"> 2.4 million, in high</w:t>
      </w:r>
      <w:r w:rsidR="00A234D9">
        <w:rPr>
          <w:rFonts w:ascii="Arial" w:eastAsia="Times New Roman" w:hAnsi="Arial" w:cs="Arial"/>
          <w:bCs/>
          <w:color w:val="000000"/>
          <w:sz w:val="24"/>
          <w:szCs w:val="24"/>
        </w:rPr>
        <w:t>-SES</w:t>
      </w:r>
      <w:r>
        <w:rPr>
          <w:rFonts w:ascii="Arial" w:eastAsia="Times New Roman" w:hAnsi="Arial" w:cs="Arial"/>
          <w:bCs/>
          <w:color w:val="000000"/>
          <w:sz w:val="24"/>
          <w:szCs w:val="24"/>
        </w:rPr>
        <w:t xml:space="preserve"> neighborhoods.</w:t>
      </w:r>
    </w:p>
    <w:p w:rsidR="004F0AC0" w:rsidRPr="004F0AC0" w:rsidRDefault="004F0AC0" w:rsidP="004F0AC0">
      <w:pPr>
        <w:spacing w:after="0" w:line="240" w:lineRule="auto"/>
        <w:rPr>
          <w:rFonts w:ascii="Arial" w:eastAsia="Times New Roman" w:hAnsi="Arial" w:cs="Arial"/>
          <w:sz w:val="24"/>
          <w:szCs w:val="24"/>
        </w:rPr>
      </w:pPr>
    </w:p>
    <w:p w:rsidR="004F0AC0" w:rsidRPr="004F0AC0" w:rsidRDefault="004F0AC0" w:rsidP="004F0AC0">
      <w:pPr>
        <w:spacing w:after="0" w:line="240" w:lineRule="auto"/>
        <w:rPr>
          <w:rFonts w:ascii="Arial" w:eastAsia="Times New Roman" w:hAnsi="Arial" w:cs="Arial"/>
          <w:sz w:val="24"/>
          <w:szCs w:val="24"/>
        </w:rPr>
      </w:pPr>
      <w:r w:rsidRPr="004F0AC0">
        <w:rPr>
          <w:rFonts w:ascii="Arial" w:eastAsia="Times New Roman" w:hAnsi="Arial" w:cs="Arial"/>
          <w:b/>
          <w:bCs/>
          <w:color w:val="000000"/>
          <w:sz w:val="24"/>
          <w:szCs w:val="24"/>
        </w:rPr>
        <w:t>Cheap Housing Isn’t a Renter’s Paradise</w:t>
      </w:r>
    </w:p>
    <w:p w:rsidR="004F0AC0" w:rsidRPr="004F0AC0" w:rsidRDefault="004F0AC0" w:rsidP="004F0AC0">
      <w:pPr>
        <w:spacing w:after="0" w:line="240" w:lineRule="auto"/>
        <w:rPr>
          <w:rFonts w:ascii="Arial" w:eastAsia="Times New Roman" w:hAnsi="Arial" w:cs="Arial"/>
          <w:sz w:val="24"/>
          <w:szCs w:val="24"/>
        </w:rPr>
      </w:pPr>
    </w:p>
    <w:p w:rsidR="004F0AC0" w:rsidRPr="004F0AC0" w:rsidRDefault="000D79C7" w:rsidP="004F0AC0">
      <w:pPr>
        <w:spacing w:after="0" w:line="240" w:lineRule="auto"/>
        <w:rPr>
          <w:rFonts w:ascii="Arial" w:eastAsia="Times New Roman" w:hAnsi="Arial" w:cs="Arial"/>
          <w:sz w:val="24"/>
          <w:szCs w:val="24"/>
        </w:rPr>
      </w:pPr>
      <w:r w:rsidRPr="00A06D30">
        <w:rPr>
          <w:rFonts w:ascii="Arial" w:eastAsia="Times New Roman" w:hAnsi="Arial" w:cs="Arial"/>
          <w:color w:val="000000"/>
          <w:sz w:val="24"/>
          <w:szCs w:val="24"/>
        </w:rPr>
        <w:t>It seems fair to</w:t>
      </w:r>
      <w:r w:rsidR="004F0AC0" w:rsidRPr="004F0AC0">
        <w:rPr>
          <w:rFonts w:ascii="Arial" w:eastAsia="Times New Roman" w:hAnsi="Arial" w:cs="Arial"/>
          <w:color w:val="000000"/>
          <w:sz w:val="24"/>
          <w:szCs w:val="24"/>
        </w:rPr>
        <w:t xml:space="preserve"> hypothesize that high </w:t>
      </w:r>
      <w:r w:rsidR="001B2452">
        <w:rPr>
          <w:rFonts w:ascii="Arial" w:eastAsia="Times New Roman" w:hAnsi="Arial" w:cs="Arial"/>
          <w:color w:val="000000"/>
          <w:sz w:val="24"/>
          <w:szCs w:val="24"/>
        </w:rPr>
        <w:t>cost</w:t>
      </w:r>
      <w:r w:rsidR="004F0AC0" w:rsidRPr="004F0AC0">
        <w:rPr>
          <w:rFonts w:ascii="Arial" w:eastAsia="Times New Roman" w:hAnsi="Arial" w:cs="Arial"/>
          <w:color w:val="000000"/>
          <w:sz w:val="24"/>
          <w:szCs w:val="24"/>
        </w:rPr>
        <w:t xml:space="preserve"> burdens disproportionately affect </w:t>
      </w:r>
      <w:r w:rsidR="001B2452">
        <w:rPr>
          <w:rFonts w:ascii="Arial" w:eastAsia="Times New Roman" w:hAnsi="Arial" w:cs="Arial"/>
          <w:color w:val="000000"/>
          <w:sz w:val="24"/>
          <w:szCs w:val="24"/>
        </w:rPr>
        <w:t>renters</w:t>
      </w:r>
      <w:r w:rsidR="004F0AC0" w:rsidRPr="004F0AC0">
        <w:rPr>
          <w:rFonts w:ascii="Arial" w:eastAsia="Times New Roman" w:hAnsi="Arial" w:cs="Arial"/>
          <w:color w:val="000000"/>
          <w:sz w:val="24"/>
          <w:szCs w:val="24"/>
        </w:rPr>
        <w:t xml:space="preserve"> in </w:t>
      </w:r>
      <w:r w:rsidR="00A234D9">
        <w:rPr>
          <w:rFonts w:ascii="Arial" w:eastAsia="Times New Roman" w:hAnsi="Arial" w:cs="Arial"/>
          <w:color w:val="000000"/>
          <w:sz w:val="24"/>
          <w:szCs w:val="24"/>
        </w:rPr>
        <w:t>expensive</w:t>
      </w:r>
      <w:r w:rsidR="004F0AC0" w:rsidRPr="004F0AC0">
        <w:rPr>
          <w:rFonts w:ascii="Arial" w:eastAsia="Times New Roman" w:hAnsi="Arial" w:cs="Arial"/>
          <w:color w:val="000000"/>
          <w:sz w:val="24"/>
          <w:szCs w:val="24"/>
        </w:rPr>
        <w:t xml:space="preserve"> metro areas. </w:t>
      </w:r>
      <w:proofErr w:type="spellStart"/>
      <w:r w:rsidR="004F0AC0" w:rsidRPr="004F0AC0">
        <w:rPr>
          <w:rFonts w:ascii="Arial" w:eastAsia="Times New Roman" w:hAnsi="Arial" w:cs="Arial"/>
          <w:color w:val="000000"/>
          <w:sz w:val="24"/>
          <w:szCs w:val="24"/>
        </w:rPr>
        <w:t>NCDB</w:t>
      </w:r>
      <w:proofErr w:type="spellEnd"/>
      <w:r w:rsidR="004F0AC0" w:rsidRPr="004F0AC0">
        <w:rPr>
          <w:rFonts w:ascii="Arial" w:eastAsia="Times New Roman" w:hAnsi="Arial" w:cs="Arial"/>
          <w:color w:val="000000"/>
          <w:sz w:val="24"/>
          <w:szCs w:val="24"/>
        </w:rPr>
        <w:t xml:space="preserve"> data reveals that this is not actually the case. </w:t>
      </w:r>
      <w:r w:rsidR="00A234D9">
        <w:rPr>
          <w:rFonts w:ascii="Arial" w:eastAsia="Times New Roman" w:hAnsi="Arial" w:cs="Arial"/>
          <w:color w:val="000000"/>
          <w:sz w:val="24"/>
          <w:szCs w:val="24"/>
        </w:rPr>
        <w:t>Let’s take a look at two cities that illustrate this point.</w:t>
      </w:r>
    </w:p>
    <w:p w:rsidR="004F0AC0" w:rsidRPr="004F0AC0" w:rsidRDefault="004F0AC0" w:rsidP="004F0AC0">
      <w:pPr>
        <w:spacing w:after="0" w:line="240" w:lineRule="auto"/>
        <w:rPr>
          <w:rFonts w:ascii="Arial" w:eastAsia="Times New Roman" w:hAnsi="Arial" w:cs="Arial"/>
          <w:sz w:val="24"/>
          <w:szCs w:val="24"/>
        </w:rPr>
      </w:pPr>
    </w:p>
    <w:p w:rsidR="004F0AC0" w:rsidRDefault="004F0AC0" w:rsidP="00CA2C0D">
      <w:pPr>
        <w:spacing w:after="0" w:line="240" w:lineRule="auto"/>
        <w:rPr>
          <w:rFonts w:ascii="Arial" w:eastAsia="Times New Roman" w:hAnsi="Arial" w:cs="Arial"/>
          <w:sz w:val="24"/>
          <w:szCs w:val="24"/>
        </w:rPr>
      </w:pPr>
      <w:r w:rsidRPr="004F0AC0">
        <w:rPr>
          <w:rFonts w:ascii="Arial" w:eastAsia="Times New Roman" w:hAnsi="Arial" w:cs="Arial"/>
          <w:color w:val="000000"/>
          <w:sz w:val="24"/>
          <w:szCs w:val="24"/>
        </w:rPr>
        <w:t>San Jose is the heart of Silicon Valley, with a strong economy and many high-wage technology jobs. It also has one of the most expensive housing markets in the U</w:t>
      </w:r>
      <w:r w:rsidR="00A234D9">
        <w:rPr>
          <w:rFonts w:ascii="Arial" w:eastAsia="Times New Roman" w:hAnsi="Arial" w:cs="Arial"/>
          <w:color w:val="000000"/>
          <w:sz w:val="24"/>
          <w:szCs w:val="24"/>
        </w:rPr>
        <w:t xml:space="preserve">nited </w:t>
      </w:r>
      <w:r w:rsidRPr="004F0AC0">
        <w:rPr>
          <w:rFonts w:ascii="Arial" w:eastAsia="Times New Roman" w:hAnsi="Arial" w:cs="Arial"/>
          <w:color w:val="000000"/>
          <w:sz w:val="24"/>
          <w:szCs w:val="24"/>
        </w:rPr>
        <w:t>S</w:t>
      </w:r>
      <w:r w:rsidR="00A234D9">
        <w:rPr>
          <w:rFonts w:ascii="Arial" w:eastAsia="Times New Roman" w:hAnsi="Arial" w:cs="Arial"/>
          <w:color w:val="000000"/>
          <w:sz w:val="24"/>
          <w:szCs w:val="24"/>
        </w:rPr>
        <w:t>tates</w:t>
      </w:r>
      <w:r w:rsidRPr="004F0AC0">
        <w:rPr>
          <w:rFonts w:ascii="Arial" w:eastAsia="Times New Roman" w:hAnsi="Arial" w:cs="Arial"/>
          <w:color w:val="000000"/>
          <w:sz w:val="24"/>
          <w:szCs w:val="24"/>
        </w:rPr>
        <w:t>, where the median home sells for almost $649,000 and rents are $1,443</w:t>
      </w:r>
      <w:r w:rsidR="00A234D9">
        <w:rPr>
          <w:rFonts w:ascii="Arial" w:eastAsia="Times New Roman" w:hAnsi="Arial" w:cs="Arial"/>
          <w:color w:val="000000"/>
          <w:sz w:val="24"/>
          <w:szCs w:val="24"/>
        </w:rPr>
        <w:t xml:space="preserve"> a month</w:t>
      </w:r>
      <w:r w:rsidRPr="004F0AC0">
        <w:rPr>
          <w:rFonts w:ascii="Arial" w:eastAsia="Times New Roman" w:hAnsi="Arial" w:cs="Arial"/>
          <w:color w:val="000000"/>
          <w:sz w:val="24"/>
          <w:szCs w:val="24"/>
        </w:rPr>
        <w:t xml:space="preserve">. </w:t>
      </w:r>
      <w:r w:rsidR="00CA2C0D">
        <w:rPr>
          <w:rFonts w:ascii="Arial" w:eastAsia="Times New Roman" w:hAnsi="Arial" w:cs="Arial"/>
          <w:color w:val="000000"/>
          <w:sz w:val="24"/>
          <w:szCs w:val="24"/>
        </w:rPr>
        <w:t xml:space="preserve">In </w:t>
      </w:r>
      <w:r w:rsidRPr="004F0AC0">
        <w:rPr>
          <w:rFonts w:ascii="Arial" w:eastAsia="Times New Roman" w:hAnsi="Arial" w:cs="Arial"/>
          <w:color w:val="000000"/>
          <w:sz w:val="24"/>
          <w:szCs w:val="24"/>
        </w:rPr>
        <w:t xml:space="preserve">Detroit, on the other hand, </w:t>
      </w:r>
      <w:r w:rsidR="00CA2C0D">
        <w:rPr>
          <w:rFonts w:ascii="Arial" w:eastAsia="Times New Roman" w:hAnsi="Arial" w:cs="Arial"/>
          <w:color w:val="000000"/>
          <w:sz w:val="24"/>
          <w:szCs w:val="24"/>
        </w:rPr>
        <w:t>long-considered one of the worst</w:t>
      </w:r>
      <w:r w:rsidRPr="004F0AC0">
        <w:rPr>
          <w:rFonts w:ascii="Arial" w:eastAsia="Times New Roman" w:hAnsi="Arial" w:cs="Arial"/>
          <w:color w:val="000000"/>
          <w:sz w:val="24"/>
          <w:szCs w:val="24"/>
        </w:rPr>
        <w:t xml:space="preserve"> housing market</w:t>
      </w:r>
      <w:r w:rsidR="00CA2C0D">
        <w:rPr>
          <w:rFonts w:ascii="Arial" w:eastAsia="Times New Roman" w:hAnsi="Arial" w:cs="Arial"/>
          <w:color w:val="000000"/>
          <w:sz w:val="24"/>
          <w:szCs w:val="24"/>
        </w:rPr>
        <w:t>s, h</w:t>
      </w:r>
      <w:r w:rsidRPr="004F0AC0">
        <w:rPr>
          <w:rFonts w:ascii="Arial" w:eastAsia="Times New Roman" w:hAnsi="Arial" w:cs="Arial"/>
          <w:color w:val="000000"/>
          <w:sz w:val="24"/>
          <w:szCs w:val="24"/>
        </w:rPr>
        <w:t xml:space="preserve">omes sell for a quarter of </w:t>
      </w:r>
      <w:r w:rsidR="00CA2C0D">
        <w:rPr>
          <w:rFonts w:ascii="Arial" w:eastAsia="Times New Roman" w:hAnsi="Arial" w:cs="Arial"/>
          <w:color w:val="000000"/>
          <w:sz w:val="24"/>
          <w:szCs w:val="24"/>
        </w:rPr>
        <w:t>San Jose’s</w:t>
      </w:r>
      <w:r w:rsidRPr="004F0AC0">
        <w:rPr>
          <w:rFonts w:ascii="Arial" w:eastAsia="Times New Roman" w:hAnsi="Arial" w:cs="Arial"/>
          <w:color w:val="000000"/>
          <w:sz w:val="24"/>
          <w:szCs w:val="24"/>
        </w:rPr>
        <w:t xml:space="preserve"> </w:t>
      </w:r>
      <w:r w:rsidR="00CA2C0D">
        <w:rPr>
          <w:rFonts w:ascii="Arial" w:eastAsia="Times New Roman" w:hAnsi="Arial" w:cs="Arial"/>
          <w:color w:val="000000"/>
          <w:sz w:val="24"/>
          <w:szCs w:val="24"/>
        </w:rPr>
        <w:t xml:space="preserve">median </w:t>
      </w:r>
      <w:r w:rsidRPr="004F0AC0">
        <w:rPr>
          <w:rFonts w:ascii="Arial" w:eastAsia="Times New Roman" w:hAnsi="Arial" w:cs="Arial"/>
          <w:color w:val="000000"/>
          <w:sz w:val="24"/>
          <w:szCs w:val="24"/>
        </w:rPr>
        <w:t xml:space="preserve">price, </w:t>
      </w:r>
      <w:r w:rsidR="00CA2C0D">
        <w:rPr>
          <w:rFonts w:ascii="Arial" w:eastAsia="Times New Roman" w:hAnsi="Arial" w:cs="Arial"/>
          <w:color w:val="000000"/>
          <w:sz w:val="24"/>
          <w:szCs w:val="24"/>
        </w:rPr>
        <w:t xml:space="preserve">at </w:t>
      </w:r>
      <w:r w:rsidRPr="004F0AC0">
        <w:rPr>
          <w:rFonts w:ascii="Arial" w:eastAsia="Times New Roman" w:hAnsi="Arial" w:cs="Arial"/>
          <w:color w:val="000000"/>
          <w:sz w:val="24"/>
          <w:szCs w:val="24"/>
        </w:rPr>
        <w:t xml:space="preserve">only </w:t>
      </w:r>
      <w:r w:rsidR="00CA2C0D">
        <w:rPr>
          <w:rFonts w:ascii="Arial" w:eastAsia="Times New Roman" w:hAnsi="Arial" w:cs="Arial"/>
          <w:color w:val="000000"/>
          <w:sz w:val="24"/>
          <w:szCs w:val="24"/>
        </w:rPr>
        <w:t>$</w:t>
      </w:r>
      <w:r w:rsidRPr="004F0AC0">
        <w:rPr>
          <w:rFonts w:ascii="Arial" w:eastAsia="Times New Roman" w:hAnsi="Arial" w:cs="Arial"/>
          <w:color w:val="000000"/>
          <w:sz w:val="24"/>
          <w:szCs w:val="24"/>
        </w:rPr>
        <w:t>158,000, and median rents are a bit more than half, at $884</w:t>
      </w:r>
      <w:r w:rsidR="00CA2C0D">
        <w:rPr>
          <w:rFonts w:ascii="Arial" w:eastAsia="Times New Roman" w:hAnsi="Arial" w:cs="Arial"/>
          <w:color w:val="000000"/>
          <w:sz w:val="24"/>
          <w:szCs w:val="24"/>
        </w:rPr>
        <w:t xml:space="preserve"> a month</w:t>
      </w:r>
      <w:r w:rsidRPr="004F0AC0">
        <w:rPr>
          <w:rFonts w:ascii="Arial" w:eastAsia="Times New Roman" w:hAnsi="Arial" w:cs="Arial"/>
          <w:color w:val="000000"/>
          <w:sz w:val="24"/>
          <w:szCs w:val="24"/>
        </w:rPr>
        <w:t>.</w:t>
      </w:r>
    </w:p>
    <w:p w:rsidR="00E33C18" w:rsidRPr="004F0AC0" w:rsidRDefault="00E33C18" w:rsidP="004F0AC0">
      <w:pPr>
        <w:spacing w:after="0" w:line="240" w:lineRule="auto"/>
        <w:rPr>
          <w:rFonts w:ascii="Arial" w:eastAsia="Times New Roman" w:hAnsi="Arial" w:cs="Arial"/>
          <w:sz w:val="24"/>
          <w:szCs w:val="24"/>
        </w:rPr>
      </w:pPr>
    </w:p>
    <w:p w:rsidR="004F0AC0" w:rsidRPr="004F0AC0" w:rsidRDefault="004F0AC0" w:rsidP="004F0AC0">
      <w:pPr>
        <w:spacing w:after="0" w:line="240" w:lineRule="auto"/>
        <w:rPr>
          <w:rFonts w:ascii="Arial" w:eastAsia="Times New Roman" w:hAnsi="Arial" w:cs="Arial"/>
          <w:sz w:val="24"/>
          <w:szCs w:val="24"/>
        </w:rPr>
      </w:pPr>
      <w:r w:rsidRPr="004F0AC0">
        <w:rPr>
          <w:rFonts w:ascii="Arial" w:eastAsia="Times New Roman" w:hAnsi="Arial" w:cs="Arial"/>
          <w:color w:val="000000"/>
          <w:sz w:val="24"/>
          <w:szCs w:val="24"/>
        </w:rPr>
        <w:t>Comparing these metro areas side</w:t>
      </w:r>
      <w:r w:rsidR="00CA2C0D">
        <w:rPr>
          <w:rFonts w:ascii="Arial" w:eastAsia="Times New Roman" w:hAnsi="Arial" w:cs="Arial"/>
          <w:color w:val="000000"/>
          <w:sz w:val="24"/>
          <w:szCs w:val="24"/>
        </w:rPr>
        <w:t xml:space="preserve"> </w:t>
      </w:r>
      <w:r w:rsidRPr="004F0AC0">
        <w:rPr>
          <w:rFonts w:ascii="Arial" w:eastAsia="Times New Roman" w:hAnsi="Arial" w:cs="Arial"/>
          <w:color w:val="000000"/>
          <w:sz w:val="24"/>
          <w:szCs w:val="24"/>
        </w:rPr>
        <w:t>by</w:t>
      </w:r>
      <w:r w:rsidR="00CA2C0D">
        <w:rPr>
          <w:rFonts w:ascii="Arial" w:eastAsia="Times New Roman" w:hAnsi="Arial" w:cs="Arial"/>
          <w:color w:val="000000"/>
          <w:sz w:val="24"/>
          <w:szCs w:val="24"/>
        </w:rPr>
        <w:t xml:space="preserve"> </w:t>
      </w:r>
      <w:r w:rsidRPr="004F0AC0">
        <w:rPr>
          <w:rFonts w:ascii="Arial" w:eastAsia="Times New Roman" w:hAnsi="Arial" w:cs="Arial"/>
          <w:color w:val="000000"/>
          <w:sz w:val="24"/>
          <w:szCs w:val="24"/>
        </w:rPr>
        <w:t>side, it becomes clear that rent</w:t>
      </w:r>
      <w:r w:rsidR="00CA2C0D">
        <w:rPr>
          <w:rFonts w:ascii="Arial" w:eastAsia="Times New Roman" w:hAnsi="Arial" w:cs="Arial"/>
          <w:color w:val="000000"/>
          <w:sz w:val="24"/>
          <w:szCs w:val="24"/>
        </w:rPr>
        <w:t xml:space="preserve"> cost</w:t>
      </w:r>
      <w:r w:rsidRPr="004F0AC0">
        <w:rPr>
          <w:rFonts w:ascii="Arial" w:eastAsia="Times New Roman" w:hAnsi="Arial" w:cs="Arial"/>
          <w:color w:val="000000"/>
          <w:sz w:val="24"/>
          <w:szCs w:val="24"/>
        </w:rPr>
        <w:t xml:space="preserve"> burdens are not simply a problem exclusive to high-cost </w:t>
      </w:r>
      <w:r w:rsidR="00850B1B" w:rsidRPr="004F0AC0">
        <w:rPr>
          <w:rFonts w:ascii="Arial" w:eastAsia="Times New Roman" w:hAnsi="Arial" w:cs="Arial"/>
          <w:color w:val="000000"/>
          <w:sz w:val="24"/>
          <w:szCs w:val="24"/>
        </w:rPr>
        <w:t>areas</w:t>
      </w:r>
      <w:r w:rsidR="00014381" w:rsidRPr="00A06D30">
        <w:rPr>
          <w:rFonts w:ascii="Arial" w:eastAsia="Times New Roman" w:hAnsi="Arial" w:cs="Arial"/>
          <w:color w:val="000000"/>
          <w:sz w:val="24"/>
          <w:szCs w:val="24"/>
        </w:rPr>
        <w:t xml:space="preserve"> or even </w:t>
      </w:r>
      <w:r w:rsidR="00C03BE0">
        <w:rPr>
          <w:rFonts w:ascii="Arial" w:eastAsia="Times New Roman" w:hAnsi="Arial" w:cs="Arial"/>
          <w:color w:val="000000"/>
          <w:sz w:val="24"/>
          <w:szCs w:val="24"/>
        </w:rPr>
        <w:t xml:space="preserve">necessarily </w:t>
      </w:r>
      <w:r w:rsidR="00014381" w:rsidRPr="00A06D30">
        <w:rPr>
          <w:rFonts w:ascii="Arial" w:eastAsia="Times New Roman" w:hAnsi="Arial" w:cs="Arial"/>
          <w:color w:val="000000"/>
          <w:sz w:val="24"/>
          <w:szCs w:val="24"/>
        </w:rPr>
        <w:t>worse in high-cost areas</w:t>
      </w:r>
      <w:r w:rsidRPr="004F0AC0">
        <w:rPr>
          <w:rFonts w:ascii="Arial" w:eastAsia="Times New Roman" w:hAnsi="Arial" w:cs="Arial"/>
          <w:color w:val="000000"/>
          <w:sz w:val="24"/>
          <w:szCs w:val="24"/>
        </w:rPr>
        <w:t xml:space="preserve">. In </w:t>
      </w:r>
      <w:r w:rsidR="00C03BE0">
        <w:rPr>
          <w:rFonts w:ascii="Arial" w:eastAsia="Times New Roman" w:hAnsi="Arial" w:cs="Arial"/>
          <w:color w:val="000000"/>
          <w:sz w:val="24"/>
          <w:szCs w:val="24"/>
        </w:rPr>
        <w:t>1990</w:t>
      </w:r>
      <w:r w:rsidR="00CA2C0D">
        <w:rPr>
          <w:rFonts w:ascii="Arial" w:eastAsia="Times New Roman" w:hAnsi="Arial" w:cs="Arial"/>
          <w:color w:val="000000"/>
          <w:sz w:val="24"/>
          <w:szCs w:val="24"/>
        </w:rPr>
        <w:t>, the cost</w:t>
      </w:r>
      <w:r w:rsidRPr="004F0AC0">
        <w:rPr>
          <w:rFonts w:ascii="Arial" w:eastAsia="Times New Roman" w:hAnsi="Arial" w:cs="Arial"/>
          <w:color w:val="000000"/>
          <w:sz w:val="24"/>
          <w:szCs w:val="24"/>
        </w:rPr>
        <w:t xml:space="preserve"> burden</w:t>
      </w:r>
      <w:r w:rsidR="00CA2C0D">
        <w:rPr>
          <w:rFonts w:ascii="Arial" w:eastAsia="Times New Roman" w:hAnsi="Arial" w:cs="Arial"/>
          <w:color w:val="000000"/>
          <w:sz w:val="24"/>
          <w:szCs w:val="24"/>
        </w:rPr>
        <w:t xml:space="preserve"> rates</w:t>
      </w:r>
      <w:r w:rsidRPr="004F0AC0">
        <w:rPr>
          <w:rFonts w:ascii="Arial" w:eastAsia="Times New Roman" w:hAnsi="Arial" w:cs="Arial"/>
          <w:color w:val="000000"/>
          <w:sz w:val="24"/>
          <w:szCs w:val="24"/>
        </w:rPr>
        <w:t xml:space="preserve"> in Detroit and San Jose </w:t>
      </w:r>
      <w:r w:rsidR="00565F28">
        <w:rPr>
          <w:rFonts w:ascii="Arial" w:eastAsia="Times New Roman" w:hAnsi="Arial" w:cs="Arial"/>
          <w:color w:val="000000"/>
          <w:sz w:val="24"/>
          <w:szCs w:val="24"/>
        </w:rPr>
        <w:t>were 38</w:t>
      </w:r>
      <w:r w:rsidR="00CA2C0D">
        <w:rPr>
          <w:rFonts w:ascii="Arial" w:eastAsia="Times New Roman" w:hAnsi="Arial" w:cs="Arial"/>
          <w:color w:val="000000"/>
          <w:sz w:val="24"/>
          <w:szCs w:val="24"/>
        </w:rPr>
        <w:t xml:space="preserve"> percent</w:t>
      </w:r>
      <w:r w:rsidR="00565F28">
        <w:rPr>
          <w:rFonts w:ascii="Arial" w:eastAsia="Times New Roman" w:hAnsi="Arial" w:cs="Arial"/>
          <w:color w:val="000000"/>
          <w:sz w:val="24"/>
          <w:szCs w:val="24"/>
        </w:rPr>
        <w:t xml:space="preserve"> and 35</w:t>
      </w:r>
      <w:r w:rsidR="00CA2C0D">
        <w:rPr>
          <w:rFonts w:ascii="Arial" w:eastAsia="Times New Roman" w:hAnsi="Arial" w:cs="Arial"/>
          <w:color w:val="000000"/>
          <w:sz w:val="24"/>
          <w:szCs w:val="24"/>
        </w:rPr>
        <w:t xml:space="preserve"> percent</w:t>
      </w:r>
      <w:r w:rsidR="00565F28">
        <w:rPr>
          <w:rFonts w:ascii="Arial" w:eastAsia="Times New Roman" w:hAnsi="Arial" w:cs="Arial"/>
          <w:color w:val="000000"/>
          <w:sz w:val="24"/>
          <w:szCs w:val="24"/>
        </w:rPr>
        <w:t xml:space="preserve"> respectively</w:t>
      </w:r>
      <w:r w:rsidR="00CA2C0D">
        <w:rPr>
          <w:rFonts w:ascii="Arial" w:eastAsia="Times New Roman" w:hAnsi="Arial" w:cs="Arial"/>
          <w:color w:val="000000"/>
          <w:sz w:val="24"/>
          <w:szCs w:val="24"/>
        </w:rPr>
        <w:t>,</w:t>
      </w:r>
      <w:r w:rsidR="00565F28">
        <w:rPr>
          <w:rFonts w:ascii="Arial" w:eastAsia="Times New Roman" w:hAnsi="Arial" w:cs="Arial"/>
          <w:color w:val="000000"/>
          <w:sz w:val="24"/>
          <w:szCs w:val="24"/>
        </w:rPr>
        <w:t xml:space="preserve"> but</w:t>
      </w:r>
      <w:r w:rsidRPr="004F0AC0">
        <w:rPr>
          <w:rFonts w:ascii="Arial" w:eastAsia="Times New Roman" w:hAnsi="Arial" w:cs="Arial"/>
          <w:color w:val="000000"/>
          <w:sz w:val="24"/>
          <w:szCs w:val="24"/>
        </w:rPr>
        <w:t xml:space="preserve"> by 2010 that number had ballooned in both </w:t>
      </w:r>
      <w:r w:rsidR="001B2452">
        <w:rPr>
          <w:rFonts w:ascii="Arial" w:eastAsia="Times New Roman" w:hAnsi="Arial" w:cs="Arial"/>
          <w:color w:val="000000"/>
          <w:sz w:val="24"/>
          <w:szCs w:val="24"/>
        </w:rPr>
        <w:t xml:space="preserve">metros. </w:t>
      </w:r>
      <w:r w:rsidRPr="004F0AC0">
        <w:rPr>
          <w:rFonts w:ascii="Arial" w:eastAsia="Times New Roman" w:hAnsi="Arial" w:cs="Arial"/>
          <w:color w:val="000000"/>
          <w:sz w:val="24"/>
          <w:szCs w:val="24"/>
        </w:rPr>
        <w:t xml:space="preserve">Detroit now </w:t>
      </w:r>
      <w:r w:rsidR="001B2452">
        <w:rPr>
          <w:rFonts w:ascii="Arial" w:eastAsia="Times New Roman" w:hAnsi="Arial" w:cs="Arial"/>
          <w:color w:val="000000"/>
          <w:sz w:val="24"/>
          <w:szCs w:val="24"/>
        </w:rPr>
        <w:t>has</w:t>
      </w:r>
      <w:r w:rsidRPr="004F0AC0">
        <w:rPr>
          <w:rFonts w:ascii="Arial" w:eastAsia="Times New Roman" w:hAnsi="Arial" w:cs="Arial"/>
          <w:color w:val="000000"/>
          <w:sz w:val="24"/>
          <w:szCs w:val="24"/>
        </w:rPr>
        <w:t xml:space="preserve"> a considerably higher number of families who are rent burdened (48</w:t>
      </w:r>
      <w:r w:rsidR="00CA2C0D">
        <w:rPr>
          <w:rFonts w:ascii="Arial" w:eastAsia="Times New Roman" w:hAnsi="Arial" w:cs="Arial"/>
          <w:color w:val="000000"/>
          <w:sz w:val="24"/>
          <w:szCs w:val="24"/>
        </w:rPr>
        <w:t xml:space="preserve"> percent) than San Jose (</w:t>
      </w:r>
      <w:r w:rsidRPr="004F0AC0">
        <w:rPr>
          <w:rFonts w:ascii="Arial" w:eastAsia="Times New Roman" w:hAnsi="Arial" w:cs="Arial"/>
          <w:color w:val="000000"/>
          <w:sz w:val="24"/>
          <w:szCs w:val="24"/>
        </w:rPr>
        <w:t>40</w:t>
      </w:r>
      <w:r w:rsidR="00CA2C0D">
        <w:rPr>
          <w:rFonts w:ascii="Arial" w:eastAsia="Times New Roman" w:hAnsi="Arial" w:cs="Arial"/>
          <w:color w:val="000000"/>
          <w:sz w:val="24"/>
          <w:szCs w:val="24"/>
        </w:rPr>
        <w:t xml:space="preserve"> percent</w:t>
      </w:r>
      <w:r w:rsidRPr="004F0AC0">
        <w:rPr>
          <w:rFonts w:ascii="Arial" w:eastAsia="Times New Roman" w:hAnsi="Arial" w:cs="Arial"/>
          <w:color w:val="000000"/>
          <w:sz w:val="24"/>
          <w:szCs w:val="24"/>
        </w:rPr>
        <w:t xml:space="preserve">). </w:t>
      </w:r>
    </w:p>
    <w:p w:rsidR="004F0AC0" w:rsidRPr="004F0AC0" w:rsidRDefault="004F0AC0" w:rsidP="004F0AC0">
      <w:pPr>
        <w:spacing w:after="0" w:line="240" w:lineRule="auto"/>
        <w:rPr>
          <w:rFonts w:ascii="Arial" w:eastAsia="Times New Roman" w:hAnsi="Arial" w:cs="Arial"/>
          <w:sz w:val="24"/>
          <w:szCs w:val="24"/>
        </w:rPr>
      </w:pPr>
    </w:p>
    <w:p w:rsidR="004F0AC0" w:rsidRPr="004F0AC0" w:rsidRDefault="0040406F" w:rsidP="004F0AC0">
      <w:pPr>
        <w:spacing w:after="0" w:line="240" w:lineRule="auto"/>
        <w:rPr>
          <w:rFonts w:ascii="Arial" w:eastAsia="Times New Roman" w:hAnsi="Arial" w:cs="Arial"/>
          <w:sz w:val="24"/>
          <w:szCs w:val="24"/>
        </w:rPr>
      </w:pPr>
      <w:r>
        <w:rPr>
          <w:noProof/>
        </w:rPr>
        <w:drawing>
          <wp:inline distT="0" distB="0" distL="0" distR="0" wp14:anchorId="01D78718" wp14:editId="4466515A">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F0AC0" w:rsidRPr="004F0AC0" w:rsidRDefault="004F0AC0" w:rsidP="004F0AC0">
      <w:pPr>
        <w:spacing w:after="0" w:line="240" w:lineRule="auto"/>
        <w:rPr>
          <w:rFonts w:ascii="Arial" w:eastAsia="Times New Roman" w:hAnsi="Arial" w:cs="Arial"/>
          <w:sz w:val="24"/>
          <w:szCs w:val="24"/>
        </w:rPr>
      </w:pPr>
    </w:p>
    <w:p w:rsidR="004F0AC0" w:rsidRDefault="004F0AC0" w:rsidP="004F0AC0">
      <w:pPr>
        <w:spacing w:after="0" w:line="240" w:lineRule="auto"/>
        <w:rPr>
          <w:rFonts w:ascii="Arial" w:eastAsia="Times New Roman" w:hAnsi="Arial" w:cs="Arial"/>
          <w:color w:val="000000"/>
          <w:sz w:val="24"/>
          <w:szCs w:val="24"/>
        </w:rPr>
      </w:pPr>
      <w:r w:rsidRPr="004F0AC0">
        <w:rPr>
          <w:rFonts w:ascii="Arial" w:eastAsia="Times New Roman" w:hAnsi="Arial" w:cs="Arial"/>
          <w:color w:val="000000"/>
          <w:sz w:val="24"/>
          <w:szCs w:val="24"/>
        </w:rPr>
        <w:t xml:space="preserve">The </w:t>
      </w:r>
      <w:r w:rsidR="00CA2C0D">
        <w:rPr>
          <w:rFonts w:ascii="Arial" w:eastAsia="Times New Roman" w:hAnsi="Arial" w:cs="Arial"/>
          <w:color w:val="000000"/>
          <w:sz w:val="24"/>
          <w:szCs w:val="24"/>
        </w:rPr>
        <w:t>n</w:t>
      </w:r>
      <w:r w:rsidRPr="004F0AC0">
        <w:rPr>
          <w:rFonts w:ascii="Arial" w:eastAsia="Times New Roman" w:hAnsi="Arial" w:cs="Arial"/>
          <w:color w:val="000000"/>
          <w:sz w:val="24"/>
          <w:szCs w:val="24"/>
        </w:rPr>
        <w:t xml:space="preserve">ational picture shows very similar trends, with </w:t>
      </w:r>
      <w:r w:rsidR="00CA2C0D">
        <w:rPr>
          <w:rFonts w:ascii="Arial" w:eastAsia="Times New Roman" w:hAnsi="Arial" w:cs="Arial"/>
          <w:color w:val="000000"/>
          <w:sz w:val="24"/>
          <w:szCs w:val="24"/>
        </w:rPr>
        <w:t>cost</w:t>
      </w:r>
      <w:r w:rsidRPr="004F0AC0">
        <w:rPr>
          <w:rFonts w:ascii="Arial" w:eastAsia="Times New Roman" w:hAnsi="Arial" w:cs="Arial"/>
          <w:color w:val="000000"/>
          <w:sz w:val="24"/>
          <w:szCs w:val="24"/>
        </w:rPr>
        <w:t xml:space="preserve"> burdens rising</w:t>
      </w:r>
      <w:r w:rsidR="001B2452">
        <w:rPr>
          <w:rFonts w:ascii="Arial" w:eastAsia="Times New Roman" w:hAnsi="Arial" w:cs="Arial"/>
          <w:color w:val="000000"/>
          <w:sz w:val="24"/>
          <w:szCs w:val="24"/>
        </w:rPr>
        <w:t xml:space="preserve"> </w:t>
      </w:r>
      <w:r w:rsidR="00CA2C0D">
        <w:rPr>
          <w:rFonts w:ascii="Arial" w:eastAsia="Times New Roman" w:hAnsi="Arial" w:cs="Arial"/>
          <w:color w:val="000000"/>
          <w:sz w:val="24"/>
          <w:szCs w:val="24"/>
        </w:rPr>
        <w:t>10</w:t>
      </w:r>
      <w:r w:rsidR="001B2452">
        <w:rPr>
          <w:rFonts w:ascii="Arial" w:eastAsia="Times New Roman" w:hAnsi="Arial" w:cs="Arial"/>
          <w:color w:val="000000"/>
          <w:sz w:val="24"/>
          <w:szCs w:val="24"/>
        </w:rPr>
        <w:t xml:space="preserve"> percentage points</w:t>
      </w:r>
      <w:r w:rsidRPr="004F0AC0">
        <w:rPr>
          <w:rFonts w:ascii="Arial" w:eastAsia="Times New Roman" w:hAnsi="Arial" w:cs="Arial"/>
          <w:color w:val="000000"/>
          <w:sz w:val="24"/>
          <w:szCs w:val="24"/>
        </w:rPr>
        <w:t xml:space="preserve"> from </w:t>
      </w:r>
      <w:r w:rsidR="00565F28">
        <w:rPr>
          <w:rFonts w:ascii="Arial" w:eastAsia="Times New Roman" w:hAnsi="Arial" w:cs="Arial"/>
          <w:color w:val="000000"/>
          <w:sz w:val="24"/>
          <w:szCs w:val="24"/>
        </w:rPr>
        <w:t>34</w:t>
      </w:r>
      <w:r w:rsidR="00CA2C0D">
        <w:rPr>
          <w:rFonts w:ascii="Arial" w:eastAsia="Times New Roman" w:hAnsi="Arial" w:cs="Arial"/>
          <w:color w:val="000000"/>
          <w:sz w:val="24"/>
          <w:szCs w:val="24"/>
        </w:rPr>
        <w:t xml:space="preserve"> percent</w:t>
      </w:r>
      <w:r w:rsidRPr="004F0AC0">
        <w:rPr>
          <w:rFonts w:ascii="Arial" w:eastAsia="Times New Roman" w:hAnsi="Arial" w:cs="Arial"/>
          <w:color w:val="000000"/>
          <w:sz w:val="24"/>
          <w:szCs w:val="24"/>
        </w:rPr>
        <w:t xml:space="preserve"> in </w:t>
      </w:r>
      <w:r w:rsidR="00565F28">
        <w:rPr>
          <w:rFonts w:ascii="Arial" w:eastAsia="Times New Roman" w:hAnsi="Arial" w:cs="Arial"/>
          <w:color w:val="000000"/>
          <w:sz w:val="24"/>
          <w:szCs w:val="24"/>
        </w:rPr>
        <w:t>1990</w:t>
      </w:r>
      <w:r w:rsidRPr="004F0AC0">
        <w:rPr>
          <w:rFonts w:ascii="Arial" w:eastAsia="Times New Roman" w:hAnsi="Arial" w:cs="Arial"/>
          <w:color w:val="000000"/>
          <w:sz w:val="24"/>
          <w:szCs w:val="24"/>
        </w:rPr>
        <w:t xml:space="preserve"> to a current high of 44</w:t>
      </w:r>
      <w:r w:rsidR="00CA2C0D">
        <w:rPr>
          <w:rFonts w:ascii="Arial" w:eastAsia="Times New Roman" w:hAnsi="Arial" w:cs="Arial"/>
          <w:color w:val="000000"/>
          <w:sz w:val="24"/>
          <w:szCs w:val="24"/>
        </w:rPr>
        <w:t xml:space="preserve"> percent</w:t>
      </w:r>
      <w:r w:rsidRPr="004F0AC0">
        <w:rPr>
          <w:rFonts w:ascii="Arial" w:eastAsia="Times New Roman" w:hAnsi="Arial" w:cs="Arial"/>
          <w:color w:val="000000"/>
          <w:sz w:val="24"/>
          <w:szCs w:val="24"/>
        </w:rPr>
        <w:t>. Rent burdens are more complex than housing markets</w:t>
      </w:r>
      <w:r w:rsidR="001B2452">
        <w:rPr>
          <w:rFonts w:ascii="Arial" w:eastAsia="Times New Roman" w:hAnsi="Arial" w:cs="Arial"/>
          <w:color w:val="000000"/>
          <w:sz w:val="24"/>
          <w:szCs w:val="24"/>
        </w:rPr>
        <w:t xml:space="preserve"> themselves</w:t>
      </w:r>
      <w:r w:rsidRPr="004F0AC0">
        <w:rPr>
          <w:rFonts w:ascii="Arial" w:eastAsia="Times New Roman" w:hAnsi="Arial" w:cs="Arial"/>
          <w:color w:val="000000"/>
          <w:sz w:val="24"/>
          <w:szCs w:val="24"/>
        </w:rPr>
        <w:t>. Metro areas with weaker economies tend to have softer housing markets</w:t>
      </w:r>
      <w:r w:rsidR="00CA2C0D">
        <w:rPr>
          <w:rFonts w:ascii="Arial" w:eastAsia="Times New Roman" w:hAnsi="Arial" w:cs="Arial"/>
          <w:color w:val="000000"/>
          <w:sz w:val="24"/>
          <w:szCs w:val="24"/>
        </w:rPr>
        <w:t>,</w:t>
      </w:r>
      <w:r w:rsidRPr="004F0AC0">
        <w:rPr>
          <w:rFonts w:ascii="Arial" w:eastAsia="Times New Roman" w:hAnsi="Arial" w:cs="Arial"/>
          <w:color w:val="000000"/>
          <w:sz w:val="24"/>
          <w:szCs w:val="24"/>
        </w:rPr>
        <w:t xml:space="preserve"> but weak economies also correlate with lower incomes and higher unemployment, creating a rent burden crisis that’s national in scope.</w:t>
      </w:r>
    </w:p>
    <w:p w:rsidR="000836F2" w:rsidRDefault="000836F2" w:rsidP="004F0AC0">
      <w:pPr>
        <w:spacing w:after="0" w:line="240" w:lineRule="auto"/>
        <w:rPr>
          <w:rFonts w:ascii="Arial" w:eastAsia="Times New Roman" w:hAnsi="Arial" w:cs="Arial"/>
          <w:color w:val="000000"/>
          <w:sz w:val="24"/>
          <w:szCs w:val="24"/>
        </w:rPr>
      </w:pPr>
    </w:p>
    <w:p w:rsidR="00024FAA" w:rsidRDefault="006F2FD9" w:rsidP="004F0AC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How is this possible? </w:t>
      </w:r>
      <w:r w:rsidR="00CA2C0D">
        <w:rPr>
          <w:rFonts w:ascii="Arial" w:eastAsia="Times New Roman" w:hAnsi="Arial" w:cs="Arial"/>
          <w:color w:val="000000"/>
          <w:sz w:val="24"/>
          <w:szCs w:val="24"/>
        </w:rPr>
        <w:t>R</w:t>
      </w:r>
      <w:r w:rsidR="00024FAA">
        <w:rPr>
          <w:rFonts w:ascii="Arial" w:eastAsia="Times New Roman" w:hAnsi="Arial" w:cs="Arial"/>
          <w:color w:val="000000"/>
          <w:sz w:val="24"/>
          <w:szCs w:val="24"/>
        </w:rPr>
        <w:t>ent is only one of the two metrics needed to understand cost burdens</w:t>
      </w:r>
      <w:r w:rsidR="00E0070F">
        <w:rPr>
          <w:rFonts w:ascii="Arial" w:eastAsia="Times New Roman" w:hAnsi="Arial" w:cs="Arial"/>
          <w:color w:val="000000"/>
          <w:sz w:val="24"/>
          <w:szCs w:val="24"/>
        </w:rPr>
        <w:t>, the other is income</w:t>
      </w:r>
      <w:r w:rsidR="00024FAA">
        <w:rPr>
          <w:rFonts w:ascii="Arial" w:eastAsia="Times New Roman" w:hAnsi="Arial" w:cs="Arial"/>
          <w:color w:val="000000"/>
          <w:sz w:val="24"/>
          <w:szCs w:val="24"/>
        </w:rPr>
        <w:t>. In inflation</w:t>
      </w:r>
      <w:r w:rsidR="00CA2C0D">
        <w:rPr>
          <w:rFonts w:ascii="Arial" w:eastAsia="Times New Roman" w:hAnsi="Arial" w:cs="Arial"/>
          <w:color w:val="000000"/>
          <w:sz w:val="24"/>
          <w:szCs w:val="24"/>
        </w:rPr>
        <w:t>-</w:t>
      </w:r>
      <w:r w:rsidR="00024FAA">
        <w:rPr>
          <w:rFonts w:ascii="Arial" w:eastAsia="Times New Roman" w:hAnsi="Arial" w:cs="Arial"/>
          <w:color w:val="000000"/>
          <w:sz w:val="24"/>
          <w:szCs w:val="24"/>
        </w:rPr>
        <w:t xml:space="preserve">adjusted (2010) dollars, the average family income in San Jose has grown considerably higher than in Detroit. </w:t>
      </w:r>
      <w:r w:rsidR="006836A2">
        <w:rPr>
          <w:rFonts w:ascii="Arial" w:eastAsia="Times New Roman" w:hAnsi="Arial" w:cs="Arial"/>
          <w:color w:val="000000"/>
          <w:sz w:val="24"/>
          <w:szCs w:val="24"/>
        </w:rPr>
        <w:t xml:space="preserve">That </w:t>
      </w:r>
      <w:r w:rsidR="00024FAA">
        <w:rPr>
          <w:rFonts w:ascii="Arial" w:eastAsia="Times New Roman" w:hAnsi="Arial" w:cs="Arial"/>
          <w:color w:val="000000"/>
          <w:sz w:val="24"/>
          <w:szCs w:val="24"/>
        </w:rPr>
        <w:t>average income dipped slightly between 2000 and 2010</w:t>
      </w:r>
      <w:r w:rsidR="006836A2">
        <w:rPr>
          <w:rFonts w:ascii="Arial" w:eastAsia="Times New Roman" w:hAnsi="Arial" w:cs="Arial"/>
          <w:color w:val="000000"/>
          <w:sz w:val="24"/>
          <w:szCs w:val="24"/>
        </w:rPr>
        <w:t xml:space="preserve"> in both Detroit and San Jose, which </w:t>
      </w:r>
      <w:r w:rsidR="00024FAA">
        <w:rPr>
          <w:rFonts w:ascii="Arial" w:eastAsia="Times New Roman" w:hAnsi="Arial" w:cs="Arial"/>
          <w:color w:val="000000"/>
          <w:sz w:val="24"/>
          <w:szCs w:val="24"/>
        </w:rPr>
        <w:t xml:space="preserve">combined with steadily increasing rents </w:t>
      </w:r>
      <w:r w:rsidR="006836A2">
        <w:rPr>
          <w:rFonts w:ascii="Arial" w:eastAsia="Times New Roman" w:hAnsi="Arial" w:cs="Arial"/>
          <w:color w:val="000000"/>
          <w:sz w:val="24"/>
          <w:szCs w:val="24"/>
        </w:rPr>
        <w:t xml:space="preserve">to create </w:t>
      </w:r>
      <w:r w:rsidR="00024FAA">
        <w:rPr>
          <w:rFonts w:ascii="Arial" w:eastAsia="Times New Roman" w:hAnsi="Arial" w:cs="Arial"/>
          <w:color w:val="000000"/>
          <w:sz w:val="24"/>
          <w:szCs w:val="24"/>
        </w:rPr>
        <w:t xml:space="preserve">ever-higher </w:t>
      </w:r>
      <w:r w:rsidR="006836A2">
        <w:rPr>
          <w:rFonts w:ascii="Arial" w:eastAsia="Times New Roman" w:hAnsi="Arial" w:cs="Arial"/>
          <w:color w:val="000000"/>
          <w:sz w:val="24"/>
          <w:szCs w:val="24"/>
        </w:rPr>
        <w:t xml:space="preserve">cost </w:t>
      </w:r>
      <w:r w:rsidR="00024FAA">
        <w:rPr>
          <w:rFonts w:ascii="Arial" w:eastAsia="Times New Roman" w:hAnsi="Arial" w:cs="Arial"/>
          <w:color w:val="000000"/>
          <w:sz w:val="24"/>
          <w:szCs w:val="24"/>
        </w:rPr>
        <w:t xml:space="preserve">burdens in both cities. </w:t>
      </w:r>
    </w:p>
    <w:p w:rsidR="00024FAA" w:rsidRDefault="00024FAA" w:rsidP="004F0AC0">
      <w:pPr>
        <w:spacing w:after="0" w:line="240" w:lineRule="auto"/>
        <w:rPr>
          <w:rFonts w:ascii="Arial" w:eastAsia="Times New Roman" w:hAnsi="Arial" w:cs="Arial"/>
          <w:color w:val="000000"/>
          <w:sz w:val="24"/>
          <w:szCs w:val="24"/>
        </w:rPr>
      </w:pPr>
    </w:p>
    <w:p w:rsidR="00024FAA" w:rsidRDefault="004D4962" w:rsidP="004F0AC0">
      <w:pPr>
        <w:spacing w:after="0" w:line="240" w:lineRule="auto"/>
        <w:rPr>
          <w:rFonts w:ascii="Arial" w:eastAsia="Times New Roman" w:hAnsi="Arial" w:cs="Arial"/>
          <w:color w:val="000000"/>
          <w:sz w:val="24"/>
          <w:szCs w:val="24"/>
        </w:rPr>
      </w:pPr>
      <w:r>
        <w:rPr>
          <w:noProof/>
        </w:rPr>
        <w:drawing>
          <wp:inline distT="0" distB="0" distL="0" distR="0" wp14:anchorId="244BB4ED" wp14:editId="0768C0AB">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836F2" w:rsidRDefault="000836F2" w:rsidP="004F0AC0">
      <w:pPr>
        <w:spacing w:after="0" w:line="240" w:lineRule="auto"/>
        <w:rPr>
          <w:rFonts w:ascii="Arial" w:eastAsia="Times New Roman" w:hAnsi="Arial" w:cs="Arial"/>
          <w:color w:val="000000"/>
          <w:sz w:val="24"/>
          <w:szCs w:val="24"/>
        </w:rPr>
      </w:pPr>
    </w:p>
    <w:p w:rsidR="00B7443D" w:rsidRDefault="007D32E2" w:rsidP="004F0AC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difference</w:t>
      </w:r>
      <w:r w:rsidR="00B93E90">
        <w:rPr>
          <w:rFonts w:ascii="Arial" w:eastAsia="Times New Roman" w:hAnsi="Arial" w:cs="Arial"/>
          <w:color w:val="000000"/>
          <w:sz w:val="24"/>
          <w:szCs w:val="24"/>
        </w:rPr>
        <w:t xml:space="preserve"> in rent cost burdens</w:t>
      </w:r>
      <w:r>
        <w:rPr>
          <w:rFonts w:ascii="Arial" w:eastAsia="Times New Roman" w:hAnsi="Arial" w:cs="Arial"/>
          <w:color w:val="000000"/>
          <w:sz w:val="24"/>
          <w:szCs w:val="24"/>
        </w:rPr>
        <w:t xml:space="preserve"> becomes especially stark when you limit the </w:t>
      </w:r>
      <w:r w:rsidR="00262344">
        <w:rPr>
          <w:rFonts w:ascii="Arial" w:eastAsia="Times New Roman" w:hAnsi="Arial" w:cs="Arial"/>
          <w:color w:val="000000"/>
          <w:sz w:val="24"/>
          <w:szCs w:val="24"/>
        </w:rPr>
        <w:t>analysis to the high</w:t>
      </w:r>
      <w:r w:rsidR="00B93E90">
        <w:rPr>
          <w:rFonts w:ascii="Arial" w:eastAsia="Times New Roman" w:hAnsi="Arial" w:cs="Arial"/>
          <w:color w:val="000000"/>
          <w:sz w:val="24"/>
          <w:szCs w:val="24"/>
        </w:rPr>
        <w:t>-SES</w:t>
      </w:r>
      <w:r w:rsidR="00262344">
        <w:rPr>
          <w:rFonts w:ascii="Arial" w:eastAsia="Times New Roman" w:hAnsi="Arial" w:cs="Arial"/>
          <w:color w:val="000000"/>
          <w:sz w:val="24"/>
          <w:szCs w:val="24"/>
        </w:rPr>
        <w:t xml:space="preserve"> neighborhoods in both cities. Detroit is among a small number of metro</w:t>
      </w:r>
      <w:r w:rsidR="00B93E90">
        <w:rPr>
          <w:rFonts w:ascii="Arial" w:eastAsia="Times New Roman" w:hAnsi="Arial" w:cs="Arial"/>
          <w:color w:val="000000"/>
          <w:sz w:val="24"/>
          <w:szCs w:val="24"/>
        </w:rPr>
        <w:t>s</w:t>
      </w:r>
      <w:r w:rsidR="00262344">
        <w:rPr>
          <w:rFonts w:ascii="Arial" w:eastAsia="Times New Roman" w:hAnsi="Arial" w:cs="Arial"/>
          <w:color w:val="000000"/>
          <w:sz w:val="24"/>
          <w:szCs w:val="24"/>
        </w:rPr>
        <w:t xml:space="preserve"> where income </w:t>
      </w:r>
      <w:r w:rsidR="001B2452">
        <w:rPr>
          <w:rFonts w:ascii="Arial" w:eastAsia="Times New Roman" w:hAnsi="Arial" w:cs="Arial"/>
          <w:color w:val="000000"/>
          <w:sz w:val="24"/>
          <w:szCs w:val="24"/>
        </w:rPr>
        <w:t xml:space="preserve">actually </w:t>
      </w:r>
      <w:r w:rsidR="00262344">
        <w:rPr>
          <w:rFonts w:ascii="Arial" w:eastAsia="Times New Roman" w:hAnsi="Arial" w:cs="Arial"/>
          <w:color w:val="000000"/>
          <w:sz w:val="24"/>
          <w:szCs w:val="24"/>
        </w:rPr>
        <w:t>declined in high</w:t>
      </w:r>
      <w:r w:rsidR="00B93E90">
        <w:rPr>
          <w:rFonts w:ascii="Arial" w:eastAsia="Times New Roman" w:hAnsi="Arial" w:cs="Arial"/>
          <w:color w:val="000000"/>
          <w:sz w:val="24"/>
          <w:szCs w:val="24"/>
        </w:rPr>
        <w:t>-SES</w:t>
      </w:r>
      <w:r w:rsidR="00262344">
        <w:rPr>
          <w:rFonts w:ascii="Arial" w:eastAsia="Times New Roman" w:hAnsi="Arial" w:cs="Arial"/>
          <w:color w:val="000000"/>
          <w:sz w:val="24"/>
          <w:szCs w:val="24"/>
        </w:rPr>
        <w:t xml:space="preserve"> neighborhoods. </w:t>
      </w:r>
      <w:r w:rsidR="00B93E90">
        <w:rPr>
          <w:rFonts w:ascii="Arial" w:eastAsia="Times New Roman" w:hAnsi="Arial" w:cs="Arial"/>
          <w:color w:val="000000"/>
          <w:sz w:val="24"/>
          <w:szCs w:val="24"/>
        </w:rPr>
        <w:t>R</w:t>
      </w:r>
      <w:r w:rsidR="00262344">
        <w:rPr>
          <w:rFonts w:ascii="Arial" w:eastAsia="Times New Roman" w:hAnsi="Arial" w:cs="Arial"/>
          <w:color w:val="000000"/>
          <w:sz w:val="24"/>
          <w:szCs w:val="24"/>
        </w:rPr>
        <w:t>ent</w:t>
      </w:r>
      <w:r w:rsidR="00B93E90">
        <w:rPr>
          <w:rFonts w:ascii="Arial" w:eastAsia="Times New Roman" w:hAnsi="Arial" w:cs="Arial"/>
          <w:color w:val="000000"/>
          <w:sz w:val="24"/>
          <w:szCs w:val="24"/>
        </w:rPr>
        <w:t xml:space="preserve"> cost</w:t>
      </w:r>
      <w:r w:rsidR="00262344">
        <w:rPr>
          <w:rFonts w:ascii="Arial" w:eastAsia="Times New Roman" w:hAnsi="Arial" w:cs="Arial"/>
          <w:color w:val="000000"/>
          <w:sz w:val="24"/>
          <w:szCs w:val="24"/>
        </w:rPr>
        <w:t xml:space="preserve"> burdens in San Jose</w:t>
      </w:r>
      <w:r w:rsidR="001B2452">
        <w:rPr>
          <w:rFonts w:ascii="Arial" w:eastAsia="Times New Roman" w:hAnsi="Arial" w:cs="Arial"/>
          <w:color w:val="000000"/>
          <w:sz w:val="24"/>
          <w:szCs w:val="24"/>
        </w:rPr>
        <w:t>’s high</w:t>
      </w:r>
      <w:r w:rsidR="00B93E90">
        <w:rPr>
          <w:rFonts w:ascii="Arial" w:eastAsia="Times New Roman" w:hAnsi="Arial" w:cs="Arial"/>
          <w:color w:val="000000"/>
          <w:sz w:val="24"/>
          <w:szCs w:val="24"/>
        </w:rPr>
        <w:t>-SES</w:t>
      </w:r>
      <w:r w:rsidR="001B2452">
        <w:rPr>
          <w:rFonts w:ascii="Arial" w:eastAsia="Times New Roman" w:hAnsi="Arial" w:cs="Arial"/>
          <w:color w:val="000000"/>
          <w:sz w:val="24"/>
          <w:szCs w:val="24"/>
        </w:rPr>
        <w:t xml:space="preserve"> neighborhoods</w:t>
      </w:r>
      <w:r w:rsidR="00262344">
        <w:rPr>
          <w:rFonts w:ascii="Arial" w:eastAsia="Times New Roman" w:hAnsi="Arial" w:cs="Arial"/>
          <w:color w:val="000000"/>
          <w:sz w:val="24"/>
          <w:szCs w:val="24"/>
        </w:rPr>
        <w:t xml:space="preserve"> remained relatively flat over time</w:t>
      </w:r>
      <w:r w:rsidR="00B93E90">
        <w:rPr>
          <w:rFonts w:ascii="Arial" w:eastAsia="Times New Roman" w:hAnsi="Arial" w:cs="Arial"/>
          <w:color w:val="000000"/>
          <w:sz w:val="24"/>
          <w:szCs w:val="24"/>
        </w:rPr>
        <w:t>,</w:t>
      </w:r>
      <w:r w:rsidR="00262344">
        <w:rPr>
          <w:rFonts w:ascii="Arial" w:eastAsia="Times New Roman" w:hAnsi="Arial" w:cs="Arial"/>
          <w:color w:val="000000"/>
          <w:sz w:val="24"/>
          <w:szCs w:val="24"/>
        </w:rPr>
        <w:t xml:space="preserve"> </w:t>
      </w:r>
      <w:r w:rsidR="00B93E90">
        <w:rPr>
          <w:rFonts w:ascii="Arial" w:eastAsia="Times New Roman" w:hAnsi="Arial" w:cs="Arial"/>
          <w:color w:val="000000"/>
          <w:sz w:val="24"/>
          <w:szCs w:val="24"/>
        </w:rPr>
        <w:t>while</w:t>
      </w:r>
      <w:r w:rsidR="00262344">
        <w:rPr>
          <w:rFonts w:ascii="Arial" w:eastAsia="Times New Roman" w:hAnsi="Arial" w:cs="Arial"/>
          <w:color w:val="000000"/>
          <w:sz w:val="24"/>
          <w:szCs w:val="24"/>
        </w:rPr>
        <w:t xml:space="preserve"> in Detroit</w:t>
      </w:r>
      <w:r w:rsidR="00B93E90">
        <w:rPr>
          <w:rFonts w:ascii="Arial" w:eastAsia="Times New Roman" w:hAnsi="Arial" w:cs="Arial"/>
          <w:color w:val="000000"/>
          <w:sz w:val="24"/>
          <w:szCs w:val="24"/>
        </w:rPr>
        <w:t>,</w:t>
      </w:r>
      <w:r w:rsidR="00262344">
        <w:rPr>
          <w:rFonts w:ascii="Arial" w:eastAsia="Times New Roman" w:hAnsi="Arial" w:cs="Arial"/>
          <w:color w:val="000000"/>
          <w:sz w:val="24"/>
          <w:szCs w:val="24"/>
        </w:rPr>
        <w:t xml:space="preserve"> </w:t>
      </w:r>
      <w:r w:rsidR="00B93E90">
        <w:rPr>
          <w:rFonts w:ascii="Arial" w:eastAsia="Times New Roman" w:hAnsi="Arial" w:cs="Arial"/>
          <w:color w:val="000000"/>
          <w:sz w:val="24"/>
          <w:szCs w:val="24"/>
        </w:rPr>
        <w:t>they grew</w:t>
      </w:r>
      <w:r w:rsidR="001B2452">
        <w:rPr>
          <w:rFonts w:ascii="Arial" w:eastAsia="Times New Roman" w:hAnsi="Arial" w:cs="Arial"/>
          <w:color w:val="000000"/>
          <w:sz w:val="24"/>
          <w:szCs w:val="24"/>
        </w:rPr>
        <w:t xml:space="preserve"> </w:t>
      </w:r>
      <w:r w:rsidR="00B93E90">
        <w:rPr>
          <w:rFonts w:ascii="Arial" w:eastAsia="Times New Roman" w:hAnsi="Arial" w:cs="Arial"/>
          <w:color w:val="000000"/>
          <w:sz w:val="24"/>
          <w:szCs w:val="24"/>
        </w:rPr>
        <w:t xml:space="preserve">from 27 percent in 1990 to 42 percent in 2010, </w:t>
      </w:r>
      <w:r w:rsidR="001B2452">
        <w:rPr>
          <w:rFonts w:ascii="Arial" w:eastAsia="Times New Roman" w:hAnsi="Arial" w:cs="Arial"/>
          <w:color w:val="000000"/>
          <w:sz w:val="24"/>
          <w:szCs w:val="24"/>
        </w:rPr>
        <w:t xml:space="preserve">nearly </w:t>
      </w:r>
      <w:r w:rsidR="00B93E90">
        <w:rPr>
          <w:rFonts w:ascii="Arial" w:eastAsia="Times New Roman" w:hAnsi="Arial" w:cs="Arial"/>
          <w:color w:val="000000"/>
          <w:sz w:val="24"/>
          <w:szCs w:val="24"/>
        </w:rPr>
        <w:t xml:space="preserve">as high </w:t>
      </w:r>
      <w:r w:rsidR="001B2452">
        <w:rPr>
          <w:rFonts w:ascii="Arial" w:eastAsia="Times New Roman" w:hAnsi="Arial" w:cs="Arial"/>
          <w:color w:val="000000"/>
          <w:sz w:val="24"/>
          <w:szCs w:val="24"/>
        </w:rPr>
        <w:t>as the</w:t>
      </w:r>
      <w:r w:rsidR="00B93E90">
        <w:rPr>
          <w:rFonts w:ascii="Arial" w:eastAsia="Times New Roman" w:hAnsi="Arial" w:cs="Arial"/>
          <w:color w:val="000000"/>
          <w:sz w:val="24"/>
          <w:szCs w:val="24"/>
        </w:rPr>
        <w:t xml:space="preserve"> 2010</w:t>
      </w:r>
      <w:r w:rsidR="001B2452">
        <w:rPr>
          <w:rFonts w:ascii="Arial" w:eastAsia="Times New Roman" w:hAnsi="Arial" w:cs="Arial"/>
          <w:color w:val="000000"/>
          <w:sz w:val="24"/>
          <w:szCs w:val="24"/>
        </w:rPr>
        <w:t xml:space="preserve"> national average</w:t>
      </w:r>
      <w:r w:rsidR="00B93E90">
        <w:rPr>
          <w:rFonts w:ascii="Arial" w:eastAsia="Times New Roman" w:hAnsi="Arial" w:cs="Arial"/>
          <w:color w:val="000000"/>
          <w:sz w:val="24"/>
          <w:szCs w:val="24"/>
        </w:rPr>
        <w:t xml:space="preserve"> of X percent</w:t>
      </w:r>
      <w:r w:rsidR="001B2452">
        <w:rPr>
          <w:rFonts w:ascii="Arial" w:eastAsia="Times New Roman" w:hAnsi="Arial" w:cs="Arial"/>
          <w:color w:val="000000"/>
          <w:sz w:val="24"/>
          <w:szCs w:val="24"/>
        </w:rPr>
        <w:t>.</w:t>
      </w:r>
    </w:p>
    <w:p w:rsidR="00262344" w:rsidRDefault="00262344" w:rsidP="004F0AC0">
      <w:pPr>
        <w:spacing w:after="0" w:line="240" w:lineRule="auto"/>
        <w:rPr>
          <w:rFonts w:ascii="Arial" w:eastAsia="Times New Roman" w:hAnsi="Arial" w:cs="Arial"/>
          <w:color w:val="000000"/>
          <w:sz w:val="24"/>
          <w:szCs w:val="24"/>
        </w:rPr>
      </w:pPr>
    </w:p>
    <w:p w:rsidR="00262344" w:rsidRDefault="00262344" w:rsidP="004F0AC0">
      <w:pPr>
        <w:spacing w:after="0" w:line="240" w:lineRule="auto"/>
        <w:rPr>
          <w:rFonts w:ascii="Arial" w:eastAsia="Times New Roman" w:hAnsi="Arial" w:cs="Arial"/>
          <w:color w:val="000000"/>
          <w:sz w:val="24"/>
          <w:szCs w:val="24"/>
        </w:rPr>
      </w:pPr>
      <w:r>
        <w:rPr>
          <w:noProof/>
        </w:rPr>
        <w:drawing>
          <wp:inline distT="0" distB="0" distL="0" distR="0" wp14:anchorId="58B4080F" wp14:editId="0DA5FA2C">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2344" w:rsidRDefault="00262344" w:rsidP="004F0AC0">
      <w:pPr>
        <w:spacing w:after="0" w:line="240" w:lineRule="auto"/>
        <w:rPr>
          <w:rFonts w:ascii="Arial" w:eastAsia="Times New Roman" w:hAnsi="Arial" w:cs="Arial"/>
          <w:color w:val="000000"/>
          <w:sz w:val="24"/>
          <w:szCs w:val="24"/>
        </w:rPr>
      </w:pPr>
    </w:p>
    <w:p w:rsidR="004F0AC0" w:rsidRPr="004F0AC0" w:rsidRDefault="004F0AC0" w:rsidP="004F0AC0">
      <w:pPr>
        <w:spacing w:after="0" w:line="240" w:lineRule="auto"/>
        <w:rPr>
          <w:rFonts w:ascii="Arial" w:eastAsia="Times New Roman" w:hAnsi="Arial" w:cs="Arial"/>
          <w:sz w:val="24"/>
          <w:szCs w:val="24"/>
        </w:rPr>
      </w:pPr>
      <w:r w:rsidRPr="004F0AC0">
        <w:rPr>
          <w:rFonts w:ascii="Arial" w:eastAsia="Times New Roman" w:hAnsi="Arial" w:cs="Arial"/>
          <w:b/>
          <w:bCs/>
          <w:color w:val="000000"/>
          <w:sz w:val="24"/>
          <w:szCs w:val="24"/>
        </w:rPr>
        <w:t>The Problem is Clear</w:t>
      </w:r>
      <w:r w:rsidR="006B1BBC">
        <w:rPr>
          <w:rFonts w:ascii="Arial" w:eastAsia="Times New Roman" w:hAnsi="Arial" w:cs="Arial"/>
          <w:b/>
          <w:bCs/>
          <w:color w:val="000000"/>
          <w:sz w:val="24"/>
          <w:szCs w:val="24"/>
        </w:rPr>
        <w:t xml:space="preserve">. </w:t>
      </w:r>
      <w:r w:rsidRPr="004F0AC0">
        <w:rPr>
          <w:rFonts w:ascii="Arial" w:eastAsia="Times New Roman" w:hAnsi="Arial" w:cs="Arial"/>
          <w:b/>
          <w:bCs/>
          <w:color w:val="000000"/>
          <w:sz w:val="24"/>
          <w:szCs w:val="24"/>
        </w:rPr>
        <w:t>What’s the Fix?</w:t>
      </w:r>
    </w:p>
    <w:p w:rsidR="005A4C80" w:rsidRDefault="004F0AC0" w:rsidP="005A4C80">
      <w:pPr>
        <w:spacing w:after="0" w:line="240" w:lineRule="auto"/>
        <w:rPr>
          <w:rFonts w:ascii="Arial" w:eastAsia="Times New Roman" w:hAnsi="Arial" w:cs="Arial"/>
          <w:color w:val="000000"/>
          <w:sz w:val="24"/>
          <w:szCs w:val="24"/>
        </w:rPr>
      </w:pPr>
      <w:r w:rsidRPr="00A06D30">
        <w:rPr>
          <w:rFonts w:ascii="Arial" w:eastAsia="Times New Roman" w:hAnsi="Arial" w:cs="Arial"/>
          <w:color w:val="000000"/>
          <w:sz w:val="24"/>
          <w:szCs w:val="24"/>
        </w:rPr>
        <w:t xml:space="preserve">The problem of high rent </w:t>
      </w:r>
      <w:r w:rsidR="006B1BBC">
        <w:rPr>
          <w:rFonts w:ascii="Arial" w:eastAsia="Times New Roman" w:hAnsi="Arial" w:cs="Arial"/>
          <w:color w:val="000000"/>
          <w:sz w:val="24"/>
          <w:szCs w:val="24"/>
        </w:rPr>
        <w:t xml:space="preserve">cost </w:t>
      </w:r>
      <w:r w:rsidRPr="00A06D30">
        <w:rPr>
          <w:rFonts w:ascii="Arial" w:eastAsia="Times New Roman" w:hAnsi="Arial" w:cs="Arial"/>
          <w:color w:val="000000"/>
          <w:sz w:val="24"/>
          <w:szCs w:val="24"/>
        </w:rPr>
        <w:t xml:space="preserve">burdens has reached a critical juncture. </w:t>
      </w:r>
      <w:r w:rsidR="006A7483">
        <w:rPr>
          <w:rFonts w:ascii="Arial" w:eastAsia="Times New Roman" w:hAnsi="Arial" w:cs="Arial"/>
          <w:color w:val="000000"/>
          <w:sz w:val="24"/>
          <w:szCs w:val="24"/>
        </w:rPr>
        <w:t>Slightly less than half of American renters can’t afford their monthly housing costs</w:t>
      </w:r>
      <w:r w:rsidRPr="00A06D30">
        <w:rPr>
          <w:rFonts w:ascii="Arial" w:eastAsia="Times New Roman" w:hAnsi="Arial" w:cs="Arial"/>
          <w:color w:val="000000"/>
          <w:sz w:val="24"/>
          <w:szCs w:val="24"/>
        </w:rPr>
        <w:t xml:space="preserve">. </w:t>
      </w:r>
    </w:p>
    <w:p w:rsidR="006B1BBC" w:rsidRDefault="006B1BBC" w:rsidP="005A4C80">
      <w:pPr>
        <w:spacing w:after="0" w:line="240" w:lineRule="auto"/>
        <w:rPr>
          <w:rFonts w:ascii="Arial" w:eastAsia="Times New Roman" w:hAnsi="Arial" w:cs="Arial"/>
          <w:color w:val="000000"/>
          <w:sz w:val="24"/>
          <w:szCs w:val="24"/>
        </w:rPr>
      </w:pPr>
    </w:p>
    <w:p w:rsidR="009A25B3" w:rsidRDefault="009A25B3" w:rsidP="009A25B3">
      <w:pPr>
        <w:rPr>
          <w:rFonts w:ascii="Arial" w:eastAsia="Times New Roman" w:hAnsi="Arial" w:cs="Arial"/>
          <w:color w:val="000000"/>
          <w:sz w:val="24"/>
          <w:szCs w:val="24"/>
        </w:rPr>
      </w:pPr>
      <w:r>
        <w:rPr>
          <w:rFonts w:ascii="Arial" w:eastAsia="Times New Roman" w:hAnsi="Arial" w:cs="Arial"/>
          <w:color w:val="000000"/>
          <w:sz w:val="24"/>
          <w:szCs w:val="24"/>
        </w:rPr>
        <w:t xml:space="preserve">Strong metro economies are tied to higher rents, which makes solving the rent burden crisis a complex task for local officials. As research has shown, lower median rents do not necessarily mean lower burdens, and improving a struggling economy is not a task that cannot happen by fiat.  </w:t>
      </w:r>
    </w:p>
    <w:p w:rsidR="005A4C80" w:rsidRDefault="009A25B3" w:rsidP="009A25B3">
      <w:pPr>
        <w:rPr>
          <w:rFonts w:ascii="Arial" w:eastAsia="Times New Roman" w:hAnsi="Arial" w:cs="Arial"/>
          <w:color w:val="000000"/>
          <w:sz w:val="24"/>
          <w:szCs w:val="24"/>
        </w:rPr>
      </w:pPr>
      <w:r>
        <w:rPr>
          <w:rFonts w:ascii="Arial" w:eastAsia="Times New Roman" w:hAnsi="Arial" w:cs="Arial"/>
          <w:color w:val="000000"/>
          <w:sz w:val="24"/>
          <w:szCs w:val="24"/>
        </w:rPr>
        <w:t xml:space="preserve">In high-cost markets, one way to keep burdens from climbing out of control is to make sure the supply of new housing keeps up with demand. For very low-income renters, policymakers should ensure enough subsidized housing (or preserve the existing stock). In low-cost markets, the focus should be squarely on improving the economic reality for very low-income renters. An inexpensive apartment by national standards could still easily be out of reach for someone who works for minimum wage or who struggles to secure hours and shifts at their job. </w:t>
      </w:r>
    </w:p>
    <w:p w:rsidR="00993D7D" w:rsidRDefault="00993D7D" w:rsidP="00993D7D">
      <w:pPr>
        <w:rPr>
          <w:rFonts w:ascii="Arial" w:eastAsia="Times New Roman" w:hAnsi="Arial" w:cs="Arial"/>
          <w:color w:val="000000"/>
          <w:sz w:val="24"/>
          <w:szCs w:val="24"/>
        </w:rPr>
      </w:pPr>
    </w:p>
    <w:sectPr w:rsidR="0099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D4E06"/>
    <w:multiLevelType w:val="hybridMultilevel"/>
    <w:tmpl w:val="FE5CA9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437E039E"/>
    <w:multiLevelType w:val="hybridMultilevel"/>
    <w:tmpl w:val="C3A8B3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5244B"/>
    <w:multiLevelType w:val="hybridMultilevel"/>
    <w:tmpl w:val="102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C0"/>
    <w:rsid w:val="0000476A"/>
    <w:rsid w:val="00014381"/>
    <w:rsid w:val="00024DB5"/>
    <w:rsid w:val="00024FAA"/>
    <w:rsid w:val="000836F2"/>
    <w:rsid w:val="00085225"/>
    <w:rsid w:val="000A5F50"/>
    <w:rsid w:val="000C3A76"/>
    <w:rsid w:val="000D79C7"/>
    <w:rsid w:val="00123C4C"/>
    <w:rsid w:val="001304A8"/>
    <w:rsid w:val="001828DE"/>
    <w:rsid w:val="00197FB0"/>
    <w:rsid w:val="001B2452"/>
    <w:rsid w:val="00262344"/>
    <w:rsid w:val="00284F01"/>
    <w:rsid w:val="00292906"/>
    <w:rsid w:val="00397545"/>
    <w:rsid w:val="0040406F"/>
    <w:rsid w:val="0041704F"/>
    <w:rsid w:val="004B2F95"/>
    <w:rsid w:val="004D0AB8"/>
    <w:rsid w:val="004D28C0"/>
    <w:rsid w:val="004D4962"/>
    <w:rsid w:val="004F0AC0"/>
    <w:rsid w:val="0050326A"/>
    <w:rsid w:val="00515494"/>
    <w:rsid w:val="00544092"/>
    <w:rsid w:val="0054469D"/>
    <w:rsid w:val="005617A3"/>
    <w:rsid w:val="00565F28"/>
    <w:rsid w:val="00592C51"/>
    <w:rsid w:val="005A4C80"/>
    <w:rsid w:val="005F39DB"/>
    <w:rsid w:val="00603D3A"/>
    <w:rsid w:val="00635D60"/>
    <w:rsid w:val="00673C16"/>
    <w:rsid w:val="006836A2"/>
    <w:rsid w:val="006A7483"/>
    <w:rsid w:val="006B1BBC"/>
    <w:rsid w:val="006E6B22"/>
    <w:rsid w:val="006F2FD9"/>
    <w:rsid w:val="007951B0"/>
    <w:rsid w:val="007D32E2"/>
    <w:rsid w:val="008124CC"/>
    <w:rsid w:val="00850B1B"/>
    <w:rsid w:val="00851424"/>
    <w:rsid w:val="0085486A"/>
    <w:rsid w:val="008670AB"/>
    <w:rsid w:val="008731FF"/>
    <w:rsid w:val="00993D7D"/>
    <w:rsid w:val="009A25B3"/>
    <w:rsid w:val="009B293A"/>
    <w:rsid w:val="00A06D30"/>
    <w:rsid w:val="00A234D9"/>
    <w:rsid w:val="00A61601"/>
    <w:rsid w:val="00AE7F52"/>
    <w:rsid w:val="00B22EBA"/>
    <w:rsid w:val="00B37098"/>
    <w:rsid w:val="00B7443D"/>
    <w:rsid w:val="00B848BB"/>
    <w:rsid w:val="00B93E90"/>
    <w:rsid w:val="00BA4AB8"/>
    <w:rsid w:val="00C03BE0"/>
    <w:rsid w:val="00CA2C0D"/>
    <w:rsid w:val="00CD6FB3"/>
    <w:rsid w:val="00D04E0D"/>
    <w:rsid w:val="00D1022F"/>
    <w:rsid w:val="00D55E28"/>
    <w:rsid w:val="00DD16C8"/>
    <w:rsid w:val="00DD53E2"/>
    <w:rsid w:val="00DF327D"/>
    <w:rsid w:val="00E0070F"/>
    <w:rsid w:val="00E24F57"/>
    <w:rsid w:val="00E33C18"/>
    <w:rsid w:val="00E74437"/>
    <w:rsid w:val="00E76593"/>
    <w:rsid w:val="00F615B1"/>
    <w:rsid w:val="00FB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AC0"/>
    <w:rPr>
      <w:color w:val="0000FF"/>
      <w:u w:val="single"/>
    </w:rPr>
  </w:style>
  <w:style w:type="character" w:styleId="CommentReference">
    <w:name w:val="annotation reference"/>
    <w:basedOn w:val="DefaultParagraphFont"/>
    <w:uiPriority w:val="99"/>
    <w:semiHidden/>
    <w:unhideWhenUsed/>
    <w:rsid w:val="004F0AC0"/>
    <w:rPr>
      <w:sz w:val="16"/>
      <w:szCs w:val="16"/>
    </w:rPr>
  </w:style>
  <w:style w:type="paragraph" w:styleId="CommentText">
    <w:name w:val="annotation text"/>
    <w:basedOn w:val="Normal"/>
    <w:link w:val="CommentTextChar"/>
    <w:uiPriority w:val="99"/>
    <w:semiHidden/>
    <w:unhideWhenUsed/>
    <w:rsid w:val="004F0AC0"/>
    <w:pPr>
      <w:spacing w:line="240" w:lineRule="auto"/>
    </w:pPr>
    <w:rPr>
      <w:sz w:val="20"/>
      <w:szCs w:val="20"/>
    </w:rPr>
  </w:style>
  <w:style w:type="character" w:customStyle="1" w:styleId="CommentTextChar">
    <w:name w:val="Comment Text Char"/>
    <w:basedOn w:val="DefaultParagraphFont"/>
    <w:link w:val="CommentText"/>
    <w:uiPriority w:val="99"/>
    <w:semiHidden/>
    <w:rsid w:val="004F0AC0"/>
    <w:rPr>
      <w:sz w:val="20"/>
      <w:szCs w:val="20"/>
    </w:rPr>
  </w:style>
  <w:style w:type="paragraph" w:styleId="CommentSubject">
    <w:name w:val="annotation subject"/>
    <w:basedOn w:val="CommentText"/>
    <w:next w:val="CommentText"/>
    <w:link w:val="CommentSubjectChar"/>
    <w:uiPriority w:val="99"/>
    <w:semiHidden/>
    <w:unhideWhenUsed/>
    <w:rsid w:val="004F0AC0"/>
    <w:rPr>
      <w:b/>
      <w:bCs/>
    </w:rPr>
  </w:style>
  <w:style w:type="character" w:customStyle="1" w:styleId="CommentSubjectChar">
    <w:name w:val="Comment Subject Char"/>
    <w:basedOn w:val="CommentTextChar"/>
    <w:link w:val="CommentSubject"/>
    <w:uiPriority w:val="99"/>
    <w:semiHidden/>
    <w:rsid w:val="004F0AC0"/>
    <w:rPr>
      <w:b/>
      <w:bCs/>
      <w:sz w:val="20"/>
      <w:szCs w:val="20"/>
    </w:rPr>
  </w:style>
  <w:style w:type="paragraph" w:styleId="BalloonText">
    <w:name w:val="Balloon Text"/>
    <w:basedOn w:val="Normal"/>
    <w:link w:val="BalloonTextChar"/>
    <w:uiPriority w:val="99"/>
    <w:semiHidden/>
    <w:unhideWhenUsed/>
    <w:rsid w:val="004F0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AC0"/>
    <w:rPr>
      <w:rFonts w:ascii="Tahoma" w:hAnsi="Tahoma" w:cs="Tahoma"/>
      <w:sz w:val="16"/>
      <w:szCs w:val="16"/>
    </w:rPr>
  </w:style>
  <w:style w:type="paragraph" w:styleId="ListParagraph">
    <w:name w:val="List Paragraph"/>
    <w:basedOn w:val="Normal"/>
    <w:uiPriority w:val="34"/>
    <w:qFormat/>
    <w:rsid w:val="00A06D30"/>
    <w:pPr>
      <w:spacing w:after="0" w:line="240" w:lineRule="auto"/>
      <w:ind w:left="720"/>
    </w:pPr>
    <w:rPr>
      <w:rFonts w:ascii="Calibri" w:hAnsi="Calibri" w:cs="Times New Roman"/>
    </w:rPr>
  </w:style>
  <w:style w:type="paragraph" w:styleId="Title">
    <w:name w:val="Title"/>
    <w:basedOn w:val="Normal"/>
    <w:next w:val="Normal"/>
    <w:link w:val="TitleChar"/>
    <w:uiPriority w:val="10"/>
    <w:qFormat/>
    <w:rsid w:val="00F61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5B1"/>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603D3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AC0"/>
    <w:rPr>
      <w:color w:val="0000FF"/>
      <w:u w:val="single"/>
    </w:rPr>
  </w:style>
  <w:style w:type="character" w:styleId="CommentReference">
    <w:name w:val="annotation reference"/>
    <w:basedOn w:val="DefaultParagraphFont"/>
    <w:uiPriority w:val="99"/>
    <w:semiHidden/>
    <w:unhideWhenUsed/>
    <w:rsid w:val="004F0AC0"/>
    <w:rPr>
      <w:sz w:val="16"/>
      <w:szCs w:val="16"/>
    </w:rPr>
  </w:style>
  <w:style w:type="paragraph" w:styleId="CommentText">
    <w:name w:val="annotation text"/>
    <w:basedOn w:val="Normal"/>
    <w:link w:val="CommentTextChar"/>
    <w:uiPriority w:val="99"/>
    <w:semiHidden/>
    <w:unhideWhenUsed/>
    <w:rsid w:val="004F0AC0"/>
    <w:pPr>
      <w:spacing w:line="240" w:lineRule="auto"/>
    </w:pPr>
    <w:rPr>
      <w:sz w:val="20"/>
      <w:szCs w:val="20"/>
    </w:rPr>
  </w:style>
  <w:style w:type="character" w:customStyle="1" w:styleId="CommentTextChar">
    <w:name w:val="Comment Text Char"/>
    <w:basedOn w:val="DefaultParagraphFont"/>
    <w:link w:val="CommentText"/>
    <w:uiPriority w:val="99"/>
    <w:semiHidden/>
    <w:rsid w:val="004F0AC0"/>
    <w:rPr>
      <w:sz w:val="20"/>
      <w:szCs w:val="20"/>
    </w:rPr>
  </w:style>
  <w:style w:type="paragraph" w:styleId="CommentSubject">
    <w:name w:val="annotation subject"/>
    <w:basedOn w:val="CommentText"/>
    <w:next w:val="CommentText"/>
    <w:link w:val="CommentSubjectChar"/>
    <w:uiPriority w:val="99"/>
    <w:semiHidden/>
    <w:unhideWhenUsed/>
    <w:rsid w:val="004F0AC0"/>
    <w:rPr>
      <w:b/>
      <w:bCs/>
    </w:rPr>
  </w:style>
  <w:style w:type="character" w:customStyle="1" w:styleId="CommentSubjectChar">
    <w:name w:val="Comment Subject Char"/>
    <w:basedOn w:val="CommentTextChar"/>
    <w:link w:val="CommentSubject"/>
    <w:uiPriority w:val="99"/>
    <w:semiHidden/>
    <w:rsid w:val="004F0AC0"/>
    <w:rPr>
      <w:b/>
      <w:bCs/>
      <w:sz w:val="20"/>
      <w:szCs w:val="20"/>
    </w:rPr>
  </w:style>
  <w:style w:type="paragraph" w:styleId="BalloonText">
    <w:name w:val="Balloon Text"/>
    <w:basedOn w:val="Normal"/>
    <w:link w:val="BalloonTextChar"/>
    <w:uiPriority w:val="99"/>
    <w:semiHidden/>
    <w:unhideWhenUsed/>
    <w:rsid w:val="004F0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AC0"/>
    <w:rPr>
      <w:rFonts w:ascii="Tahoma" w:hAnsi="Tahoma" w:cs="Tahoma"/>
      <w:sz w:val="16"/>
      <w:szCs w:val="16"/>
    </w:rPr>
  </w:style>
  <w:style w:type="paragraph" w:styleId="ListParagraph">
    <w:name w:val="List Paragraph"/>
    <w:basedOn w:val="Normal"/>
    <w:uiPriority w:val="34"/>
    <w:qFormat/>
    <w:rsid w:val="00A06D30"/>
    <w:pPr>
      <w:spacing w:after="0" w:line="240" w:lineRule="auto"/>
      <w:ind w:left="720"/>
    </w:pPr>
    <w:rPr>
      <w:rFonts w:ascii="Calibri" w:hAnsi="Calibri" w:cs="Times New Roman"/>
    </w:rPr>
  </w:style>
  <w:style w:type="paragraph" w:styleId="Title">
    <w:name w:val="Title"/>
    <w:basedOn w:val="Normal"/>
    <w:next w:val="Normal"/>
    <w:link w:val="TitleChar"/>
    <w:uiPriority w:val="10"/>
    <w:qFormat/>
    <w:rsid w:val="00F61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5B1"/>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603D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6668">
      <w:bodyDiv w:val="1"/>
      <w:marLeft w:val="0"/>
      <w:marRight w:val="0"/>
      <w:marTop w:val="0"/>
      <w:marBottom w:val="0"/>
      <w:divBdr>
        <w:top w:val="none" w:sz="0" w:space="0" w:color="auto"/>
        <w:left w:val="none" w:sz="0" w:space="0" w:color="auto"/>
        <w:bottom w:val="none" w:sz="0" w:space="0" w:color="auto"/>
        <w:right w:val="none" w:sz="0" w:space="0" w:color="auto"/>
      </w:divBdr>
    </w:div>
    <w:div w:id="77791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Change in Real Income </a:t>
            </a:r>
            <a:br>
              <a:rPr lang="en-US"/>
            </a:br>
            <a:r>
              <a:rPr lang="en-US"/>
              <a:t>and Real</a:t>
            </a:r>
            <a:r>
              <a:rPr lang="en-US" baseline="0"/>
              <a:t> Rents</a:t>
            </a:r>
            <a:endParaRPr lang="en-US"/>
          </a:p>
        </c:rich>
      </c:tx>
      <c:layout/>
      <c:overlay val="0"/>
    </c:title>
    <c:autoTitleDeleted val="0"/>
    <c:plotArea>
      <c:layout/>
      <c:barChart>
        <c:barDir val="col"/>
        <c:grouping val="clustered"/>
        <c:varyColors val="0"/>
        <c:ser>
          <c:idx val="0"/>
          <c:order val="0"/>
          <c:tx>
            <c:strRef>
              <c:f>chart7!$C$16</c:f>
              <c:strCache>
                <c:ptCount val="1"/>
                <c:pt idx="0">
                  <c:v>% Change Rent</c:v>
                </c:pt>
              </c:strCache>
            </c:strRef>
          </c:tx>
          <c:invertIfNegative val="0"/>
          <c:dLbls>
            <c:showLegendKey val="0"/>
            <c:showVal val="1"/>
            <c:showCatName val="0"/>
            <c:showSerName val="0"/>
            <c:showPercent val="0"/>
            <c:showBubbleSize val="0"/>
            <c:showLeaderLines val="0"/>
          </c:dLbls>
          <c:cat>
            <c:strRef>
              <c:f>chart7!$D$15:$E$15</c:f>
              <c:strCache>
                <c:ptCount val="2"/>
                <c:pt idx="0">
                  <c:v>1990-2000</c:v>
                </c:pt>
                <c:pt idx="1">
                  <c:v>2000-2010</c:v>
                </c:pt>
              </c:strCache>
            </c:strRef>
          </c:cat>
          <c:val>
            <c:numRef>
              <c:f>chart7!$D$16:$E$16</c:f>
              <c:numCache>
                <c:formatCode>0%</c:formatCode>
                <c:ptCount val="2"/>
                <c:pt idx="0">
                  <c:v>4.6723438130746212E-2</c:v>
                </c:pt>
                <c:pt idx="1">
                  <c:v>0.12593481343262969</c:v>
                </c:pt>
              </c:numCache>
            </c:numRef>
          </c:val>
        </c:ser>
        <c:ser>
          <c:idx val="1"/>
          <c:order val="1"/>
          <c:tx>
            <c:strRef>
              <c:f>chart7!$C$17</c:f>
              <c:strCache>
                <c:ptCount val="1"/>
                <c:pt idx="0">
                  <c:v>% Change Income</c:v>
                </c:pt>
              </c:strCache>
            </c:strRef>
          </c:tx>
          <c:invertIfNegative val="0"/>
          <c:dLbls>
            <c:showLegendKey val="0"/>
            <c:showVal val="1"/>
            <c:showCatName val="0"/>
            <c:showSerName val="0"/>
            <c:showPercent val="0"/>
            <c:showBubbleSize val="0"/>
            <c:showLeaderLines val="0"/>
          </c:dLbls>
          <c:cat>
            <c:strRef>
              <c:f>chart7!$D$15:$E$15</c:f>
              <c:strCache>
                <c:ptCount val="2"/>
                <c:pt idx="0">
                  <c:v>1990-2000</c:v>
                </c:pt>
                <c:pt idx="1">
                  <c:v>2000-2010</c:v>
                </c:pt>
              </c:strCache>
            </c:strRef>
          </c:cat>
          <c:val>
            <c:numRef>
              <c:f>chart7!$D$17:$E$17</c:f>
              <c:numCache>
                <c:formatCode>0%</c:formatCode>
                <c:ptCount val="2"/>
                <c:pt idx="0">
                  <c:v>9.6088946777973833E-2</c:v>
                </c:pt>
                <c:pt idx="1">
                  <c:v>-0.11439873903584266</c:v>
                </c:pt>
              </c:numCache>
            </c:numRef>
          </c:val>
        </c:ser>
        <c:dLbls>
          <c:showLegendKey val="0"/>
          <c:showVal val="0"/>
          <c:showCatName val="0"/>
          <c:showSerName val="0"/>
          <c:showPercent val="0"/>
          <c:showBubbleSize val="0"/>
        </c:dLbls>
        <c:gapWidth val="150"/>
        <c:axId val="125448192"/>
        <c:axId val="125449728"/>
      </c:barChart>
      <c:catAx>
        <c:axId val="125448192"/>
        <c:scaling>
          <c:orientation val="minMax"/>
        </c:scaling>
        <c:delete val="0"/>
        <c:axPos val="b"/>
        <c:majorTickMark val="out"/>
        <c:minorTickMark val="none"/>
        <c:tickLblPos val="nextTo"/>
        <c:crossAx val="125449728"/>
        <c:crosses val="autoZero"/>
        <c:auto val="1"/>
        <c:lblAlgn val="ctr"/>
        <c:lblOffset val="100"/>
        <c:noMultiLvlLbl val="0"/>
      </c:catAx>
      <c:valAx>
        <c:axId val="125449728"/>
        <c:scaling>
          <c:orientation val="minMax"/>
        </c:scaling>
        <c:delete val="0"/>
        <c:axPos val="l"/>
        <c:majorGridlines/>
        <c:numFmt formatCode="0%" sourceLinked="1"/>
        <c:majorTickMark val="out"/>
        <c:minorTickMark val="none"/>
        <c:tickLblPos val="nextTo"/>
        <c:crossAx val="125448192"/>
        <c:crosses val="autoZero"/>
        <c:crossBetween val="between"/>
      </c:valAx>
    </c:plotArea>
    <c:legend>
      <c:legendPos val="r"/>
      <c:layout>
        <c:manualLayout>
          <c:xMode val="edge"/>
          <c:yMode val="edge"/>
          <c:x val="0.18830621172353451"/>
          <c:y val="0.72646799358413527"/>
          <c:w val="0.24780489938757655"/>
          <c:h val="0.16743438320209975"/>
        </c:manualLayout>
      </c:layout>
      <c:overlay val="1"/>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Rent Cost Burden, </a:t>
            </a:r>
            <a:br>
              <a:rPr lang="en-US"/>
            </a:br>
            <a:r>
              <a:rPr lang="en-US"/>
              <a:t>by</a:t>
            </a:r>
            <a:r>
              <a:rPr lang="en-US" baseline="0"/>
              <a:t> Neighborhod Socioeconomic Status</a:t>
            </a:r>
          </a:p>
        </c:rich>
      </c:tx>
      <c:layout/>
      <c:overlay val="0"/>
    </c:title>
    <c:autoTitleDeleted val="0"/>
    <c:plotArea>
      <c:layout/>
      <c:lineChart>
        <c:grouping val="standard"/>
        <c:varyColors val="0"/>
        <c:ser>
          <c:idx val="0"/>
          <c:order val="0"/>
          <c:tx>
            <c:strRef>
              <c:f>Chart2!$A$2</c:f>
              <c:strCache>
                <c:ptCount val="1"/>
                <c:pt idx="0">
                  <c:v>Low</c:v>
                </c:pt>
              </c:strCache>
            </c:strRef>
          </c:tx>
          <c:marker>
            <c:symbol val="none"/>
          </c:marker>
          <c:dLbls>
            <c:showLegendKey val="0"/>
            <c:showVal val="1"/>
            <c:showCatName val="0"/>
            <c:showSerName val="0"/>
            <c:showPercent val="0"/>
            <c:showBubbleSize val="0"/>
            <c:showLeaderLines val="0"/>
          </c:dLbls>
          <c:cat>
            <c:numRef>
              <c:f>Chart2!$B$1:$D$1</c:f>
              <c:numCache>
                <c:formatCode>General</c:formatCode>
                <c:ptCount val="3"/>
                <c:pt idx="0">
                  <c:v>1990</c:v>
                </c:pt>
                <c:pt idx="1">
                  <c:v>2000</c:v>
                </c:pt>
                <c:pt idx="2">
                  <c:v>2010</c:v>
                </c:pt>
              </c:numCache>
            </c:numRef>
          </c:cat>
          <c:val>
            <c:numRef>
              <c:f>Chart2!$B$2:$D$2</c:f>
              <c:numCache>
                <c:formatCode>0%</c:formatCode>
                <c:ptCount val="3"/>
                <c:pt idx="0">
                  <c:v>0.40643298830000002</c:v>
                </c:pt>
                <c:pt idx="1">
                  <c:v>0.3812055634</c:v>
                </c:pt>
                <c:pt idx="2">
                  <c:v>0.51804465170000003</c:v>
                </c:pt>
              </c:numCache>
            </c:numRef>
          </c:val>
          <c:smooth val="0"/>
        </c:ser>
        <c:ser>
          <c:idx val="1"/>
          <c:order val="1"/>
          <c:tx>
            <c:strRef>
              <c:f>Chart2!$A$3</c:f>
              <c:strCache>
                <c:ptCount val="1"/>
                <c:pt idx="0">
                  <c:v>Medium</c:v>
                </c:pt>
              </c:strCache>
            </c:strRef>
          </c:tx>
          <c:marker>
            <c:symbol val="none"/>
          </c:marker>
          <c:dLbls>
            <c:showLegendKey val="0"/>
            <c:showVal val="1"/>
            <c:showCatName val="0"/>
            <c:showSerName val="0"/>
            <c:showPercent val="0"/>
            <c:showBubbleSize val="0"/>
            <c:showLeaderLines val="0"/>
          </c:dLbls>
          <c:cat>
            <c:numRef>
              <c:f>Chart2!$B$1:$D$1</c:f>
              <c:numCache>
                <c:formatCode>General</c:formatCode>
                <c:ptCount val="3"/>
                <c:pt idx="0">
                  <c:v>1990</c:v>
                </c:pt>
                <c:pt idx="1">
                  <c:v>2000</c:v>
                </c:pt>
                <c:pt idx="2">
                  <c:v>2010</c:v>
                </c:pt>
              </c:numCache>
            </c:numRef>
          </c:cat>
          <c:val>
            <c:numRef>
              <c:f>Chart2!$B$3:$D$3</c:f>
              <c:numCache>
                <c:formatCode>0%</c:formatCode>
                <c:ptCount val="3"/>
                <c:pt idx="0">
                  <c:v>0.33398362469999998</c:v>
                </c:pt>
                <c:pt idx="1">
                  <c:v>0.33239808459999998</c:v>
                </c:pt>
                <c:pt idx="2">
                  <c:v>0.43915561110000001</c:v>
                </c:pt>
              </c:numCache>
            </c:numRef>
          </c:val>
          <c:smooth val="0"/>
        </c:ser>
        <c:ser>
          <c:idx val="2"/>
          <c:order val="2"/>
          <c:tx>
            <c:strRef>
              <c:f>Chart2!$A$4</c:f>
              <c:strCache>
                <c:ptCount val="1"/>
                <c:pt idx="0">
                  <c:v>High</c:v>
                </c:pt>
              </c:strCache>
            </c:strRef>
          </c:tx>
          <c:marker>
            <c:symbol val="none"/>
          </c:marker>
          <c:dLbls>
            <c:showLegendKey val="0"/>
            <c:showVal val="1"/>
            <c:showCatName val="0"/>
            <c:showSerName val="0"/>
            <c:showPercent val="0"/>
            <c:showBubbleSize val="0"/>
            <c:showLeaderLines val="0"/>
          </c:dLbls>
          <c:cat>
            <c:numRef>
              <c:f>Chart2!$B$1:$D$1</c:f>
              <c:numCache>
                <c:formatCode>General</c:formatCode>
                <c:ptCount val="3"/>
                <c:pt idx="0">
                  <c:v>1990</c:v>
                </c:pt>
                <c:pt idx="1">
                  <c:v>2000</c:v>
                </c:pt>
                <c:pt idx="2">
                  <c:v>2010</c:v>
                </c:pt>
              </c:numCache>
            </c:numRef>
          </c:cat>
          <c:val>
            <c:numRef>
              <c:f>Chart2!$B$4:$D$4</c:f>
              <c:numCache>
                <c:formatCode>0%</c:formatCode>
                <c:ptCount val="3"/>
                <c:pt idx="0">
                  <c:v>0.29901515109999999</c:v>
                </c:pt>
                <c:pt idx="1">
                  <c:v>0.30211693029999998</c:v>
                </c:pt>
                <c:pt idx="2">
                  <c:v>0.3670349175</c:v>
                </c:pt>
              </c:numCache>
            </c:numRef>
          </c:val>
          <c:smooth val="0"/>
        </c:ser>
        <c:dLbls>
          <c:showLegendKey val="0"/>
          <c:showVal val="0"/>
          <c:showCatName val="0"/>
          <c:showSerName val="0"/>
          <c:showPercent val="0"/>
          <c:showBubbleSize val="0"/>
        </c:dLbls>
        <c:marker val="1"/>
        <c:smooth val="0"/>
        <c:axId val="146223488"/>
        <c:axId val="146225408"/>
      </c:lineChart>
      <c:catAx>
        <c:axId val="146223488"/>
        <c:scaling>
          <c:orientation val="minMax"/>
        </c:scaling>
        <c:delete val="0"/>
        <c:axPos val="b"/>
        <c:numFmt formatCode="General" sourceLinked="1"/>
        <c:majorTickMark val="out"/>
        <c:minorTickMark val="none"/>
        <c:tickLblPos val="nextTo"/>
        <c:crossAx val="146225408"/>
        <c:crosses val="autoZero"/>
        <c:auto val="1"/>
        <c:lblAlgn val="ctr"/>
        <c:lblOffset val="100"/>
        <c:noMultiLvlLbl val="0"/>
      </c:catAx>
      <c:valAx>
        <c:axId val="146225408"/>
        <c:scaling>
          <c:orientation val="minMax"/>
        </c:scaling>
        <c:delete val="0"/>
        <c:axPos val="l"/>
        <c:numFmt formatCode="0%" sourceLinked="1"/>
        <c:majorTickMark val="out"/>
        <c:minorTickMark val="none"/>
        <c:tickLblPos val="nextTo"/>
        <c:crossAx val="146223488"/>
        <c:crosses val="autoZero"/>
        <c:crossBetween val="between"/>
      </c:valAx>
    </c:plotArea>
    <c:legend>
      <c:legendPos val="r"/>
      <c:layout>
        <c:manualLayout>
          <c:xMode val="edge"/>
          <c:yMode val="edge"/>
          <c:x val="0.6741106736657918"/>
          <c:y val="0.61979440069991265"/>
          <c:w val="0.178667104111986"/>
          <c:h val="0.25115157480314959"/>
        </c:manualLayout>
      </c:layout>
      <c:overlay val="1"/>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Percent of Renter Households,</a:t>
            </a:r>
            <a:br>
              <a:rPr lang="en-US"/>
            </a:br>
            <a:r>
              <a:rPr lang="en-US"/>
              <a:t>by</a:t>
            </a:r>
            <a:r>
              <a:rPr lang="en-US" baseline="0"/>
              <a:t> Neighborhood SES</a:t>
            </a:r>
            <a:endParaRPr lang="en-US"/>
          </a:p>
        </c:rich>
      </c:tx>
      <c:layout/>
      <c:overlay val="0"/>
    </c:title>
    <c:autoTitleDeleted val="0"/>
    <c:plotArea>
      <c:layout/>
      <c:barChart>
        <c:barDir val="col"/>
        <c:grouping val="clustered"/>
        <c:varyColors val="0"/>
        <c:ser>
          <c:idx val="0"/>
          <c:order val="0"/>
          <c:tx>
            <c:strRef>
              <c:f>Chart6!$A$2</c:f>
              <c:strCache>
                <c:ptCount val="1"/>
                <c:pt idx="0">
                  <c:v>Low</c:v>
                </c:pt>
              </c:strCache>
            </c:strRef>
          </c:tx>
          <c:invertIfNegative val="0"/>
          <c:dLbls>
            <c:showLegendKey val="0"/>
            <c:showVal val="1"/>
            <c:showCatName val="0"/>
            <c:showSerName val="0"/>
            <c:showPercent val="0"/>
            <c:showBubbleSize val="0"/>
            <c:showLeaderLines val="0"/>
          </c:dLbls>
          <c:cat>
            <c:numRef>
              <c:f>Chart6!$B$1:$D$1</c:f>
              <c:numCache>
                <c:formatCode>General</c:formatCode>
                <c:ptCount val="3"/>
                <c:pt idx="0">
                  <c:v>1990</c:v>
                </c:pt>
                <c:pt idx="1">
                  <c:v>2000</c:v>
                </c:pt>
                <c:pt idx="2">
                  <c:v>2010</c:v>
                </c:pt>
              </c:numCache>
            </c:numRef>
          </c:cat>
          <c:val>
            <c:numRef>
              <c:f>Chart6!$B$2:$D$2</c:f>
              <c:numCache>
                <c:formatCode>0%</c:formatCode>
                <c:ptCount val="3"/>
                <c:pt idx="0">
                  <c:v>0.51843160420000001</c:v>
                </c:pt>
                <c:pt idx="1">
                  <c:v>0.5187726319</c:v>
                </c:pt>
                <c:pt idx="2">
                  <c:v>0.55789038639999999</c:v>
                </c:pt>
              </c:numCache>
            </c:numRef>
          </c:val>
        </c:ser>
        <c:ser>
          <c:idx val="1"/>
          <c:order val="1"/>
          <c:tx>
            <c:strRef>
              <c:f>Chart6!$A$3</c:f>
              <c:strCache>
                <c:ptCount val="1"/>
                <c:pt idx="0">
                  <c:v>Medium</c:v>
                </c:pt>
              </c:strCache>
            </c:strRef>
          </c:tx>
          <c:invertIfNegative val="0"/>
          <c:dLbls>
            <c:showLegendKey val="0"/>
            <c:showVal val="1"/>
            <c:showCatName val="0"/>
            <c:showSerName val="0"/>
            <c:showPercent val="0"/>
            <c:showBubbleSize val="0"/>
            <c:showLeaderLines val="0"/>
          </c:dLbls>
          <c:cat>
            <c:numRef>
              <c:f>Chart6!$B$1:$D$1</c:f>
              <c:numCache>
                <c:formatCode>General</c:formatCode>
                <c:ptCount val="3"/>
                <c:pt idx="0">
                  <c:v>1990</c:v>
                </c:pt>
                <c:pt idx="1">
                  <c:v>2000</c:v>
                </c:pt>
                <c:pt idx="2">
                  <c:v>2010</c:v>
                </c:pt>
              </c:numCache>
            </c:numRef>
          </c:cat>
          <c:val>
            <c:numRef>
              <c:f>Chart6!$B$3:$D$3</c:f>
              <c:numCache>
                <c:formatCode>0%</c:formatCode>
                <c:ptCount val="3"/>
                <c:pt idx="0">
                  <c:v>0.34653307620000001</c:v>
                </c:pt>
                <c:pt idx="1">
                  <c:v>0.32931233799999998</c:v>
                </c:pt>
                <c:pt idx="2">
                  <c:v>0.32748038099999999</c:v>
                </c:pt>
              </c:numCache>
            </c:numRef>
          </c:val>
        </c:ser>
        <c:ser>
          <c:idx val="2"/>
          <c:order val="2"/>
          <c:tx>
            <c:strRef>
              <c:f>Chart6!$A$4</c:f>
              <c:strCache>
                <c:ptCount val="1"/>
                <c:pt idx="0">
                  <c:v>High</c:v>
                </c:pt>
              </c:strCache>
            </c:strRef>
          </c:tx>
          <c:invertIfNegative val="0"/>
          <c:dLbls>
            <c:showLegendKey val="0"/>
            <c:showVal val="1"/>
            <c:showCatName val="0"/>
            <c:showSerName val="0"/>
            <c:showPercent val="0"/>
            <c:showBubbleSize val="0"/>
            <c:showLeaderLines val="0"/>
          </c:dLbls>
          <c:cat>
            <c:numRef>
              <c:f>Chart6!$B$1:$D$1</c:f>
              <c:numCache>
                <c:formatCode>General</c:formatCode>
                <c:ptCount val="3"/>
                <c:pt idx="0">
                  <c:v>1990</c:v>
                </c:pt>
                <c:pt idx="1">
                  <c:v>2000</c:v>
                </c:pt>
                <c:pt idx="2">
                  <c:v>2010</c:v>
                </c:pt>
              </c:numCache>
            </c:numRef>
          </c:cat>
          <c:val>
            <c:numRef>
              <c:f>Chart6!$B$4:$D$4</c:f>
              <c:numCache>
                <c:formatCode>0%</c:formatCode>
                <c:ptCount val="3"/>
                <c:pt idx="0">
                  <c:v>0.27359547979999999</c:v>
                </c:pt>
                <c:pt idx="1">
                  <c:v>0.2386938978</c:v>
                </c:pt>
                <c:pt idx="2">
                  <c:v>0.21153428699999999</c:v>
                </c:pt>
              </c:numCache>
            </c:numRef>
          </c:val>
        </c:ser>
        <c:dLbls>
          <c:showLegendKey val="0"/>
          <c:showVal val="0"/>
          <c:showCatName val="0"/>
          <c:showSerName val="0"/>
          <c:showPercent val="0"/>
          <c:showBubbleSize val="0"/>
        </c:dLbls>
        <c:gapWidth val="150"/>
        <c:axId val="47688704"/>
        <c:axId val="48362240"/>
      </c:barChart>
      <c:catAx>
        <c:axId val="47688704"/>
        <c:scaling>
          <c:orientation val="minMax"/>
        </c:scaling>
        <c:delete val="1"/>
        <c:axPos val="b"/>
        <c:numFmt formatCode="General" sourceLinked="1"/>
        <c:majorTickMark val="out"/>
        <c:minorTickMark val="none"/>
        <c:tickLblPos val="nextTo"/>
        <c:crossAx val="48362240"/>
        <c:crosses val="autoZero"/>
        <c:auto val="1"/>
        <c:lblAlgn val="ctr"/>
        <c:lblOffset val="100"/>
        <c:noMultiLvlLbl val="0"/>
      </c:catAx>
      <c:valAx>
        <c:axId val="48362240"/>
        <c:scaling>
          <c:orientation val="minMax"/>
        </c:scaling>
        <c:delete val="0"/>
        <c:axPos val="l"/>
        <c:majorGridlines/>
        <c:numFmt formatCode="0%" sourceLinked="1"/>
        <c:majorTickMark val="out"/>
        <c:minorTickMark val="none"/>
        <c:tickLblPos val="nextTo"/>
        <c:crossAx val="476887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Rent</a:t>
            </a:r>
            <a:r>
              <a:rPr lang="en-US" baseline="0"/>
              <a:t> Cost Burden,</a:t>
            </a:r>
            <a:br>
              <a:rPr lang="en-US" baseline="0"/>
            </a:br>
            <a:r>
              <a:rPr lang="en-US" baseline="0"/>
              <a:t>by Metro Area</a:t>
            </a:r>
            <a:endParaRPr lang="en-US"/>
          </a:p>
        </c:rich>
      </c:tx>
      <c:layout/>
      <c:overlay val="0"/>
    </c:title>
    <c:autoTitleDeleted val="0"/>
    <c:plotArea>
      <c:layout/>
      <c:lineChart>
        <c:grouping val="standard"/>
        <c:varyColors val="0"/>
        <c:ser>
          <c:idx val="0"/>
          <c:order val="0"/>
          <c:tx>
            <c:strRef>
              <c:f>Chart4!$A$2</c:f>
              <c:strCache>
                <c:ptCount val="1"/>
                <c:pt idx="0">
                  <c:v>National</c:v>
                </c:pt>
              </c:strCache>
            </c:strRef>
          </c:tx>
          <c:marker>
            <c:symbol val="none"/>
          </c:marker>
          <c:cat>
            <c:numRef>
              <c:f>Chart4!$B$1:$D$1</c:f>
              <c:numCache>
                <c:formatCode>General</c:formatCode>
                <c:ptCount val="3"/>
                <c:pt idx="0">
                  <c:v>1990</c:v>
                </c:pt>
                <c:pt idx="1">
                  <c:v>2000</c:v>
                </c:pt>
                <c:pt idx="2">
                  <c:v>2010</c:v>
                </c:pt>
              </c:numCache>
            </c:numRef>
          </c:cat>
          <c:val>
            <c:numRef>
              <c:f>Chart4!$B$2:$D$2</c:f>
              <c:numCache>
                <c:formatCode>General</c:formatCode>
                <c:ptCount val="3"/>
                <c:pt idx="0">
                  <c:v>0.34173212040000001</c:v>
                </c:pt>
                <c:pt idx="1">
                  <c:v>0.33659376060000001</c:v>
                </c:pt>
                <c:pt idx="2">
                  <c:v>0.44423798539999998</c:v>
                </c:pt>
              </c:numCache>
            </c:numRef>
          </c:val>
          <c:smooth val="0"/>
        </c:ser>
        <c:ser>
          <c:idx val="1"/>
          <c:order val="1"/>
          <c:tx>
            <c:strRef>
              <c:f>Chart4!$A$3</c:f>
              <c:strCache>
                <c:ptCount val="1"/>
                <c:pt idx="0">
                  <c:v>Detroit</c:v>
                </c:pt>
              </c:strCache>
            </c:strRef>
          </c:tx>
          <c:marker>
            <c:symbol val="none"/>
          </c:marker>
          <c:cat>
            <c:numRef>
              <c:f>Chart4!$B$1:$D$1</c:f>
              <c:numCache>
                <c:formatCode>General</c:formatCode>
                <c:ptCount val="3"/>
                <c:pt idx="0">
                  <c:v>1990</c:v>
                </c:pt>
                <c:pt idx="1">
                  <c:v>2000</c:v>
                </c:pt>
                <c:pt idx="2">
                  <c:v>2010</c:v>
                </c:pt>
              </c:numCache>
            </c:numRef>
          </c:cat>
          <c:val>
            <c:numRef>
              <c:f>Chart4!$B$3:$D$3</c:f>
              <c:numCache>
                <c:formatCode>General</c:formatCode>
                <c:ptCount val="3"/>
                <c:pt idx="0">
                  <c:v>0.38478162199999999</c:v>
                </c:pt>
                <c:pt idx="1">
                  <c:v>0.32209476840000001</c:v>
                </c:pt>
                <c:pt idx="2">
                  <c:v>0.47915521639999997</c:v>
                </c:pt>
              </c:numCache>
            </c:numRef>
          </c:val>
          <c:smooth val="0"/>
        </c:ser>
        <c:ser>
          <c:idx val="2"/>
          <c:order val="2"/>
          <c:tx>
            <c:strRef>
              <c:f>Chart4!$A$4</c:f>
              <c:strCache>
                <c:ptCount val="1"/>
                <c:pt idx="0">
                  <c:v>San Jose</c:v>
                </c:pt>
              </c:strCache>
            </c:strRef>
          </c:tx>
          <c:marker>
            <c:symbol val="none"/>
          </c:marker>
          <c:cat>
            <c:numRef>
              <c:f>Chart4!$B$1:$D$1</c:f>
              <c:numCache>
                <c:formatCode>General</c:formatCode>
                <c:ptCount val="3"/>
                <c:pt idx="0">
                  <c:v>1990</c:v>
                </c:pt>
                <c:pt idx="1">
                  <c:v>2000</c:v>
                </c:pt>
                <c:pt idx="2">
                  <c:v>2010</c:v>
                </c:pt>
              </c:numCache>
            </c:numRef>
          </c:cat>
          <c:val>
            <c:numRef>
              <c:f>Chart4!$B$4:$D$4</c:f>
              <c:numCache>
                <c:formatCode>General</c:formatCode>
                <c:ptCount val="3"/>
                <c:pt idx="0">
                  <c:v>0.35102360300000002</c:v>
                </c:pt>
                <c:pt idx="1">
                  <c:v>0.32835101760000002</c:v>
                </c:pt>
                <c:pt idx="2">
                  <c:v>0.40169582520000002</c:v>
                </c:pt>
              </c:numCache>
            </c:numRef>
          </c:val>
          <c:smooth val="0"/>
        </c:ser>
        <c:dLbls>
          <c:showLegendKey val="0"/>
          <c:showVal val="0"/>
          <c:showCatName val="0"/>
          <c:showSerName val="0"/>
          <c:showPercent val="0"/>
          <c:showBubbleSize val="0"/>
        </c:dLbls>
        <c:marker val="1"/>
        <c:smooth val="0"/>
        <c:axId val="48754688"/>
        <c:axId val="48756224"/>
      </c:lineChart>
      <c:catAx>
        <c:axId val="48754688"/>
        <c:scaling>
          <c:orientation val="minMax"/>
        </c:scaling>
        <c:delete val="0"/>
        <c:axPos val="b"/>
        <c:numFmt formatCode="General" sourceLinked="1"/>
        <c:majorTickMark val="out"/>
        <c:minorTickMark val="none"/>
        <c:tickLblPos val="nextTo"/>
        <c:crossAx val="48756224"/>
        <c:crosses val="autoZero"/>
        <c:auto val="1"/>
        <c:lblAlgn val="ctr"/>
        <c:lblOffset val="100"/>
        <c:noMultiLvlLbl val="0"/>
      </c:catAx>
      <c:valAx>
        <c:axId val="48756224"/>
        <c:scaling>
          <c:orientation val="minMax"/>
          <c:max val="0.5"/>
        </c:scaling>
        <c:delete val="0"/>
        <c:axPos val="l"/>
        <c:majorGridlines/>
        <c:numFmt formatCode="General" sourceLinked="1"/>
        <c:majorTickMark val="out"/>
        <c:minorTickMark val="none"/>
        <c:tickLblPos val="nextTo"/>
        <c:crossAx val="48754688"/>
        <c:crosses val="autoZero"/>
        <c:crossBetween val="between"/>
      </c:valAx>
    </c:plotArea>
    <c:legend>
      <c:legendPos val="r"/>
      <c:layout/>
      <c:overlay val="1"/>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Renter Monthly Income,</a:t>
            </a:r>
          </a:p>
          <a:p>
            <a:pPr>
              <a:defRPr/>
            </a:pPr>
            <a:r>
              <a:rPr lang="en-US"/>
              <a:t>Detroit</a:t>
            </a:r>
            <a:r>
              <a:rPr lang="en-US" baseline="0"/>
              <a:t> and San Jose ($2010)</a:t>
            </a:r>
            <a:endParaRPr lang="en-US"/>
          </a:p>
        </c:rich>
      </c:tx>
      <c:layout/>
      <c:overlay val="0"/>
    </c:title>
    <c:autoTitleDeleted val="0"/>
    <c:plotArea>
      <c:layout/>
      <c:barChart>
        <c:barDir val="col"/>
        <c:grouping val="clustered"/>
        <c:varyColors val="0"/>
        <c:ser>
          <c:idx val="0"/>
          <c:order val="0"/>
          <c:tx>
            <c:strRef>
              <c:f>chart7!$A$7</c:f>
              <c:strCache>
                <c:ptCount val="1"/>
                <c:pt idx="0">
                  <c:v>Detroit Income</c:v>
                </c:pt>
              </c:strCache>
            </c:strRef>
          </c:tx>
          <c:invertIfNegative val="0"/>
          <c:dLbls>
            <c:showLegendKey val="0"/>
            <c:showVal val="1"/>
            <c:showCatName val="0"/>
            <c:showSerName val="0"/>
            <c:showPercent val="0"/>
            <c:showBubbleSize val="0"/>
            <c:showLeaderLines val="0"/>
          </c:dLbls>
          <c:cat>
            <c:numRef>
              <c:f>chart7!$C$6:$E$6</c:f>
              <c:numCache>
                <c:formatCode>General</c:formatCode>
                <c:ptCount val="3"/>
                <c:pt idx="0">
                  <c:v>1990</c:v>
                </c:pt>
                <c:pt idx="1">
                  <c:v>2000</c:v>
                </c:pt>
                <c:pt idx="2">
                  <c:v>2010</c:v>
                </c:pt>
              </c:numCache>
            </c:numRef>
          </c:cat>
          <c:val>
            <c:numRef>
              <c:f>chart7!$C$7:$E$7</c:f>
              <c:numCache>
                <c:formatCode>"$"#,##0</c:formatCode>
                <c:ptCount val="3"/>
                <c:pt idx="0">
                  <c:v>3358.5292301579998</c:v>
                </c:pt>
                <c:pt idx="1">
                  <c:v>3839.6989196898003</c:v>
                </c:pt>
                <c:pt idx="2">
                  <c:v>3400.4422049999998</c:v>
                </c:pt>
              </c:numCache>
            </c:numRef>
          </c:val>
        </c:ser>
        <c:ser>
          <c:idx val="1"/>
          <c:order val="1"/>
          <c:tx>
            <c:strRef>
              <c:f>chart7!$A$8</c:f>
              <c:strCache>
                <c:ptCount val="1"/>
                <c:pt idx="0">
                  <c:v>San Jose Income</c:v>
                </c:pt>
              </c:strCache>
            </c:strRef>
          </c:tx>
          <c:invertIfNegative val="0"/>
          <c:dLbls>
            <c:showLegendKey val="0"/>
            <c:showVal val="1"/>
            <c:showCatName val="0"/>
            <c:showSerName val="0"/>
            <c:showPercent val="0"/>
            <c:showBubbleSize val="0"/>
            <c:showLeaderLines val="0"/>
          </c:dLbls>
          <c:cat>
            <c:numRef>
              <c:f>chart7!$C$6:$E$6</c:f>
              <c:numCache>
                <c:formatCode>General</c:formatCode>
                <c:ptCount val="3"/>
                <c:pt idx="0">
                  <c:v>1990</c:v>
                </c:pt>
                <c:pt idx="1">
                  <c:v>2000</c:v>
                </c:pt>
                <c:pt idx="2">
                  <c:v>2010</c:v>
                </c:pt>
              </c:numCache>
            </c:numRef>
          </c:cat>
          <c:val>
            <c:numRef>
              <c:f>chart7!$C$8:$E$8</c:f>
              <c:numCache>
                <c:formatCode>"$"#,##0</c:formatCode>
                <c:ptCount val="3"/>
                <c:pt idx="0">
                  <c:v>5153.5999409619999</c:v>
                </c:pt>
                <c:pt idx="1">
                  <c:v>6420.4494012702007</c:v>
                </c:pt>
                <c:pt idx="2">
                  <c:v>5484.1130997999999</c:v>
                </c:pt>
              </c:numCache>
            </c:numRef>
          </c:val>
        </c:ser>
        <c:dLbls>
          <c:showLegendKey val="0"/>
          <c:showVal val="0"/>
          <c:showCatName val="0"/>
          <c:showSerName val="0"/>
          <c:showPercent val="0"/>
          <c:showBubbleSize val="0"/>
        </c:dLbls>
        <c:gapWidth val="150"/>
        <c:axId val="49651072"/>
        <c:axId val="49751168"/>
      </c:barChart>
      <c:catAx>
        <c:axId val="49651072"/>
        <c:scaling>
          <c:orientation val="minMax"/>
        </c:scaling>
        <c:delete val="0"/>
        <c:axPos val="b"/>
        <c:numFmt formatCode="General" sourceLinked="1"/>
        <c:majorTickMark val="out"/>
        <c:minorTickMark val="none"/>
        <c:tickLblPos val="nextTo"/>
        <c:crossAx val="49751168"/>
        <c:crosses val="autoZero"/>
        <c:auto val="1"/>
        <c:lblAlgn val="ctr"/>
        <c:lblOffset val="100"/>
        <c:noMultiLvlLbl val="0"/>
      </c:catAx>
      <c:valAx>
        <c:axId val="49751168"/>
        <c:scaling>
          <c:orientation val="minMax"/>
        </c:scaling>
        <c:delete val="0"/>
        <c:axPos val="l"/>
        <c:numFmt formatCode="&quot;$&quot;#,##0" sourceLinked="1"/>
        <c:majorTickMark val="out"/>
        <c:minorTickMark val="none"/>
        <c:tickLblPos val="nextTo"/>
        <c:crossAx val="496510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Rent Cost Burden in High-SES Neighborhoods</a:t>
            </a:r>
          </a:p>
        </c:rich>
      </c:tx>
      <c:layout/>
      <c:overlay val="0"/>
    </c:title>
    <c:autoTitleDeleted val="0"/>
    <c:plotArea>
      <c:layout/>
      <c:barChart>
        <c:barDir val="col"/>
        <c:grouping val="clustered"/>
        <c:varyColors val="0"/>
        <c:ser>
          <c:idx val="0"/>
          <c:order val="0"/>
          <c:tx>
            <c:strRef>
              <c:f>'chart 8'!$A$2</c:f>
              <c:strCache>
                <c:ptCount val="1"/>
                <c:pt idx="0">
                  <c:v>Detroit</c:v>
                </c:pt>
              </c:strCache>
            </c:strRef>
          </c:tx>
          <c:invertIfNegative val="0"/>
          <c:dLbls>
            <c:showLegendKey val="0"/>
            <c:showVal val="1"/>
            <c:showCatName val="0"/>
            <c:showSerName val="0"/>
            <c:showPercent val="0"/>
            <c:showBubbleSize val="0"/>
            <c:showLeaderLines val="0"/>
          </c:dLbls>
          <c:cat>
            <c:numRef>
              <c:f>'chart 8'!$B$1:$D$1</c:f>
              <c:numCache>
                <c:formatCode>General</c:formatCode>
                <c:ptCount val="3"/>
                <c:pt idx="0">
                  <c:v>1990</c:v>
                </c:pt>
                <c:pt idx="1">
                  <c:v>2000</c:v>
                </c:pt>
                <c:pt idx="2">
                  <c:v>2010</c:v>
                </c:pt>
              </c:numCache>
            </c:numRef>
          </c:cat>
          <c:val>
            <c:numRef>
              <c:f>'chart 8'!$B$2:$D$2</c:f>
              <c:numCache>
                <c:formatCode>0%</c:formatCode>
                <c:ptCount val="3"/>
                <c:pt idx="0">
                  <c:v>0.268091739</c:v>
                </c:pt>
                <c:pt idx="1">
                  <c:v>0.29410259690000001</c:v>
                </c:pt>
                <c:pt idx="2">
                  <c:v>0.42255838979999999</c:v>
                </c:pt>
              </c:numCache>
            </c:numRef>
          </c:val>
        </c:ser>
        <c:ser>
          <c:idx val="1"/>
          <c:order val="1"/>
          <c:tx>
            <c:strRef>
              <c:f>'chart 8'!$A$3</c:f>
              <c:strCache>
                <c:ptCount val="1"/>
                <c:pt idx="0">
                  <c:v>San Jose</c:v>
                </c:pt>
              </c:strCache>
            </c:strRef>
          </c:tx>
          <c:invertIfNegative val="0"/>
          <c:dLbls>
            <c:showLegendKey val="0"/>
            <c:showVal val="1"/>
            <c:showCatName val="0"/>
            <c:showSerName val="0"/>
            <c:showPercent val="0"/>
            <c:showBubbleSize val="0"/>
            <c:showLeaderLines val="0"/>
          </c:dLbls>
          <c:cat>
            <c:numRef>
              <c:f>'chart 8'!$B$1:$D$1</c:f>
              <c:numCache>
                <c:formatCode>General</c:formatCode>
                <c:ptCount val="3"/>
                <c:pt idx="0">
                  <c:v>1990</c:v>
                </c:pt>
                <c:pt idx="1">
                  <c:v>2000</c:v>
                </c:pt>
                <c:pt idx="2">
                  <c:v>2010</c:v>
                </c:pt>
              </c:numCache>
            </c:numRef>
          </c:cat>
          <c:val>
            <c:numRef>
              <c:f>'chart 8'!$B$3:$D$3</c:f>
              <c:numCache>
                <c:formatCode>0%</c:formatCode>
                <c:ptCount val="3"/>
                <c:pt idx="0">
                  <c:v>0.30563163869999999</c:v>
                </c:pt>
                <c:pt idx="1">
                  <c:v>0.30300687850000002</c:v>
                </c:pt>
                <c:pt idx="2">
                  <c:v>0.31950114870000001</c:v>
                </c:pt>
              </c:numCache>
            </c:numRef>
          </c:val>
        </c:ser>
        <c:dLbls>
          <c:showLegendKey val="0"/>
          <c:showVal val="0"/>
          <c:showCatName val="0"/>
          <c:showSerName val="0"/>
          <c:showPercent val="0"/>
          <c:showBubbleSize val="0"/>
        </c:dLbls>
        <c:gapWidth val="150"/>
        <c:axId val="50100864"/>
        <c:axId val="50123136"/>
      </c:barChart>
      <c:catAx>
        <c:axId val="50100864"/>
        <c:scaling>
          <c:orientation val="minMax"/>
        </c:scaling>
        <c:delete val="0"/>
        <c:axPos val="b"/>
        <c:numFmt formatCode="General" sourceLinked="1"/>
        <c:majorTickMark val="out"/>
        <c:minorTickMark val="none"/>
        <c:tickLblPos val="nextTo"/>
        <c:crossAx val="50123136"/>
        <c:crosses val="autoZero"/>
        <c:auto val="1"/>
        <c:lblAlgn val="ctr"/>
        <c:lblOffset val="100"/>
        <c:noMultiLvlLbl val="0"/>
      </c:catAx>
      <c:valAx>
        <c:axId val="50123136"/>
        <c:scaling>
          <c:orientation val="minMax"/>
        </c:scaling>
        <c:delete val="0"/>
        <c:axPos val="l"/>
        <c:numFmt formatCode="0%" sourceLinked="1"/>
        <c:majorTickMark val="out"/>
        <c:minorTickMark val="none"/>
        <c:tickLblPos val="nextTo"/>
        <c:crossAx val="501008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6D5B0-5BDF-4070-8995-4DA13F26B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Pitingolo, Rob</dc:creator>
  <cp:lastModifiedBy>Slei</cp:lastModifiedBy>
  <cp:revision>3</cp:revision>
  <cp:lastPrinted>2015-03-10T19:08:00Z</cp:lastPrinted>
  <dcterms:created xsi:type="dcterms:W3CDTF">2015-03-17T15:39:00Z</dcterms:created>
  <dcterms:modified xsi:type="dcterms:W3CDTF">2015-03-17T15:40:00Z</dcterms:modified>
</cp:coreProperties>
</file>