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27B" w:rsidRPr="005F20D2" w:rsidRDefault="0075027B" w:rsidP="005F20D2">
      <w:pPr>
        <w:pStyle w:val="NoSpacing"/>
        <w:jc w:val="center"/>
        <w:rPr>
          <w:b/>
          <w:sz w:val="24"/>
          <w:u w:val="single"/>
        </w:rPr>
      </w:pPr>
      <w:r w:rsidRPr="005F20D2">
        <w:rPr>
          <w:b/>
          <w:sz w:val="24"/>
          <w:u w:val="single"/>
        </w:rPr>
        <w:t>2015-16 Pell Awards</w:t>
      </w:r>
    </w:p>
    <w:p w:rsidR="005F20D2" w:rsidRPr="00A07E51" w:rsidRDefault="005F20D2" w:rsidP="005F20D2">
      <w:pPr>
        <w:pStyle w:val="NoSpacing"/>
        <w:jc w:val="center"/>
        <w:rPr>
          <w:sz w:val="24"/>
          <w:u w:val="single"/>
        </w:rPr>
      </w:pPr>
    </w:p>
    <w:p w:rsidR="0075027B" w:rsidRDefault="0075027B" w:rsidP="0075027B">
      <w:pPr>
        <w:pStyle w:val="NoSpacing"/>
        <w:numPr>
          <w:ilvl w:val="0"/>
          <w:numId w:val="8"/>
        </w:numPr>
        <w:rPr>
          <w:sz w:val="24"/>
        </w:rPr>
      </w:pPr>
      <w:r w:rsidRPr="0075027B">
        <w:rPr>
          <w:sz w:val="24"/>
        </w:rPr>
        <w:t>Use 2014 AGI</w:t>
      </w:r>
      <w:r w:rsidR="001828BC">
        <w:rPr>
          <w:sz w:val="24"/>
        </w:rPr>
        <w:t xml:space="preserve"> (parents</w:t>
      </w:r>
      <w:r w:rsidR="005F20D2">
        <w:rPr>
          <w:sz w:val="24"/>
        </w:rPr>
        <w:t>’</w:t>
      </w:r>
      <w:r w:rsidR="001828BC">
        <w:rPr>
          <w:sz w:val="24"/>
        </w:rPr>
        <w:t xml:space="preserve"> AGI if dependent, student/spouse</w:t>
      </w:r>
      <w:r w:rsidR="005F20D2">
        <w:rPr>
          <w:sz w:val="24"/>
        </w:rPr>
        <w:t>’s</w:t>
      </w:r>
      <w:r w:rsidR="001828BC">
        <w:rPr>
          <w:sz w:val="24"/>
        </w:rPr>
        <w:t xml:space="preserve"> AGI if independent)</w:t>
      </w:r>
    </w:p>
    <w:p w:rsidR="0075027B" w:rsidRDefault="0075027B" w:rsidP="00376477">
      <w:pPr>
        <w:pStyle w:val="NoSpacing"/>
        <w:numPr>
          <w:ilvl w:val="0"/>
          <w:numId w:val="8"/>
        </w:numPr>
        <w:rPr>
          <w:sz w:val="24"/>
        </w:rPr>
      </w:pPr>
      <w:r>
        <w:rPr>
          <w:sz w:val="24"/>
        </w:rPr>
        <w:t>Max Pell grant of $5,775 for full-time, full-year students</w:t>
      </w:r>
      <w:r w:rsidR="005F20D2">
        <w:rPr>
          <w:sz w:val="24"/>
        </w:rPr>
        <w:t xml:space="preserve"> (except for Pell on a Postcard for larger family sizes).</w:t>
      </w:r>
      <w:r w:rsidR="00376477">
        <w:rPr>
          <w:sz w:val="24"/>
        </w:rPr>
        <w:t xml:space="preserve"> (Based on Department of Education Federal Pell Grant Payment Schedules </w:t>
      </w:r>
      <w:hyperlink r:id="rId8" w:history="1">
        <w:r w:rsidR="00376477" w:rsidRPr="0042398D">
          <w:rPr>
            <w:rStyle w:val="Hyperlink"/>
            <w:sz w:val="24"/>
          </w:rPr>
          <w:t>https://ifap.ed.gov/dpcletters/GEN1502.html</w:t>
        </w:r>
      </w:hyperlink>
      <w:r w:rsidR="00376477">
        <w:rPr>
          <w:sz w:val="24"/>
        </w:rPr>
        <w:t>.)</w:t>
      </w:r>
    </w:p>
    <w:p w:rsidR="00A07E51" w:rsidRDefault="00A07E51" w:rsidP="0075027B">
      <w:pPr>
        <w:pStyle w:val="NoSpacing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All proposals move Pell down to zero if </w:t>
      </w:r>
      <w:r w:rsidR="001828BC">
        <w:rPr>
          <w:sz w:val="24"/>
        </w:rPr>
        <w:t>Pell is below $</w:t>
      </w:r>
      <w:r>
        <w:rPr>
          <w:sz w:val="24"/>
        </w:rPr>
        <w:t>288</w:t>
      </w:r>
      <w:r w:rsidR="001828BC">
        <w:rPr>
          <w:sz w:val="24"/>
        </w:rPr>
        <w:t>,</w:t>
      </w:r>
      <w:r>
        <w:rPr>
          <w:sz w:val="24"/>
        </w:rPr>
        <w:t xml:space="preserve"> and up to $577 if between $288 and </w:t>
      </w:r>
      <w:r w:rsidR="001828BC">
        <w:rPr>
          <w:sz w:val="24"/>
        </w:rPr>
        <w:t>$577 with the exception of the Pell on a Postcard Proposal, which rounds down to 0 if below $300 and up to $600 if between $300 and $600.</w:t>
      </w:r>
    </w:p>
    <w:p w:rsidR="00C95D6B" w:rsidRPr="00C95D6B" w:rsidRDefault="00C95D6B" w:rsidP="00C95D6B">
      <w:pPr>
        <w:pStyle w:val="NoSpacing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2015-2016 FAFSA: </w:t>
      </w:r>
      <w:hyperlink r:id="rId9" w:history="1">
        <w:r w:rsidRPr="000C6BE7">
          <w:rPr>
            <w:rStyle w:val="Hyperlink"/>
            <w:sz w:val="24"/>
          </w:rPr>
          <w:t>https://studentaid.ed.gov/sa/sites/default/files/2015-16-fafsa-worksheet.pdf</w:t>
        </w:r>
      </w:hyperlink>
      <w:r>
        <w:rPr>
          <w:sz w:val="24"/>
        </w:rPr>
        <w:t xml:space="preserve">, and </w:t>
      </w:r>
      <w:r w:rsidRPr="00C95D6B">
        <w:rPr>
          <w:sz w:val="24"/>
        </w:rPr>
        <w:t xml:space="preserve">2015-16 EFC formula: </w:t>
      </w:r>
      <w:hyperlink r:id="rId10" w:history="1">
        <w:r w:rsidRPr="00C95D6B">
          <w:rPr>
            <w:rStyle w:val="Hyperlink"/>
            <w:sz w:val="24"/>
          </w:rPr>
          <w:t>http://ifap.ed.gov/efcformulaguide/attachments/090214EFCFormulaGuide1516.pdf</w:t>
        </w:r>
      </w:hyperlink>
      <w:r w:rsidRPr="00C95D6B">
        <w:rPr>
          <w:sz w:val="24"/>
        </w:rPr>
        <w:t xml:space="preserve"> </w:t>
      </w:r>
    </w:p>
    <w:p w:rsidR="0075027B" w:rsidRDefault="0075027B" w:rsidP="0075027B">
      <w:pPr>
        <w:pStyle w:val="NoSpacing"/>
        <w:ind w:left="720"/>
        <w:rPr>
          <w:sz w:val="24"/>
        </w:rPr>
      </w:pPr>
    </w:p>
    <w:p w:rsidR="00C95D6B" w:rsidRPr="0075027B" w:rsidRDefault="00C95D6B" w:rsidP="0075027B">
      <w:pPr>
        <w:pStyle w:val="NoSpacing"/>
        <w:ind w:left="720"/>
        <w:rPr>
          <w:sz w:val="24"/>
        </w:rPr>
      </w:pPr>
      <w:bookmarkStart w:id="0" w:name="_GoBack"/>
      <w:bookmarkEnd w:id="0"/>
    </w:p>
    <w:p w:rsidR="00E050DF" w:rsidRPr="0075027B" w:rsidRDefault="00E050DF" w:rsidP="00A07E51">
      <w:pPr>
        <w:pStyle w:val="NoSpacing"/>
        <w:numPr>
          <w:ilvl w:val="0"/>
          <w:numId w:val="9"/>
        </w:numPr>
        <w:ind w:left="360"/>
        <w:rPr>
          <w:b/>
          <w:i/>
          <w:sz w:val="24"/>
        </w:rPr>
      </w:pPr>
      <w:r w:rsidRPr="0075027B">
        <w:rPr>
          <w:b/>
          <w:i/>
          <w:sz w:val="24"/>
        </w:rPr>
        <w:t>Two-</w:t>
      </w:r>
      <w:r w:rsidR="00245DAF">
        <w:rPr>
          <w:b/>
          <w:i/>
          <w:sz w:val="24"/>
        </w:rPr>
        <w:t>f</w:t>
      </w:r>
      <w:r w:rsidRPr="0075027B">
        <w:rPr>
          <w:b/>
          <w:i/>
          <w:sz w:val="24"/>
        </w:rPr>
        <w:t>actor Pell</w:t>
      </w:r>
    </w:p>
    <w:p w:rsidR="00ED644E" w:rsidRPr="002426A5" w:rsidRDefault="00E050DF" w:rsidP="002426A5">
      <w:pPr>
        <w:pStyle w:val="NoSpacing"/>
        <w:numPr>
          <w:ilvl w:val="0"/>
          <w:numId w:val="4"/>
        </w:numPr>
        <w:rPr>
          <w:sz w:val="24"/>
        </w:rPr>
      </w:pPr>
      <w:r>
        <w:rPr>
          <w:sz w:val="24"/>
        </w:rPr>
        <w:t>AGI</w:t>
      </w:r>
      <w:r w:rsidR="002426A5">
        <w:rPr>
          <w:sz w:val="24"/>
        </w:rPr>
        <w:t>, f</w:t>
      </w:r>
      <w:r w:rsidRPr="002426A5">
        <w:rPr>
          <w:sz w:val="24"/>
        </w:rPr>
        <w:t>amily size</w:t>
      </w:r>
      <w:r w:rsidRPr="002426A5">
        <w:rPr>
          <w:sz w:val="24"/>
        </w:rPr>
        <w:tab/>
      </w:r>
      <w:r w:rsidRPr="002426A5">
        <w:rPr>
          <w:sz w:val="24"/>
        </w:rPr>
        <w:tab/>
      </w:r>
      <w:r w:rsidRPr="002426A5">
        <w:rPr>
          <w:sz w:val="24"/>
        </w:rPr>
        <w:tab/>
      </w:r>
      <w:r w:rsidRPr="002426A5">
        <w:rPr>
          <w:sz w:val="24"/>
        </w:rPr>
        <w:tab/>
      </w:r>
    </w:p>
    <w:p w:rsidR="00E050DF" w:rsidRPr="00E050DF" w:rsidRDefault="00245DAF" w:rsidP="00A07E51">
      <w:pPr>
        <w:pStyle w:val="NoSpacing"/>
        <w:numPr>
          <w:ilvl w:val="0"/>
          <w:numId w:val="9"/>
        </w:numPr>
        <w:ind w:left="360"/>
        <w:rPr>
          <w:b/>
          <w:i/>
          <w:sz w:val="24"/>
        </w:rPr>
      </w:pPr>
      <w:r>
        <w:rPr>
          <w:b/>
          <w:i/>
          <w:sz w:val="24"/>
        </w:rPr>
        <w:t>Three-f</w:t>
      </w:r>
      <w:r w:rsidR="00E050DF" w:rsidRPr="00E050DF">
        <w:rPr>
          <w:b/>
          <w:i/>
          <w:sz w:val="24"/>
        </w:rPr>
        <w:t>actor Pell</w:t>
      </w:r>
    </w:p>
    <w:p w:rsidR="00E050DF" w:rsidRDefault="00E050DF" w:rsidP="002426A5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AGI</w:t>
      </w:r>
      <w:r w:rsidR="002426A5">
        <w:rPr>
          <w:sz w:val="24"/>
        </w:rPr>
        <w:t>, family size, n</w:t>
      </w:r>
      <w:r w:rsidRPr="002426A5">
        <w:rPr>
          <w:sz w:val="24"/>
        </w:rPr>
        <w:t>umber of family members in college</w:t>
      </w:r>
      <w:r w:rsidR="002426A5" w:rsidRPr="002426A5">
        <w:rPr>
          <w:sz w:val="24"/>
        </w:rPr>
        <w:t xml:space="preserve"> (other than student)</w:t>
      </w:r>
    </w:p>
    <w:p w:rsidR="0075027B" w:rsidRDefault="0075027B" w:rsidP="0075027B">
      <w:pPr>
        <w:pStyle w:val="NoSpacing"/>
        <w:rPr>
          <w:sz w:val="24"/>
        </w:rPr>
      </w:pPr>
    </w:p>
    <w:p w:rsidR="0075027B" w:rsidRDefault="004F7904" w:rsidP="0075027B">
      <w:pPr>
        <w:pStyle w:val="NoSpacing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Pell</m:t>
              </m:r>
            </m:e>
            <m:sub>
              <m:r>
                <w:rPr>
                  <w:rFonts w:ascii="Cambria Math" w:hAnsi="Cambria Math"/>
                  <w:sz w:val="24"/>
                </w:rPr>
                <m:t>Fulltime</m:t>
              </m:r>
            </m:sub>
          </m:sSub>
          <m:r>
            <w:rPr>
              <w:rFonts w:ascii="Cambria Math" w:hAnsi="Cambria Math"/>
              <w:sz w:val="24"/>
            </w:rPr>
            <m:t>=$5,775-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AGI-150% of pov</m:t>
              </m:r>
            </m:e>
          </m:d>
          <m:r>
            <w:rPr>
              <w:rFonts w:ascii="Cambria Math" w:hAnsi="Cambria Math"/>
              <w:sz w:val="24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$5,775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250% of pov-150% of pov</m:t>
                  </m:r>
                </m:den>
              </m:f>
            </m:e>
          </m:d>
        </m:oMath>
      </m:oMathPara>
    </w:p>
    <w:p w:rsidR="0075027B" w:rsidRDefault="0075027B" w:rsidP="0075027B">
      <w:pPr>
        <w:pStyle w:val="NoSpacing"/>
        <w:rPr>
          <w:sz w:val="24"/>
          <w:szCs w:val="24"/>
        </w:rPr>
      </w:pPr>
    </w:p>
    <w:p w:rsidR="0075027B" w:rsidRDefault="0075027B" w:rsidP="0075027B">
      <w:pPr>
        <w:pStyle w:val="NoSpacing"/>
        <w:rPr>
          <w:sz w:val="24"/>
        </w:rPr>
      </w:pPr>
      <w:r>
        <w:rPr>
          <w:sz w:val="24"/>
          <w:szCs w:val="24"/>
        </w:rPr>
        <w:t xml:space="preserve">The </w:t>
      </w:r>
      <w:r w:rsidR="00245DAF">
        <w:rPr>
          <w:sz w:val="24"/>
          <w:szCs w:val="24"/>
        </w:rPr>
        <w:t>t</w:t>
      </w:r>
      <w:r w:rsidRPr="002426A5">
        <w:rPr>
          <w:sz w:val="24"/>
          <w:szCs w:val="24"/>
        </w:rPr>
        <w:t>wo-</w:t>
      </w:r>
      <w:r>
        <w:rPr>
          <w:sz w:val="24"/>
          <w:szCs w:val="24"/>
        </w:rPr>
        <w:t xml:space="preserve"> and</w:t>
      </w:r>
      <w:r w:rsidR="00245DAF">
        <w:rPr>
          <w:sz w:val="24"/>
          <w:szCs w:val="24"/>
        </w:rPr>
        <w:t xml:space="preserve"> three-f</w:t>
      </w:r>
      <w:r w:rsidRPr="002426A5">
        <w:rPr>
          <w:sz w:val="24"/>
          <w:szCs w:val="24"/>
        </w:rPr>
        <w:t>actor Pell</w:t>
      </w:r>
      <w:r w:rsidR="00245DAF">
        <w:rPr>
          <w:sz w:val="24"/>
          <w:szCs w:val="24"/>
        </w:rPr>
        <w:t xml:space="preserve"> p</w:t>
      </w:r>
      <w:r>
        <w:rPr>
          <w:sz w:val="24"/>
          <w:szCs w:val="24"/>
        </w:rPr>
        <w:t xml:space="preserve">roposals </w:t>
      </w:r>
      <w:r w:rsidRPr="002426A5">
        <w:rPr>
          <w:sz w:val="24"/>
          <w:szCs w:val="24"/>
        </w:rPr>
        <w:t xml:space="preserve">award Pell amounts based on your AGI as a percent of poverty for a family of </w:t>
      </w:r>
      <w:r w:rsidR="00A07E51">
        <w:rPr>
          <w:sz w:val="24"/>
          <w:szCs w:val="24"/>
        </w:rPr>
        <w:t>a given</w:t>
      </w:r>
      <w:r w:rsidRPr="002426A5">
        <w:rPr>
          <w:sz w:val="24"/>
          <w:szCs w:val="24"/>
        </w:rPr>
        <w:t xml:space="preserve"> size</w:t>
      </w:r>
      <w:r w:rsidR="005E73E4">
        <w:rPr>
          <w:sz w:val="24"/>
          <w:szCs w:val="24"/>
        </w:rPr>
        <w:t xml:space="preserve"> using the above equation</w:t>
      </w:r>
      <w:r w:rsidR="00245DAF">
        <w:rPr>
          <w:sz w:val="24"/>
          <w:szCs w:val="24"/>
        </w:rPr>
        <w:t>. For the three-f</w:t>
      </w:r>
      <w:r>
        <w:rPr>
          <w:sz w:val="24"/>
          <w:szCs w:val="24"/>
        </w:rPr>
        <w:t xml:space="preserve">actor model, additional family members in college (not including the student themselves) are counted twice in family size (so </w:t>
      </w:r>
      <w:r w:rsidRPr="00047299">
        <w:rPr>
          <w:sz w:val="24"/>
        </w:rPr>
        <w:t>if a student had an actual family size of two and the other family member was also in college</w:t>
      </w:r>
      <w:r>
        <w:rPr>
          <w:sz w:val="24"/>
          <w:szCs w:val="24"/>
        </w:rPr>
        <w:t xml:space="preserve"> then </w:t>
      </w:r>
      <w:proofErr w:type="gramStart"/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use poverty guideline for family of three). </w:t>
      </w:r>
      <w:proofErr w:type="gramStart"/>
      <w:r>
        <w:rPr>
          <w:sz w:val="24"/>
          <w:szCs w:val="24"/>
        </w:rPr>
        <w:t>Based on 2014 HHS Poverty Guidelines (</w:t>
      </w:r>
      <w:hyperlink r:id="rId11" w:history="1">
        <w:r w:rsidRPr="00056F04">
          <w:rPr>
            <w:rStyle w:val="Hyperlink"/>
            <w:sz w:val="24"/>
            <w:szCs w:val="24"/>
          </w:rPr>
          <w:t>http://aspe.hhs.gov/2014-poverty-guidelines</w:t>
        </w:r>
      </w:hyperlink>
      <w:r>
        <w:rPr>
          <w:sz w:val="24"/>
          <w:szCs w:val="24"/>
        </w:rPr>
        <w:t xml:space="preserve">, </w:t>
      </w:r>
      <w:r w:rsidR="009C78BA">
        <w:rPr>
          <w:sz w:val="24"/>
          <w:szCs w:val="24"/>
        </w:rPr>
        <w:t xml:space="preserve">using guidelines </w:t>
      </w:r>
      <w:r>
        <w:rPr>
          <w:sz w:val="24"/>
          <w:szCs w:val="24"/>
        </w:rPr>
        <w:t>for the 48 contiguous states and DC)</w:t>
      </w:r>
      <w:r w:rsidRPr="002426A5">
        <w:rPr>
          <w:sz w:val="24"/>
          <w:szCs w:val="24"/>
        </w:rPr>
        <w:t>.</w:t>
      </w:r>
      <w:proofErr w:type="gramEnd"/>
    </w:p>
    <w:p w:rsidR="00A07E51" w:rsidRPr="002426A5" w:rsidRDefault="00A07E51" w:rsidP="0075027B">
      <w:pPr>
        <w:pStyle w:val="NoSpacing"/>
        <w:rPr>
          <w:sz w:val="24"/>
        </w:rPr>
      </w:pPr>
    </w:p>
    <w:p w:rsidR="00E050DF" w:rsidRPr="002426A5" w:rsidRDefault="00E050DF" w:rsidP="00A07E51">
      <w:pPr>
        <w:pStyle w:val="NoSpacing"/>
        <w:numPr>
          <w:ilvl w:val="0"/>
          <w:numId w:val="9"/>
        </w:numPr>
        <w:ind w:left="360"/>
        <w:rPr>
          <w:b/>
          <w:i/>
          <w:sz w:val="24"/>
        </w:rPr>
      </w:pPr>
      <w:r w:rsidRPr="002426A5">
        <w:rPr>
          <w:b/>
          <w:i/>
          <w:sz w:val="24"/>
        </w:rPr>
        <w:t>Hamilton Project</w:t>
      </w:r>
    </w:p>
    <w:p w:rsidR="00E050DF" w:rsidRDefault="00E050DF" w:rsidP="002426A5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>AGI</w:t>
      </w:r>
      <w:r w:rsidR="002426A5">
        <w:rPr>
          <w:sz w:val="24"/>
        </w:rPr>
        <w:t>, f</w:t>
      </w:r>
      <w:r w:rsidRPr="002426A5">
        <w:rPr>
          <w:sz w:val="24"/>
        </w:rPr>
        <w:t>amily size</w:t>
      </w:r>
      <w:r w:rsidR="0075027B">
        <w:rPr>
          <w:sz w:val="24"/>
        </w:rPr>
        <w:t>, dependent or independent student</w:t>
      </w:r>
    </w:p>
    <w:p w:rsidR="0075027B" w:rsidRDefault="0075027B" w:rsidP="0075027B">
      <w:pPr>
        <w:pStyle w:val="NoSpacing"/>
        <w:rPr>
          <w:sz w:val="24"/>
        </w:rPr>
      </w:pPr>
    </w:p>
    <w:p w:rsidR="00A07E51" w:rsidRDefault="00245DAF" w:rsidP="0075027B">
      <w:pPr>
        <w:pStyle w:val="NoSpacing"/>
        <w:rPr>
          <w:sz w:val="24"/>
        </w:rPr>
      </w:pPr>
      <w:r>
        <w:rPr>
          <w:sz w:val="24"/>
        </w:rPr>
        <w:t>For the Hamilton Project p</w:t>
      </w:r>
      <w:r w:rsidR="0075027B">
        <w:rPr>
          <w:sz w:val="24"/>
        </w:rPr>
        <w:t>roposal, dependent student Pell awards are calculated in the same way as Two-Factor Pell. For independent students, they receive max of $5,775 if they have AGI below 200% of poverty (based on family size)</w:t>
      </w:r>
      <w:r w:rsidR="00A07E51">
        <w:rPr>
          <w:sz w:val="24"/>
        </w:rPr>
        <w:t>, or half-size award of $2</w:t>
      </w:r>
      <w:r w:rsidR="009C78BA">
        <w:rPr>
          <w:sz w:val="24"/>
        </w:rPr>
        <w:t>,</w:t>
      </w:r>
      <w:r w:rsidR="00A07E51">
        <w:rPr>
          <w:sz w:val="24"/>
        </w:rPr>
        <w:t>888 if they have AGI between 200% and 250% of poverty (based on family size).</w:t>
      </w:r>
    </w:p>
    <w:p w:rsidR="00A07E51" w:rsidRPr="002426A5" w:rsidRDefault="00A07E51" w:rsidP="0075027B">
      <w:pPr>
        <w:pStyle w:val="NoSpacing"/>
        <w:rPr>
          <w:sz w:val="24"/>
        </w:rPr>
      </w:pPr>
    </w:p>
    <w:p w:rsidR="00E050DF" w:rsidRDefault="00245DAF" w:rsidP="00A07E51">
      <w:pPr>
        <w:pStyle w:val="NoSpacing"/>
        <w:numPr>
          <w:ilvl w:val="0"/>
          <w:numId w:val="9"/>
        </w:numPr>
        <w:ind w:left="360"/>
        <w:rPr>
          <w:b/>
          <w:i/>
          <w:sz w:val="24"/>
        </w:rPr>
      </w:pPr>
      <w:r>
        <w:rPr>
          <w:b/>
          <w:i/>
          <w:sz w:val="24"/>
        </w:rPr>
        <w:t xml:space="preserve">Original </w:t>
      </w:r>
      <w:r w:rsidR="00E050DF" w:rsidRPr="002426A5">
        <w:rPr>
          <w:b/>
          <w:i/>
          <w:sz w:val="24"/>
        </w:rPr>
        <w:t>Pell on a Postcard</w:t>
      </w:r>
    </w:p>
    <w:p w:rsidR="002426A5" w:rsidRPr="002426A5" w:rsidRDefault="002426A5" w:rsidP="002426A5">
      <w:pPr>
        <w:pStyle w:val="NoSpacing"/>
        <w:numPr>
          <w:ilvl w:val="0"/>
          <w:numId w:val="6"/>
        </w:numPr>
        <w:rPr>
          <w:b/>
          <w:i/>
          <w:sz w:val="24"/>
        </w:rPr>
      </w:pPr>
      <w:r>
        <w:rPr>
          <w:sz w:val="24"/>
        </w:rPr>
        <w:t>AGI,</w:t>
      </w:r>
      <w:r>
        <w:rPr>
          <w:b/>
          <w:i/>
          <w:sz w:val="24"/>
        </w:rPr>
        <w:t xml:space="preserve"> </w:t>
      </w:r>
      <w:r>
        <w:rPr>
          <w:sz w:val="24"/>
        </w:rPr>
        <w:t>n</w:t>
      </w:r>
      <w:r w:rsidRPr="002426A5">
        <w:rPr>
          <w:sz w:val="24"/>
        </w:rPr>
        <w:t xml:space="preserve">umber of children </w:t>
      </w:r>
      <w:r w:rsidR="00245DAF">
        <w:rPr>
          <w:sz w:val="24"/>
        </w:rPr>
        <w:t xml:space="preserve">in family </w:t>
      </w:r>
      <w:r w:rsidRPr="002426A5">
        <w:rPr>
          <w:sz w:val="24"/>
        </w:rPr>
        <w:t>(other than student)</w:t>
      </w:r>
    </w:p>
    <w:p w:rsidR="00E050DF" w:rsidRDefault="00245DAF" w:rsidP="00A07E51">
      <w:pPr>
        <w:pStyle w:val="NoSpacing"/>
        <w:numPr>
          <w:ilvl w:val="0"/>
          <w:numId w:val="9"/>
        </w:numPr>
        <w:ind w:left="360"/>
        <w:rPr>
          <w:b/>
          <w:i/>
          <w:sz w:val="24"/>
        </w:rPr>
      </w:pPr>
      <w:r>
        <w:rPr>
          <w:b/>
          <w:i/>
          <w:sz w:val="24"/>
        </w:rPr>
        <w:t xml:space="preserve">Modified </w:t>
      </w:r>
      <w:r w:rsidR="00E050DF" w:rsidRPr="002426A5">
        <w:rPr>
          <w:b/>
          <w:i/>
          <w:sz w:val="24"/>
        </w:rPr>
        <w:t xml:space="preserve">Pell on a </w:t>
      </w:r>
      <w:r>
        <w:rPr>
          <w:b/>
          <w:i/>
          <w:sz w:val="24"/>
        </w:rPr>
        <w:t>Postcard</w:t>
      </w:r>
    </w:p>
    <w:p w:rsidR="002426A5" w:rsidRPr="002426A5" w:rsidRDefault="002426A5" w:rsidP="002426A5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2426A5">
        <w:rPr>
          <w:sz w:val="24"/>
          <w:szCs w:val="24"/>
        </w:rPr>
        <w:t xml:space="preserve">AGI, number of children </w:t>
      </w:r>
      <w:r w:rsidR="00245DAF">
        <w:rPr>
          <w:sz w:val="24"/>
          <w:szCs w:val="24"/>
        </w:rPr>
        <w:t xml:space="preserve">in family </w:t>
      </w:r>
      <w:r w:rsidRPr="002426A5">
        <w:rPr>
          <w:sz w:val="24"/>
          <w:szCs w:val="24"/>
        </w:rPr>
        <w:t>(other than student)</w:t>
      </w:r>
    </w:p>
    <w:p w:rsidR="00A07E51" w:rsidRDefault="00A07E51" w:rsidP="00A07E51">
      <w:pPr>
        <w:pStyle w:val="NoSpacing"/>
      </w:pPr>
    </w:p>
    <w:p w:rsidR="00F33702" w:rsidRDefault="00245DAF" w:rsidP="00A07E51">
      <w:pPr>
        <w:pStyle w:val="NoSpacing"/>
        <w:rPr>
          <w:sz w:val="24"/>
        </w:rPr>
      </w:pPr>
      <w:r>
        <w:rPr>
          <w:sz w:val="24"/>
        </w:rPr>
        <w:lastRenderedPageBreak/>
        <w:t xml:space="preserve">The Pell </w:t>
      </w:r>
      <w:proofErr w:type="gramStart"/>
      <w:r>
        <w:rPr>
          <w:sz w:val="24"/>
        </w:rPr>
        <w:t>on a p</w:t>
      </w:r>
      <w:r w:rsidR="002426A5" w:rsidRPr="00A07E51">
        <w:rPr>
          <w:sz w:val="24"/>
        </w:rPr>
        <w:t>ostcard proposals</w:t>
      </w:r>
      <w:proofErr w:type="gramEnd"/>
      <w:r w:rsidR="00A07E51">
        <w:rPr>
          <w:sz w:val="24"/>
        </w:rPr>
        <w:t xml:space="preserve"> are look-up tables rather than formulas</w:t>
      </w:r>
      <w:r w:rsidR="005F20D2">
        <w:rPr>
          <w:sz w:val="24"/>
        </w:rPr>
        <w:t xml:space="preserve"> (see next page)</w:t>
      </w:r>
      <w:r w:rsidR="00A07E51">
        <w:rPr>
          <w:sz w:val="24"/>
        </w:rPr>
        <w:t>.</w:t>
      </w:r>
      <w:r w:rsidR="005F20D2">
        <w:rPr>
          <w:sz w:val="24"/>
        </w:rPr>
        <w:t xml:space="preserve"> Max Pell can go up to $6,775 (for full-time, full-year students with at least</w:t>
      </w:r>
      <w:r w:rsidR="00993577">
        <w:rPr>
          <w:sz w:val="24"/>
        </w:rPr>
        <w:t xml:space="preserve"> four</w:t>
      </w:r>
      <w:r w:rsidR="005F20D2">
        <w:rPr>
          <w:sz w:val="24"/>
        </w:rPr>
        <w:t xml:space="preserve"> children in family and AGI below threshold).</w:t>
      </w:r>
      <w:r w:rsidR="009C78BA">
        <w:rPr>
          <w:sz w:val="24"/>
        </w:rPr>
        <w:t xml:space="preserve"> The</w:t>
      </w:r>
      <w:r>
        <w:rPr>
          <w:sz w:val="24"/>
        </w:rPr>
        <w:t xml:space="preserve"> original Pell on a p</w:t>
      </w:r>
      <w:r w:rsidR="009C78BA">
        <w:rPr>
          <w:sz w:val="24"/>
        </w:rPr>
        <w:t xml:space="preserve">ostcard proposal awards represent the total benefits from Pell, the Hope Credit (extended as the AOTC), and the Lifetime Learning Credit (so awards go further up the income distribution). The </w:t>
      </w:r>
      <w:r>
        <w:rPr>
          <w:sz w:val="24"/>
        </w:rPr>
        <w:t>modified Pell on a postcard</w:t>
      </w:r>
      <w:r w:rsidR="009C78BA">
        <w:rPr>
          <w:sz w:val="24"/>
        </w:rPr>
        <w:t xml:space="preserve"> proposal adjusts award amounts to only represent Pell grants.</w:t>
      </w:r>
    </w:p>
    <w:p w:rsidR="00C95D6B" w:rsidRDefault="00C95D6B" w:rsidP="00A07E51">
      <w:pPr>
        <w:pStyle w:val="NoSpacing"/>
        <w:rPr>
          <w:sz w:val="24"/>
        </w:rPr>
      </w:pPr>
    </w:p>
    <w:p w:rsidR="00376477" w:rsidRDefault="00376477" w:rsidP="00A07E51">
      <w:pPr>
        <w:pStyle w:val="NoSpacing"/>
        <w:rPr>
          <w:sz w:val="24"/>
        </w:rPr>
      </w:pPr>
    </w:p>
    <w:tbl>
      <w:tblPr>
        <w:tblW w:w="865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095"/>
        <w:gridCol w:w="284"/>
        <w:gridCol w:w="1057"/>
        <w:gridCol w:w="1708"/>
        <w:gridCol w:w="236"/>
        <w:gridCol w:w="1035"/>
        <w:gridCol w:w="270"/>
        <w:gridCol w:w="1170"/>
        <w:gridCol w:w="34"/>
        <w:gridCol w:w="1766"/>
      </w:tblGrid>
      <w:tr w:rsidR="00F32BA7" w:rsidRPr="00F33702" w:rsidTr="00804614">
        <w:trPr>
          <w:trHeight w:val="300"/>
        </w:trPr>
        <w:tc>
          <w:tcPr>
            <w:tcW w:w="41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2BA7" w:rsidRPr="00F33702" w:rsidRDefault="00F32BA7" w:rsidP="00F32B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Original </w:t>
            </w: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Pell on a Postcard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:rsidR="00F32BA7" w:rsidRPr="00F33702" w:rsidRDefault="00F32BA7" w:rsidP="00F337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2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32BA7" w:rsidRPr="00F33702" w:rsidRDefault="00F32BA7" w:rsidP="00F337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Modified Pell on a Postcard</w:t>
            </w:r>
          </w:p>
        </w:tc>
      </w:tr>
      <w:tr w:rsidR="00F32BA7" w:rsidRPr="00F33702" w:rsidTr="00804614">
        <w:trPr>
          <w:trHeight w:val="690"/>
        </w:trPr>
        <w:tc>
          <w:tcPr>
            <w:tcW w:w="41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32BA7" w:rsidRPr="00F33702" w:rsidRDefault="00F32BA7" w:rsidP="00F337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F33702">
              <w:rPr>
                <w:rFonts w:ascii="Calibri" w:eastAsia="Times New Roman" w:hAnsi="Calibri" w:cs="Times New Roman"/>
                <w:color w:val="000000"/>
              </w:rPr>
              <w:t xml:space="preserve">Proposed Replacement to Pell Grants and </w:t>
            </w:r>
            <w:r w:rsidRPr="00F33702">
              <w:rPr>
                <w:rFonts w:ascii="Calibri" w:eastAsia="Times New Roman" w:hAnsi="Calibri" w:cs="Times New Roman"/>
                <w:color w:val="000000"/>
              </w:rPr>
              <w:br/>
              <w:t>the Hope and Lifetime Learning Credits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:rsidR="00F32BA7" w:rsidRDefault="00F32BA7" w:rsidP="00F337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2BA7" w:rsidRDefault="00F32BA7" w:rsidP="00F32B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color w:val="000000"/>
              </w:rPr>
              <w:t>Prop</w:t>
            </w:r>
            <w:r>
              <w:rPr>
                <w:rFonts w:ascii="Calibri" w:eastAsia="Times New Roman" w:hAnsi="Calibri" w:cs="Times New Roman"/>
                <w:color w:val="000000"/>
              </w:rPr>
              <w:t>osed Replacement to Pell Grants</w:t>
            </w:r>
          </w:p>
        </w:tc>
      </w:tr>
      <w:tr w:rsidR="00F32BA7" w:rsidRPr="00F33702" w:rsidTr="00804614">
        <w:trPr>
          <w:trHeight w:val="600"/>
        </w:trPr>
        <w:tc>
          <w:tcPr>
            <w:tcW w:w="24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32BA7" w:rsidRPr="00F33702" w:rsidRDefault="00F32BA7" w:rsidP="00F337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AGI*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32BA7" w:rsidRPr="00F33702" w:rsidRDefault="00F32BA7" w:rsidP="00F337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Grant Award 15-16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:rsidR="00F32BA7" w:rsidRPr="00F33702" w:rsidRDefault="00F32BA7" w:rsidP="00F337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5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2BA7" w:rsidRPr="00F33702" w:rsidRDefault="00F32BA7" w:rsidP="005C27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AGI*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2BA7" w:rsidRPr="00F33702" w:rsidRDefault="00F32BA7" w:rsidP="005C27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Grant Award 15-16</w:t>
            </w:r>
          </w:p>
        </w:tc>
      </w:tr>
      <w:tr w:rsidR="0024695E" w:rsidRPr="00F33702" w:rsidTr="00C95D6B">
        <w:trPr>
          <w:trHeight w:val="300"/>
        </w:trPr>
        <w:tc>
          <w:tcPr>
            <w:tcW w:w="10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$0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-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$14,999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color w:val="000000"/>
              </w:rPr>
              <w:t>$5,775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:rsidR="0024695E" w:rsidRPr="00F33702" w:rsidRDefault="0024695E" w:rsidP="00F337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$0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$19</w:t>
            </w: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,999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4695E" w:rsidRDefault="0024695E" w:rsidP="00C95D6B">
            <w:pPr>
              <w:pStyle w:val="NoSpacing"/>
              <w:jc w:val="center"/>
            </w:pPr>
            <w:r>
              <w:t>$5,775</w:t>
            </w:r>
          </w:p>
        </w:tc>
      </w:tr>
      <w:tr w:rsidR="0024695E" w:rsidRPr="00F33702" w:rsidTr="00C95D6B">
        <w:trPr>
          <w:trHeight w:val="300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$15,000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-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$19,999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color w:val="000000"/>
              </w:rPr>
              <w:t>$5,250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4695E" w:rsidRPr="00F33702" w:rsidRDefault="0024695E" w:rsidP="00F337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$20,000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$22,4</w:t>
            </w: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99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695E" w:rsidRDefault="0024695E" w:rsidP="00C95D6B">
            <w:pPr>
              <w:pStyle w:val="NoSpacing"/>
              <w:jc w:val="center"/>
            </w:pPr>
            <w:r>
              <w:t>$5,250</w:t>
            </w:r>
          </w:p>
        </w:tc>
      </w:tr>
      <w:tr w:rsidR="0024695E" w:rsidRPr="00F33702" w:rsidTr="00C95D6B">
        <w:trPr>
          <w:trHeight w:val="300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$20,000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-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$24,999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color w:val="000000"/>
              </w:rPr>
              <w:t>$4,700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4695E" w:rsidRPr="00F33702" w:rsidRDefault="0024695E" w:rsidP="00F337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$22,5</w:t>
            </w: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00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$24,999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695E" w:rsidRDefault="0024695E" w:rsidP="00C95D6B">
            <w:pPr>
              <w:pStyle w:val="NoSpacing"/>
              <w:jc w:val="center"/>
            </w:pPr>
            <w:r>
              <w:t>$4,700</w:t>
            </w:r>
          </w:p>
        </w:tc>
      </w:tr>
      <w:tr w:rsidR="0024695E" w:rsidRPr="00F33702" w:rsidTr="00C95D6B">
        <w:trPr>
          <w:trHeight w:val="300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$25,000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-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$29,999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color w:val="000000"/>
              </w:rPr>
              <w:t>$4,250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4695E" w:rsidRPr="00F33702" w:rsidRDefault="0024695E" w:rsidP="00F337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$25,000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$27,4</w:t>
            </w: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99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695E" w:rsidRDefault="0024695E" w:rsidP="00C95D6B">
            <w:pPr>
              <w:pStyle w:val="NoSpacing"/>
              <w:jc w:val="center"/>
            </w:pPr>
            <w:r>
              <w:t>$4,150</w:t>
            </w:r>
          </w:p>
        </w:tc>
      </w:tr>
      <w:tr w:rsidR="0024695E" w:rsidRPr="00F33702" w:rsidTr="00C95D6B">
        <w:trPr>
          <w:trHeight w:val="300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$30,000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-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$34,999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color w:val="000000"/>
              </w:rPr>
              <w:t>$3,450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4695E" w:rsidRPr="00F33702" w:rsidRDefault="0024695E" w:rsidP="00F337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$27,5</w:t>
            </w: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00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$29</w:t>
            </w: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,999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695E" w:rsidRDefault="0024695E" w:rsidP="00C95D6B">
            <w:pPr>
              <w:pStyle w:val="NoSpacing"/>
              <w:jc w:val="center"/>
            </w:pPr>
            <w:r>
              <w:t>$3,400</w:t>
            </w:r>
          </w:p>
        </w:tc>
      </w:tr>
      <w:tr w:rsidR="0024695E" w:rsidRPr="00F33702" w:rsidTr="00C95D6B">
        <w:trPr>
          <w:trHeight w:val="300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$35,000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-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$39,999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color w:val="000000"/>
              </w:rPr>
              <w:t>$2,300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4695E" w:rsidRPr="00F33702" w:rsidRDefault="0024695E" w:rsidP="00F337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$30</w:t>
            </w: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,000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$32,4</w:t>
            </w: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99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695E" w:rsidRDefault="0024695E" w:rsidP="00C95D6B">
            <w:pPr>
              <w:pStyle w:val="NoSpacing"/>
              <w:jc w:val="center"/>
            </w:pPr>
            <w:r>
              <w:t>$2,850</w:t>
            </w:r>
          </w:p>
        </w:tc>
      </w:tr>
      <w:tr w:rsidR="0024695E" w:rsidRPr="00F33702" w:rsidTr="00C95D6B">
        <w:trPr>
          <w:trHeight w:val="300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$40,000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-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$44,999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color w:val="000000"/>
              </w:rPr>
              <w:t>$1,250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4695E" w:rsidRPr="00F33702" w:rsidRDefault="0024695E" w:rsidP="00F337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$32,5</w:t>
            </w: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00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$3</w:t>
            </w: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4,999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695E" w:rsidRDefault="0024695E" w:rsidP="00C95D6B">
            <w:pPr>
              <w:pStyle w:val="NoSpacing"/>
              <w:jc w:val="center"/>
            </w:pPr>
            <w:r>
              <w:t>$2,100</w:t>
            </w:r>
          </w:p>
        </w:tc>
      </w:tr>
      <w:tr w:rsidR="0024695E" w:rsidRPr="00F33702" w:rsidTr="00C95D6B">
        <w:trPr>
          <w:trHeight w:val="300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$45,000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-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$49,999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color w:val="000000"/>
              </w:rPr>
              <w:t>$1,050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4695E" w:rsidRPr="00F33702" w:rsidRDefault="0024695E" w:rsidP="00F337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$3</w:t>
            </w: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5,000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$3</w:t>
            </w: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9,999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695E" w:rsidRDefault="0024695E" w:rsidP="00C95D6B">
            <w:pPr>
              <w:pStyle w:val="NoSpacing"/>
              <w:jc w:val="center"/>
            </w:pPr>
            <w:r>
              <w:t>$1,550</w:t>
            </w:r>
          </w:p>
        </w:tc>
      </w:tr>
      <w:tr w:rsidR="0024695E" w:rsidRPr="00F33702" w:rsidTr="00C95D6B">
        <w:trPr>
          <w:trHeight w:val="300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$50,000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-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$74,999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color w:val="000000"/>
              </w:rPr>
              <w:t>$800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4695E" w:rsidRPr="00F33702" w:rsidRDefault="0024695E" w:rsidP="00F337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$40</w:t>
            </w: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,000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$4</w:t>
            </w: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4,999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695E" w:rsidRDefault="0024695E" w:rsidP="00C95D6B">
            <w:pPr>
              <w:pStyle w:val="NoSpacing"/>
              <w:jc w:val="center"/>
            </w:pPr>
            <w:r>
              <w:t>$1,050</w:t>
            </w:r>
          </w:p>
        </w:tc>
      </w:tr>
      <w:tr w:rsidR="0024695E" w:rsidRPr="00F33702" w:rsidTr="00C95D6B">
        <w:trPr>
          <w:trHeight w:val="300"/>
        </w:trPr>
        <w:tc>
          <w:tcPr>
            <w:tcW w:w="10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$75,000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-</w:t>
            </w:r>
          </w:p>
        </w:tc>
        <w:tc>
          <w:tcPr>
            <w:tcW w:w="10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$99,999</w:t>
            </w:r>
          </w:p>
        </w:tc>
        <w:tc>
          <w:tcPr>
            <w:tcW w:w="17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color w:val="000000"/>
              </w:rPr>
              <w:t>$600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:rsidR="0024695E" w:rsidRPr="00F33702" w:rsidRDefault="0024695E" w:rsidP="00F337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5" w:type="dxa"/>
            <w:tcBorders>
              <w:top w:val="nil"/>
              <w:left w:val="nil"/>
              <w:right w:val="nil"/>
            </w:tcBorders>
            <w:vAlign w:val="center"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$4</w:t>
            </w: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5,000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  <w:vAlign w:val="center"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vAlign w:val="center"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$5</w:t>
            </w: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9,999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24695E" w:rsidRDefault="0024695E" w:rsidP="00C95D6B">
            <w:pPr>
              <w:pStyle w:val="NoSpacing"/>
              <w:jc w:val="center"/>
            </w:pPr>
            <w:r>
              <w:t>$600</w:t>
            </w:r>
          </w:p>
        </w:tc>
      </w:tr>
      <w:tr w:rsidR="0024695E" w:rsidRPr="00F33702" w:rsidTr="00C95D6B">
        <w:trPr>
          <w:trHeight w:val="300"/>
        </w:trPr>
        <w:tc>
          <w:tcPr>
            <w:tcW w:w="10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$100,000</w:t>
            </w:r>
          </w:p>
        </w:tc>
        <w:tc>
          <w:tcPr>
            <w:tcW w:w="134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and greater</w:t>
            </w:r>
          </w:p>
        </w:tc>
        <w:tc>
          <w:tcPr>
            <w:tcW w:w="17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color w:val="000000"/>
              </w:rPr>
              <w:t>$0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:rsidR="0024695E" w:rsidRPr="00F33702" w:rsidRDefault="0024695E" w:rsidP="00F337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5" w:type="dxa"/>
            <w:tcBorders>
              <w:top w:val="nil"/>
              <w:left w:val="nil"/>
              <w:right w:val="nil"/>
            </w:tcBorders>
            <w:vAlign w:val="center"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$60</w:t>
            </w: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,000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  <w:vAlign w:val="center"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vAlign w:val="center"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$74</w:t>
            </w: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</w:rPr>
              <w:t>,999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24695E" w:rsidRPr="00F33702" w:rsidRDefault="0024695E" w:rsidP="00C95D6B">
            <w:pPr>
              <w:pStyle w:val="NoSpacing"/>
              <w:jc w:val="center"/>
            </w:pPr>
            <w:r>
              <w:t>$250</w:t>
            </w:r>
          </w:p>
        </w:tc>
      </w:tr>
      <w:tr w:rsidR="0024695E" w:rsidRPr="00F33702" w:rsidTr="00C95D6B">
        <w:trPr>
          <w:trHeight w:val="300"/>
        </w:trPr>
        <w:tc>
          <w:tcPr>
            <w:tcW w:w="109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4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70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4695E" w:rsidRPr="00F33702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:rsidR="0024695E" w:rsidRPr="00F33702" w:rsidRDefault="0024695E" w:rsidP="00F337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4695E" w:rsidRPr="0024695E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4695E">
              <w:rPr>
                <w:rFonts w:ascii="Calibri" w:eastAsia="Times New Roman" w:hAnsi="Calibri" w:cs="Times New Roman"/>
                <w:b/>
                <w:color w:val="000000"/>
              </w:rPr>
              <w:t>$75,000</w:t>
            </w:r>
          </w:p>
        </w:tc>
        <w:tc>
          <w:tcPr>
            <w:tcW w:w="144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4695E" w:rsidRPr="0024695E" w:rsidRDefault="0024695E" w:rsidP="00C9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a</w:t>
            </w:r>
            <w:r w:rsidRPr="0024695E">
              <w:rPr>
                <w:rFonts w:ascii="Calibri" w:eastAsia="Times New Roman" w:hAnsi="Calibri" w:cs="Times New Roman"/>
                <w:b/>
                <w:color w:val="000000"/>
              </w:rPr>
              <w:t>nd greater</w:t>
            </w:r>
          </w:p>
        </w:tc>
        <w:tc>
          <w:tcPr>
            <w:tcW w:w="180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4695E" w:rsidRPr="00F33702" w:rsidRDefault="0024695E" w:rsidP="00C95D6B">
            <w:pPr>
              <w:pStyle w:val="NoSpacing"/>
              <w:jc w:val="center"/>
            </w:pPr>
            <w:r>
              <w:t>$0</w:t>
            </w:r>
          </w:p>
        </w:tc>
      </w:tr>
      <w:tr w:rsidR="0024695E" w:rsidRPr="00F33702" w:rsidTr="00804614">
        <w:trPr>
          <w:trHeight w:val="300"/>
        </w:trPr>
        <w:tc>
          <w:tcPr>
            <w:tcW w:w="4144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4695E" w:rsidRPr="00F33702" w:rsidRDefault="0024695E" w:rsidP="00F337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3370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*AGI is parents' AGI for dependent students and student/spouse's AGI for independent students.</w:t>
            </w:r>
            <w:r w:rsidRPr="00F3370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F3370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Add $250 per dependent child other than student, up to additional $1,000 for those with AGI &lt; $100,000.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:rsidR="0024695E" w:rsidRPr="00F33702" w:rsidRDefault="0024695E" w:rsidP="00F337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275" w:type="dxa"/>
            <w:gridSpan w:val="5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24695E" w:rsidRPr="00F32BA7" w:rsidRDefault="0024695E" w:rsidP="00246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32BA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*AGI is parents' AGI for dependent students and student/spouse's AGI for independent students.</w:t>
            </w:r>
          </w:p>
          <w:p w:rsidR="0024695E" w:rsidRPr="00F32BA7" w:rsidRDefault="0024695E" w:rsidP="0024695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F32BA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Add $250 per dependent child other than student, up to additional $1,000 for those with AGI &lt;$75,000.</w:t>
            </w:r>
          </w:p>
        </w:tc>
      </w:tr>
      <w:tr w:rsidR="0024695E" w:rsidRPr="00F33702" w:rsidTr="00804614">
        <w:trPr>
          <w:trHeight w:val="300"/>
        </w:trPr>
        <w:tc>
          <w:tcPr>
            <w:tcW w:w="4144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695E" w:rsidRPr="00F33702" w:rsidRDefault="0024695E" w:rsidP="00F337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:rsidR="0024695E" w:rsidRPr="00F33702" w:rsidRDefault="0024695E" w:rsidP="00F337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275" w:type="dxa"/>
            <w:gridSpan w:val="5"/>
            <w:vMerge/>
            <w:tcBorders>
              <w:left w:val="nil"/>
              <w:right w:val="nil"/>
            </w:tcBorders>
          </w:tcPr>
          <w:p w:rsidR="0024695E" w:rsidRPr="00F33702" w:rsidRDefault="0024695E" w:rsidP="00F337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4695E" w:rsidRPr="00F33702" w:rsidTr="00804614">
        <w:trPr>
          <w:trHeight w:val="450"/>
        </w:trPr>
        <w:tc>
          <w:tcPr>
            <w:tcW w:w="4144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695E" w:rsidRPr="00F33702" w:rsidRDefault="0024695E" w:rsidP="00F337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:rsidR="0024695E" w:rsidRPr="00F33702" w:rsidRDefault="0024695E" w:rsidP="00F337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275" w:type="dxa"/>
            <w:gridSpan w:val="5"/>
            <w:vMerge/>
            <w:tcBorders>
              <w:left w:val="nil"/>
              <w:right w:val="nil"/>
            </w:tcBorders>
          </w:tcPr>
          <w:p w:rsidR="0024695E" w:rsidRPr="00F33702" w:rsidRDefault="0024695E" w:rsidP="00F337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4695E" w:rsidRPr="00F33702" w:rsidTr="00804614">
        <w:trPr>
          <w:trHeight w:val="300"/>
        </w:trPr>
        <w:tc>
          <w:tcPr>
            <w:tcW w:w="4144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695E" w:rsidRPr="00F33702" w:rsidRDefault="0024695E" w:rsidP="00F337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:rsidR="0024695E" w:rsidRPr="00F33702" w:rsidRDefault="0024695E" w:rsidP="00F337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275" w:type="dxa"/>
            <w:gridSpan w:val="5"/>
            <w:vMerge/>
            <w:tcBorders>
              <w:left w:val="nil"/>
              <w:bottom w:val="single" w:sz="4" w:space="0" w:color="auto"/>
              <w:right w:val="nil"/>
            </w:tcBorders>
          </w:tcPr>
          <w:p w:rsidR="0024695E" w:rsidRPr="00F33702" w:rsidRDefault="0024695E" w:rsidP="00F337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</w:tbl>
    <w:p w:rsidR="009C78BA" w:rsidRPr="009C78BA" w:rsidRDefault="009C78BA" w:rsidP="00A07E51">
      <w:pPr>
        <w:pStyle w:val="NoSpacing"/>
        <w:rPr>
          <w:b/>
          <w:sz w:val="28"/>
        </w:rPr>
      </w:pPr>
    </w:p>
    <w:sectPr w:rsidR="009C78BA" w:rsidRPr="009C7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904" w:rsidRDefault="004F7904" w:rsidP="00E050DF">
      <w:pPr>
        <w:spacing w:after="0" w:line="240" w:lineRule="auto"/>
      </w:pPr>
      <w:r>
        <w:separator/>
      </w:r>
    </w:p>
  </w:endnote>
  <w:endnote w:type="continuationSeparator" w:id="0">
    <w:p w:rsidR="004F7904" w:rsidRDefault="004F7904" w:rsidP="00E05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904" w:rsidRDefault="004F7904" w:rsidP="00E050DF">
      <w:pPr>
        <w:spacing w:after="0" w:line="240" w:lineRule="auto"/>
      </w:pPr>
      <w:r>
        <w:separator/>
      </w:r>
    </w:p>
  </w:footnote>
  <w:footnote w:type="continuationSeparator" w:id="0">
    <w:p w:rsidR="004F7904" w:rsidRDefault="004F7904" w:rsidP="00E050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7654A"/>
    <w:multiLevelType w:val="hybridMultilevel"/>
    <w:tmpl w:val="1436AA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05604"/>
    <w:multiLevelType w:val="hybridMultilevel"/>
    <w:tmpl w:val="22D48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314892"/>
    <w:multiLevelType w:val="hybridMultilevel"/>
    <w:tmpl w:val="774869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A20E40"/>
    <w:multiLevelType w:val="hybridMultilevel"/>
    <w:tmpl w:val="C7F0E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041CF0"/>
    <w:multiLevelType w:val="hybridMultilevel"/>
    <w:tmpl w:val="C67AEE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2A50FF"/>
    <w:multiLevelType w:val="hybridMultilevel"/>
    <w:tmpl w:val="0680DB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A26524"/>
    <w:multiLevelType w:val="hybridMultilevel"/>
    <w:tmpl w:val="600047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C623CA"/>
    <w:multiLevelType w:val="hybridMultilevel"/>
    <w:tmpl w:val="8332AF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60173E"/>
    <w:multiLevelType w:val="hybridMultilevel"/>
    <w:tmpl w:val="FF2E4B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0DF"/>
    <w:rsid w:val="0007104E"/>
    <w:rsid w:val="00091AC6"/>
    <w:rsid w:val="00173731"/>
    <w:rsid w:val="001828BC"/>
    <w:rsid w:val="002426A5"/>
    <w:rsid w:val="00245DAF"/>
    <w:rsid w:val="0024695E"/>
    <w:rsid w:val="002637B1"/>
    <w:rsid w:val="003407BB"/>
    <w:rsid w:val="00376477"/>
    <w:rsid w:val="004F7904"/>
    <w:rsid w:val="005E73E4"/>
    <w:rsid w:val="005F20D2"/>
    <w:rsid w:val="00697D33"/>
    <w:rsid w:val="0075027B"/>
    <w:rsid w:val="00804614"/>
    <w:rsid w:val="00993577"/>
    <w:rsid w:val="009C78BA"/>
    <w:rsid w:val="009D0A48"/>
    <w:rsid w:val="00A07E51"/>
    <w:rsid w:val="00C95D6B"/>
    <w:rsid w:val="00E050DF"/>
    <w:rsid w:val="00F32BA7"/>
    <w:rsid w:val="00F3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50D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05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0DF"/>
  </w:style>
  <w:style w:type="paragraph" w:styleId="Footer">
    <w:name w:val="footer"/>
    <w:basedOn w:val="Normal"/>
    <w:link w:val="FooterChar"/>
    <w:uiPriority w:val="99"/>
    <w:unhideWhenUsed/>
    <w:rsid w:val="00E05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0DF"/>
  </w:style>
  <w:style w:type="paragraph" w:styleId="BalloonText">
    <w:name w:val="Balloon Text"/>
    <w:basedOn w:val="Normal"/>
    <w:link w:val="BalloonTextChar"/>
    <w:uiPriority w:val="99"/>
    <w:semiHidden/>
    <w:unhideWhenUsed/>
    <w:rsid w:val="00750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2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027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C78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8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8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8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8B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50D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05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0DF"/>
  </w:style>
  <w:style w:type="paragraph" w:styleId="Footer">
    <w:name w:val="footer"/>
    <w:basedOn w:val="Normal"/>
    <w:link w:val="FooterChar"/>
    <w:uiPriority w:val="99"/>
    <w:unhideWhenUsed/>
    <w:rsid w:val="00E05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0DF"/>
  </w:style>
  <w:style w:type="paragraph" w:styleId="BalloonText">
    <w:name w:val="Balloon Text"/>
    <w:basedOn w:val="Normal"/>
    <w:link w:val="BalloonTextChar"/>
    <w:uiPriority w:val="99"/>
    <w:semiHidden/>
    <w:unhideWhenUsed/>
    <w:rsid w:val="00750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2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027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C78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8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8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8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8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4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fap.ed.gov/dpcletters/GEN1502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aspe.hhs.gov/2014-poverty-guidelin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ifap.ed.gov/efcformulaguide/attachments/090214EFCFormulaGuide1516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udentaid.ed.gov/sa/sites/default/files/2015-16-fafsa-work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Urban Institute</Company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Gault, Sarah</dc:creator>
  <cp:lastModifiedBy>Gault, Sarah</cp:lastModifiedBy>
  <cp:revision>12</cp:revision>
  <dcterms:created xsi:type="dcterms:W3CDTF">2015-09-15T18:51:00Z</dcterms:created>
  <dcterms:modified xsi:type="dcterms:W3CDTF">2015-09-25T14:28:00Z</dcterms:modified>
</cp:coreProperties>
</file>