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Autonomous vehicles and land use</w:t>
      </w:r>
    </w:p>
    <w:p>
      <w:pPr>
        <w:pStyle w:val="BodyText"/>
      </w:pPr>
      <w:r>
        <w:t xml:space="preserve">Choose a metropolitan area. 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p>
    <w:p>
      <w:pPr>
        <w:pStyle w:val="BodyText"/>
      </w:pPr>
      <w:r>
        <w:t xml:space="preserve">Discusses how AVs could influence demand for transportation and, in turn land use. For this analysis, use both theory and research.</w:t>
      </w:r>
    </w:p>
    <w:p>
      <w:pPr>
        <w:pStyle w:val="BodyText"/>
      </w:pPr>
      <w:r>
        <w:t xml:space="preserve">Identifies the benefits and costs of these possible outcomes.</w:t>
      </w:r>
    </w:p>
    <w:p>
      <w:pPr>
        <w:pStyle w:val="BodyText"/>
      </w:pPr>
      <w:r>
        <w:t xml:space="preserve">Presents policy and planning options for mitigating or otherwise addressing the possible land use effects.</w:t>
      </w:r>
    </w:p>
    <w:p>
      <w:pPr>
        <w:pStyle w:val="BodyText"/>
      </w:pPr>
      <w:r>
        <w:t xml:space="preserve">Discusses how the MPO and cities may need alter the tools and analyses they use to consider AVs.</w:t>
      </w:r>
    </w:p>
    <w:p>
      <w:pPr>
        <w:pStyle w:val="BodyText"/>
      </w:pP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2019-05-15T05:34:13Z</dcterms:created>
  <dcterms:modified xsi:type="dcterms:W3CDTF">2019-05-15T05:34:13Z</dcterms:modified>
</cp:coreProperties>
</file>