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Bay Area should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for Bay Area. It trys to answer how the autonomous vehicles will affect urban land use, and What the MPO and cities should be planning to seize this opportunity and address the challenges.</w:t>
      </w:r>
    </w:p>
    <w:p>
      <w:pPr>
        <w:pStyle w:val="Heading1"/>
      </w:pPr>
      <w:bookmarkStart w:id="21" w:name="backgroundexplains-the-current-and-projected-status-of-avs"/>
      <w:r>
        <w:t xml:space="preserve">Background：Explains the current and projected status of AVs</w:t>
      </w:r>
      <w:bookmarkEnd w:id="21"/>
    </w:p>
    <w:p>
      <w:pPr>
        <w:pStyle w:val="FirstParagraph"/>
      </w:pPr>
      <w:r>
        <w:t xml:space="preserve">USDOT</w:t>
      </w:r>
    </w:p>
    <w:p>
      <w:pPr>
        <w:pStyle w:val="BodyText"/>
      </w:pPr>
      <w:r>
        <w:t xml:space="preserve">Ca DMV</w:t>
      </w:r>
    </w:p>
    <w:p>
      <w:pPr>
        <w:pStyle w:val="BodyText"/>
      </w:pPr>
      <w:r>
        <w:t xml:space="preserve">Waymoo and others</w:t>
      </w:r>
    </w:p>
    <w:p>
      <w:pPr>
        <w:pStyle w:val="BodyText"/>
      </w:pPr>
      <w:r>
        <w:t xml:space="preserve">Taas</w:t>
      </w:r>
    </w:p>
    <w:p>
      <w:pPr>
        <w:pStyle w:val="Heading1"/>
      </w:pPr>
      <w:bookmarkStart w:id="22" w:name="changes-discusses-how-avs-could-influence-demand-for-transportation-and-in-turn-land-use.-for-this-analysis-use-both-theory-and-research."/>
      <w:r>
        <w:t xml:space="preserve">Changes: Discusses how AVs could influence demand for transportation and, in turn land use. For this analysis, use both theory and research.</w:t>
      </w:r>
      <w:bookmarkEnd w:id="22"/>
    </w:p>
    <w:p>
      <w:pPr>
        <w:pStyle w:val="Heading2"/>
      </w:pPr>
      <w:bookmarkStart w:id="23" w:name="focus-on-relevant-changes"/>
      <w:r>
        <w:t xml:space="preserve">focus on relevant changes</w:t>
      </w:r>
      <w:bookmarkEnd w:id="23"/>
    </w:p>
    <w:p>
      <w:pPr>
        <w:pStyle w:val="FirstParagraph"/>
      </w:pPr>
      <w:r>
        <w:t xml:space="preserve">Many substantial implications of autonomous vehicles are not considered in this memo, such as safety, liability, and etc. [riple effects]. This analysis focus on the impact on land use, wich have short-term and long-term influences. The short-term influences include che change of parking, urban design, affected by travel demand and behavior</w:t>
      </w:r>
    </w:p>
    <w:p>
      <w:pPr>
        <w:pStyle w:val="BodyText"/>
      </w:pPr>
      <w:r>
        <w:t xml:space="preserve">The long-term influences include the reconstructure of urban forms and spatial distributions.</w:t>
      </w:r>
    </w:p>
    <w:p>
      <w:pPr>
        <w:pStyle w:val="Heading2"/>
      </w:pPr>
      <w:bookmarkStart w:id="24" w:name="essence"/>
      <w:r>
        <w:t xml:space="preserve">essence</w:t>
      </w:r>
      <w:bookmarkEnd w:id="24"/>
    </w:p>
    <w:p>
      <w:pPr>
        <w:pStyle w:val="FirstParagraph"/>
      </w:pPr>
      <w:r>
        <w:t xml:space="preserve">Four stage</w:t>
      </w:r>
    </w:p>
    <w:p>
      <w:pPr>
        <w:pStyle w:val="BodyText"/>
      </w:pPr>
      <w:r>
        <w:t xml:space="preserve">Theory: bid-rent theroy, utility maximize.</w:t>
      </w:r>
    </w:p>
    <w:p>
      <w:pPr>
        <w:pStyle w:val="BodyText"/>
      </w:pPr>
      <w:r>
        <w:t xml:space="preserve">Research: Identifies the benefits and costs of these possible outcomes.</w:t>
      </w:r>
    </w:p>
    <w:p>
      <w:pPr>
        <w:pStyle w:val="BodyText"/>
      </w:pPr>
      <w:r>
        <w:t xml:space="preserve">focus on Characteristic:</w:t>
      </w:r>
    </w:p>
    <w:p>
      <w:pPr>
        <w:pStyle w:val="BodyText"/>
      </w:pPr>
      <w:r>
        <w:t xml:space="preserve">cut off labor cost,</w:t>
      </w:r>
    </w:p>
    <w:p>
      <w:pPr>
        <w:pStyle w:val="BodyText"/>
      </w:pPr>
      <w:r>
        <w:t xml:space="preserve">round-the-clock services.</w:t>
      </w:r>
    </w:p>
    <w:p>
      <w:pPr>
        <w:pStyle w:val="BodyText"/>
      </w:pPr>
      <w:r>
        <w:t xml:space="preserve">full ridesharing by realtime matching</w:t>
      </w:r>
    </w:p>
    <w:p>
      <w:pPr>
        <w:pStyle w:val="Heading2"/>
      </w:pPr>
      <w:bookmarkStart w:id="25" w:name="methodology"/>
      <w:r>
        <w:t xml:space="preserve">Methodology</w:t>
      </w:r>
      <w:bookmarkEnd w:id="25"/>
    </w:p>
    <w:p>
      <w:pPr>
        <w:pStyle w:val="FirstParagraph"/>
      </w:pPr>
      <w:r>
        <w:t xml:space="preserve">high risk in use sufficient principle, and likelihood principle. another option is convariance principle.</w:t>
      </w:r>
    </w:p>
    <w:p>
      <w:pPr>
        <w:pStyle w:val="BodyText"/>
      </w:pPr>
      <w:r>
        <w:t xml:space="preserve">Internet, Air Transport system, TNC</w:t>
      </w:r>
    </w:p>
    <w:p>
      <w:pPr>
        <w:pStyle w:val="Heading2"/>
      </w:pPr>
      <w:bookmarkStart w:id="26" w:name="inference"/>
      <w:r>
        <w:t xml:space="preserve">inference:</w:t>
      </w:r>
      <w:bookmarkEnd w:id="26"/>
    </w:p>
    <w:p>
      <w:pPr>
        <w:pStyle w:val="FirstParagraph"/>
      </w:pPr>
      <w:r>
        <w:t xml:space="preserve">previous reaserch had give many estimation of the change on road capacities, parking lots, curve space.</w:t>
      </w:r>
    </w:p>
    <w:p>
      <w:pPr>
        <w:pStyle w:val="BodyText"/>
      </w:pPr>
      <w:r>
        <w:t xml:space="preserve">use cost and transaction costs - full match</w:t>
      </w:r>
    </w:p>
    <w:p>
      <w:pPr>
        <w:pStyle w:val="BodyText"/>
      </w:pPr>
      <w:r>
        <w:t xml:space="preserve">deals fail</w:t>
      </w:r>
    </w:p>
    <w:p>
      <w:pPr>
        <w:pStyle w:val="Heading1"/>
      </w:pPr>
      <w:bookmarkStart w:id="27" w:name="the-short-term-respose"/>
      <w:r>
        <w:t xml:space="preserve">The short-term Respose</w:t>
      </w:r>
      <w:bookmarkEnd w:id="27"/>
    </w:p>
    <w:p>
      <w:pPr>
        <w:pStyle w:val="FirstParagraph"/>
      </w:pPr>
      <w:r>
        <w:t xml:space="preserve">Presents policy and planning options for mitigating or otherwise addressing the possible land use effects.</w:t>
      </w:r>
    </w:p>
    <w:p>
      <w:pPr>
        <w:pStyle w:val="BodyText"/>
      </w:pPr>
      <w:r>
        <w:t xml:space="preserve">designating pilot area</w:t>
      </w:r>
    </w:p>
    <w:p>
      <w:pPr>
        <w:pStyle w:val="Heading2"/>
      </w:pPr>
      <w:bookmarkStart w:id="28" w:name="housing"/>
      <w:r>
        <w:t xml:space="preserve">housing,</w:t>
      </w:r>
      <w:bookmarkEnd w:id="28"/>
    </w:p>
    <w:p>
      <w:pPr>
        <w:pStyle w:val="Heading2"/>
      </w:pPr>
      <w:bookmarkStart w:id="29" w:name="parking"/>
      <w:r>
        <w:t xml:space="preserve">parking,</w:t>
      </w:r>
      <w:bookmarkEnd w:id="29"/>
    </w:p>
    <w:p>
      <w:pPr>
        <w:pStyle w:val="Heading2"/>
      </w:pPr>
      <w:bookmarkStart w:id="30" w:name="urban-design"/>
      <w:r>
        <w:t xml:space="preserve">urban design</w:t>
      </w:r>
      <w:bookmarkEnd w:id="30"/>
    </w:p>
    <w:p>
      <w:pPr>
        <w:pStyle w:val="Heading1"/>
      </w:pPr>
      <w:bookmarkStart w:id="31" w:name="the-strategic-planning"/>
      <w:r>
        <w:t xml:space="preserve">The strategic planning</w:t>
      </w:r>
      <w:bookmarkEnd w:id="31"/>
    </w:p>
    <w:p>
      <w:pPr>
        <w:pStyle w:val="FirstParagraph"/>
      </w:pPr>
      <w:r>
        <w:t xml:space="preserve">Discusses how the MPO and cities may need alter the tools and analyses they use to consider AVs.</w:t>
      </w:r>
    </w:p>
    <w:p>
      <w:pPr>
        <w:pStyle w:val="BodyText"/>
      </w:pPr>
      <w:r>
        <w:t xml:space="preserve">Zoning, Division, and partion, not uniform</w:t>
      </w:r>
    </w:p>
    <w:p>
      <w:pPr>
        <w:pStyle w:val="Heading1"/>
      </w:pPr>
      <w:bookmarkStart w:id="32" w:name="conclusion"/>
      <w:r>
        <w:t xml:space="preserve">Conclusion</w:t>
      </w:r>
      <w:bookmarkEnd w:id="32"/>
    </w:p>
    <w:p>
      <w:pPr>
        <w:pStyle w:val="FirstParagraph"/>
      </w:pPr>
      <w:r>
        <w:t xml:space="preserve">overestimated and under estimate</w:t>
      </w:r>
    </w:p>
    <w:p>
      <w:pPr>
        <w:pStyle w:val="BodyText"/>
      </w:pPr>
      <w:r>
        <w:t xml:space="preserve">from link to node</w:t>
      </w:r>
    </w:p>
    <w:p>
      <w:pPr>
        <w:pStyle w:val="BodyText"/>
      </w:pPr>
      <w:r>
        <w:t xml:space="preserve">CA should play a leading role. responsibility</w:t>
      </w:r>
    </w:p>
    <w:p>
      <w:pPr>
        <w:pStyle w:val="BodyText"/>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33"/>
      </w:r>
      <w:r>
        <w:t xml:space="preserve"> </w:t>
      </w:r>
      <w:r>
        <w:t xml:space="preserve">three goals are about</w:t>
      </w:r>
      <w:r>
        <w:t xml:space="preserve"> </w:t>
      </w:r>
      <w:r>
        <w:t xml:space="preserve">‘</w:t>
      </w:r>
      <w:r>
        <w:t xml:space="preserve">Equitable Access</w:t>
      </w:r>
      <w:r>
        <w:t xml:space="preserve">’</w:t>
      </w:r>
      <w:r>
        <w:rPr>
          <w:rStyle w:val="FootnoteReference"/>
        </w:rPr>
        <w:footnoteReference w:id="34"/>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35" w:name="definition"/>
      <w:r>
        <w:t xml:space="preserve">Definition</w:t>
      </w:r>
      <w:bookmarkEnd w:id="35"/>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36" w:name="the-accessibility-measures"/>
      <w:r>
        <w:t xml:space="preserve">The accessibility measures</w:t>
      </w:r>
      <w:bookmarkEnd w:id="36"/>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37" w:name="equity-analysis"/>
      <w:r>
        <w:t xml:space="preserve">Equity analysis</w:t>
      </w:r>
      <w:bookmarkEnd w:id="37"/>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38"/>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39" w:name="more-options"/>
      <w:r>
        <w:t xml:space="preserve">More options</w:t>
      </w:r>
      <w:bookmarkEnd w:id="39"/>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40" w:name="conclusion-1"/>
      <w:r>
        <w:t xml:space="preserve">Conclusion</w:t>
      </w:r>
      <w:bookmarkEnd w:id="40"/>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41" w:name="notes"/>
      <w:r>
        <w:t xml:space="preserve">Notes</w:t>
      </w:r>
      <w:bookmarkEnd w:id="41"/>
    </w:p>
    <w:p>
      <w:pPr>
        <w:pStyle w:val="Heading1"/>
      </w:pPr>
      <w:bookmarkStart w:id="42" w:name="references"/>
      <w:r>
        <w:t xml:space="preserve">References</w:t>
      </w:r>
      <w:bookmarkEnd w:id="42"/>
    </w:p>
    <w:bookmarkStart w:id="69" w:name="refs"/>
    <w:bookmarkStart w:id="43"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43"/>
    <w:bookmarkStart w:id="44"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44"/>
    <w:bookmarkStart w:id="45"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45"/>
    <w:bookmarkStart w:id="46"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46"/>
    <w:bookmarkStart w:id="47"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47"/>
    <w:bookmarkStart w:id="48"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48"/>
    <w:bookmarkStart w:id="49"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49"/>
    <w:bookmarkStart w:id="50"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50"/>
    <w:bookmarkStart w:id="51"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51"/>
    <w:bookmarkStart w:id="53" w:name="ref-handy2018enough"/>
    <w:p>
      <w:pPr>
        <w:pStyle w:val="Bibliography"/>
      </w:pPr>
      <w:r>
        <w:t xml:space="preserve">Handy, Susan. 2018. “Enough with the ‘Ds’ Already—Let’s Get Back to ‘a’.” Transfers Magazine.</w:t>
      </w:r>
      <w:r>
        <w:t xml:space="preserve"> </w:t>
      </w:r>
      <w:hyperlink r:id="rId52">
        <w:r>
          <w:rPr>
            <w:rStyle w:val="Hyperlink"/>
          </w:rPr>
          <w:t xml:space="preserve">https://transfersmagazine.org/enough-with-the-ds-already-lets-get-back-to-a/</w:t>
        </w:r>
      </w:hyperlink>
      <w:r>
        <w:t xml:space="preserve">.</w:t>
      </w:r>
    </w:p>
    <w:bookmarkEnd w:id="53"/>
    <w:bookmarkStart w:id="54"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54"/>
    <w:bookmarkStart w:id="55"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55"/>
    <w:bookmarkStart w:id="56"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56"/>
    <w:bookmarkStart w:id="5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7">
        <w:r>
          <w:rPr>
            <w:rStyle w:val="Hyperlink"/>
          </w:rPr>
          <w:t xml:space="preserve">https://doi.org/10.4324/9781315684482</w:t>
        </w:r>
      </w:hyperlink>
      <w:r>
        <w:t xml:space="preserve">.</w:t>
      </w:r>
    </w:p>
    <w:bookmarkEnd w:id="58"/>
    <w:bookmarkStart w:id="59"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59"/>
    <w:bookmarkStart w:id="61"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60">
        <w:r>
          <w:rPr>
            <w:rStyle w:val="Hyperlink"/>
          </w:rPr>
          <w:t xml:space="preserve">http://www.vtpi.org/access.pdf</w:t>
        </w:r>
      </w:hyperlink>
      <w:r>
        <w:t xml:space="preserve">.</w:t>
      </w:r>
    </w:p>
    <w:bookmarkEnd w:id="61"/>
    <w:bookmarkStart w:id="6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62"/>
    <w:bookmarkStart w:id="6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63"/>
    <w:bookmarkStart w:id="6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64"/>
    <w:bookmarkStart w:id="66" w:name="ref-EPA2019EJ"/>
    <w:p>
      <w:pPr>
        <w:pStyle w:val="Bibliography"/>
      </w:pPr>
      <w:r>
        <w:t xml:space="preserve">U.S.-Environmental-Protection-Agency. n.d. “Environmental Justice.” Accessed May 1, 2019.</w:t>
      </w:r>
      <w:r>
        <w:t xml:space="preserve"> </w:t>
      </w:r>
      <w:hyperlink r:id="rId65">
        <w:r>
          <w:rPr>
            <w:rStyle w:val="Hyperlink"/>
          </w:rPr>
          <w:t xml:space="preserve">https://www.epa.gov/environmentaljustice</w:t>
        </w:r>
      </w:hyperlink>
      <w:r>
        <w:t xml:space="preserve">.</w:t>
      </w:r>
    </w:p>
    <w:bookmarkEnd w:id="66"/>
    <w:bookmarkStart w:id="6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67"/>
    <w:bookmarkStart w:id="6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34">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38">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ww.vtpi.org/access.pdf" TargetMode="External" /><Relationship Type="http://schemas.openxmlformats.org/officeDocument/2006/relationships/hyperlink" Id="rId57" Target="https://doi.org/10.4324/9781315684482" TargetMode="External" /><Relationship Type="http://schemas.openxmlformats.org/officeDocument/2006/relationships/hyperlink" Id="rId52" Target="https://transfersmagazine.org/enough-with-the-ds-already-lets-get-back-to-a/" TargetMode="External" /><Relationship Type="http://schemas.openxmlformats.org/officeDocument/2006/relationships/hyperlink" Id="rId6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60" Target="http://www.vtpi.org/access.pdf" TargetMode="External" /><Relationship Type="http://schemas.openxmlformats.org/officeDocument/2006/relationships/hyperlink" Id="rId57" Target="https://doi.org/10.4324/9781315684482" TargetMode="External" /><Relationship Type="http://schemas.openxmlformats.org/officeDocument/2006/relationships/hyperlink" Id="rId52" Target="https://transfersmagazine.org/enough-with-the-ds-already-lets-get-back-to-a/" TargetMode="External" /><Relationship Type="http://schemas.openxmlformats.org/officeDocument/2006/relationships/hyperlink" Id="rId6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2019-05-18T19:27:53Z</dcterms:created>
  <dcterms:modified xsi:type="dcterms:W3CDTF">2019-05-18T19:27:53Z</dcterms:modified>
</cp:coreProperties>
</file>