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 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the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minimizing cost.</w:t>
      </w:r>
    </w:p>
    <w:p>
      <w:pPr>
        <w:pStyle w:val="BodyText"/>
      </w:pPr>
      <w:r>
        <w:t xml:space="preserve">Another category is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w:t>
      </w:r>
    </w:p>
    <w:p>
      <w:pPr>
        <w:pStyle w:val="BodyText"/>
      </w:pPr>
      <w:r>
        <w:t xml:space="preserve">There are also some other explanations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location-based) and transport dimension (travel-time-based, generalized-costs-based).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 is a concept that helps understand and conceptualize the complex relationship between transport and land use in a city and their impacts on city organization, development, and planning to achieve more sustainable outcomes."</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the transport system and digital connectivity in the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the built environment.</w:t>
      </w:r>
      <w:r>
        <w:t xml:space="preserve"> </w:t>
      </w:r>
      <w:r>
        <w:t xml:space="preserve">Accessibility can describe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argues that current academic literature pays too much attention to Ds and suggests replacing Ds with A, accessibility. It is true that there is a large number of articles discussing the effects of the built environment on travel behavior. Scholars also don’t forget accessibility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of the built environment, which are more visible and more measurable. Thus Ds are easy to apply in urban planning, policy, regulation and easy to implement. A is an abstract concept, an estimated value. A could be a comprehensive evaluation, an overall objective. Sometimes, the verbal A is subjective while the A in some models is too complicated for many people. Some online tools for evaluating A are helpful. Ds and A will not replace each other in the future.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relationship between public transit use (PT) and active commuting (AC). What is special about this research is that they compare characteristics of the sample between two travel modes by t-test, and use many socio-economic or built environment factors including PT to predict AC by linear regression.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PT and AC are the components of the multi-modal trips. For the people without a car, PT and AC are complementary modes in single-modal trips. Before reaching any conclusions, distinguishing these types of trips and groups is necessary. The discrete-choice model might be better for this case.</w:t>
      </w:r>
    </w:p>
    <w:p>
      <w:pPr>
        <w:pStyle w:val="BodyText"/>
      </w:pPr>
      <w:r>
        <w:t xml:space="preserve">Not only PT and AC, but many variables such as gender, race, and income level may not be independent. This study checks the colinearity but doesn’t report the details. A factorial design might help to identify the interaction effects among the chosen factors. The nonparametric test could work for dependent factors. Some checks of normality, residual, and variances could help to improve the study design too.</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requirement for t-test. The final 748 participants are recruited by 5251 emails. If there are 9766 potential participants as authors said, the conclusion may be subject to the selection bias. The participants who can access and are willing to complete the electronic survey, and live in a transit-available community, maybe AC advocators and have a strategic bias. The sample size is large enough, but the numbers of observations are imbalanced (596 non-public transit riders v.s. 152 public transit riders). Using the proportions tests to compare the observed proportion with national levels may portray the respondents. For example, one-fifth people’s income are higher than 50k $ per year in the U.S. (census, 2018), does this sample have the same proportions? If not, the conclusion is fit for some specific groups.</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2019-04-11T04:59:21Z</dcterms:created>
  <dcterms:modified xsi:type="dcterms:W3CDTF">2019-04-11T04:59:21Z</dcterms:modified>
</cp:coreProperties>
</file>