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1"/>
      </w:pPr>
      <w:bookmarkStart w:id="20" w:name="mainpoint"/>
      <w:r>
        <w:t xml:space="preserve">Mainpoint</w:t>
      </w:r>
      <w:bookmarkEnd w:id="20"/>
    </w:p>
    <w:p>
      <w:pPr>
        <w:pStyle w:val="FirstParagraph"/>
      </w:pPr>
      <w:r>
        <w:t xml:space="preserve">Accessibility is the keyword this week.</w:t>
      </w:r>
      <w:r>
        <w:t xml:space="preserve"> </w:t>
      </w:r>
      <w:r>
        <w:t xml:space="preserve">Levinson and Krizek (2018 ch. 1,2)</w:t>
      </w:r>
      <w:r>
        <w:t xml:space="preserve"> </w:t>
      </w:r>
      <w:r>
        <w:t xml:space="preserve">explains different ways of understanding that decision-making and introduces the concept of accessibiliy.</w:t>
      </w:r>
      <w:r>
        <w:t xml:space="preserve"> </w:t>
      </w:r>
      <w:r>
        <w:t xml:space="preserve">OECD (2017)</w:t>
      </w:r>
      <w:r>
        <w:t xml:space="preserve"> </w:t>
      </w:r>
      <w:r>
        <w:t xml:space="preserve">also 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Heading1"/>
      </w:pPr>
      <w:bookmarkStart w:id="21" w:name="takeaway"/>
      <w:r>
        <w:t xml:space="preserve">Takeaway</w:t>
      </w:r>
      <w:bookmarkEnd w:id="21"/>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4–5)</w:t>
      </w:r>
      <w:r>
        <w:t xml:space="preserve"> </w:t>
      </w:r>
      <w:r>
        <w:t xml:space="preserve">give a brief overview of some of the relevant theories, which largely have three sources: economics, psychology, and biology.</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2"/>
      </w:r>
      <w:r>
        <w:t xml:space="preserve"> </w:t>
      </w:r>
      <w:r>
        <w:t xml:space="preserve">and</w:t>
      </w:r>
      <w:r>
        <w:t xml:space="preserve"> </w:t>
      </w:r>
      <w:r>
        <w:rPr>
          <w:i/>
        </w:rPr>
        <w:t xml:space="preserve">consumer behavior theory</w:t>
      </w:r>
      <w:r>
        <w:rPr>
          <w:rStyle w:val="FootnoteReference"/>
        </w:rPr>
        <w:footnoteReference w:id="23"/>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4"/>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5"/>
      </w:r>
      <w:r>
        <w:t xml:space="preserve">, the</w:t>
      </w:r>
      <w:r>
        <w:t xml:space="preserve"> </w:t>
      </w:r>
      <w:r>
        <w:rPr>
          <w:i/>
        </w:rPr>
        <w:t xml:space="preserve">theory of planned behavior</w:t>
      </w:r>
      <w:r>
        <w:rPr>
          <w:rStyle w:val="FootnoteReference"/>
        </w:rPr>
        <w:footnoteReference w:id="26"/>
      </w:r>
      <w:r>
        <w:t xml:space="preserve">, the</w:t>
      </w:r>
      <w:r>
        <w:t xml:space="preserve"> </w:t>
      </w:r>
      <w:r>
        <w:rPr>
          <w:i/>
        </w:rPr>
        <w:t xml:space="preserve">social ecological models</w:t>
      </w:r>
      <w:r>
        <w:rPr>
          <w:rStyle w:val="FootnoteReference"/>
        </w:rPr>
        <w:footnoteReference w:id="27"/>
      </w:r>
      <w:r>
        <w:t xml:space="preserve">, and the</w:t>
      </w:r>
      <w:r>
        <w:t xml:space="preserve"> </w:t>
      </w:r>
      <w:r>
        <w:rPr>
          <w:i/>
        </w:rPr>
        <w:t xml:space="preserve">prospect theory</w:t>
      </w:r>
      <w:r>
        <w:rPr>
          <w:rStyle w:val="FootnoteReference"/>
        </w:rPr>
        <w:footnoteReference w:id="28"/>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9"/>
      </w:r>
      <w:r>
        <w:t xml:space="preserve">, accessibility to employment</w:t>
      </w:r>
      <w:r>
        <w:rPr>
          <w:rStyle w:val="FootnoteReference"/>
        </w:rPr>
        <w:footnoteReference w:id="30"/>
      </w:r>
      <w:r>
        <w:t xml:space="preserve">, overall accessibility</w:t>
      </w:r>
      <w:r>
        <w:rPr>
          <w:rStyle w:val="FootnoteReference"/>
        </w:rPr>
        <w:footnoteReference w:id="31"/>
      </w:r>
      <w:r>
        <w:t xml:space="preserve">, and gravity model</w:t>
      </w:r>
      <w:r>
        <w:rPr>
          <w:rStyle w:val="FootnoteReference"/>
        </w:rPr>
        <w:footnoteReference w:id="32"/>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The authors mentioned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3"/>
      </w:r>
      <w:r>
        <w:t xml:space="preserve">, complementors and competitors, chances) affect choices, absolute and relative accessibility</w:t>
      </w:r>
      <w:r>
        <w:rPr>
          <w:rStyle w:val="FootnoteReference"/>
        </w:rPr>
        <w:footnoteReference w:id="34"/>
      </w:r>
      <w:r>
        <w:t xml:space="preserve">, regional accessibility</w:t>
      </w:r>
      <w:r>
        <w:rPr>
          <w:rStyle w:val="FootnoteReference"/>
        </w:rPr>
        <w:footnoteReference w:id="35"/>
      </w:r>
      <w:r>
        <w:t xml:space="preserve"> </w:t>
      </w:r>
      <w:r>
        <w:t xml:space="preserve">etc. I put them in Endnotes for future use.</w:t>
      </w:r>
    </w:p>
    <w:p>
      <w:pPr>
        <w:pStyle w:val="Heading1"/>
      </w:pPr>
      <w:bookmarkStart w:id="36" w:name="discussion"/>
      <w:r>
        <w:t xml:space="preserve">Discussion</w:t>
      </w:r>
      <w:bookmarkEnd w:id="36"/>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TSome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represent the group who can access and are willing to complete the electronic survey, and who live in a transit-available commounity. The sample size are large enough but the numbers of observations are imbalanced (596 non public transit riders v.s. 152 public transit riders). These are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7" w:name="notes"/>
      <w:r>
        <w:t xml:space="preserve">Notes</w:t>
      </w:r>
      <w:bookmarkEnd w:id="37"/>
    </w:p>
    <w:p>
      <w:pPr>
        <w:pStyle w:val="Heading1"/>
      </w:pPr>
      <w:bookmarkStart w:id="38" w:name="references"/>
      <w:r>
        <w:t xml:space="preserve">References</w:t>
      </w:r>
      <w:bookmarkEnd w:id="38"/>
    </w:p>
    <w:bookmarkStart w:id="56" w:name="refs"/>
    <w:bookmarkStart w:id="40"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9">
        <w:r>
          <w:rPr>
            <w:rStyle w:val="Hyperlink"/>
          </w:rPr>
          <w:t xml:space="preserve">https://doi.org/10.3390/ijerph120404256</w:t>
        </w:r>
      </w:hyperlink>
      <w:r>
        <w:t xml:space="preserve">.</w:t>
      </w:r>
    </w:p>
    <w:bookmarkEnd w:id="40"/>
    <w:bookmarkStart w:id="41"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1"/>
    <w:bookmarkStart w:id="42"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2"/>
    <w:bookmarkStart w:id="43"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3"/>
    <w:bookmarkStart w:id="44"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4"/>
    <w:bookmarkStart w:id="46" w:name="ref-handy2018enough"/>
    <w:p>
      <w:pPr>
        <w:pStyle w:val="Bibliography"/>
      </w:pPr>
      <w:r>
        <w:t xml:space="preserve">Handy, Susan. 2018. “Enough with the ‘Ds’ Already—Let’s Get Back to ‘a’.” Transfers Magazine.</w:t>
      </w:r>
      <w:r>
        <w:t xml:space="preserve"> </w:t>
      </w:r>
      <w:hyperlink r:id="rId45">
        <w:r>
          <w:rPr>
            <w:rStyle w:val="Hyperlink"/>
          </w:rPr>
          <w:t xml:space="preserve">https://transfersmagazine.org/enough-with-the-ds-already-lets-get-back-to-a/</w:t>
        </w:r>
      </w:hyperlink>
      <w:r>
        <w:t xml:space="preserve">.</w:t>
      </w:r>
    </w:p>
    <w:bookmarkEnd w:id="46"/>
    <w:bookmarkStart w:id="47"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7"/>
    <w:bookmarkStart w:id="49"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8">
        <w:r>
          <w:rPr>
            <w:rStyle w:val="Hyperlink"/>
          </w:rPr>
          <w:t xml:space="preserve">https://doi.org/10.4324/9781315684482</w:t>
        </w:r>
      </w:hyperlink>
      <w:r>
        <w:t xml:space="preserve">.</w:t>
      </w:r>
    </w:p>
    <w:bookmarkEnd w:id="49"/>
    <w:bookmarkStart w:id="51"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50">
        <w:r>
          <w:rPr>
            <w:rStyle w:val="Hyperlink"/>
          </w:rPr>
          <w:t xml:space="preserve">http://www.vtpi.org/access.pdf</w:t>
        </w:r>
      </w:hyperlink>
      <w:r>
        <w:t xml:space="preserve">.</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4" w:name="ref-OECD2017linking"/>
    <w:p>
      <w:pPr>
        <w:pStyle w:val="Bibliography"/>
      </w:pPr>
      <w:r>
        <w:t xml:space="preserve">OECD, International Transport Forum. 2017. “Linking People and Places.” ITF.</w:t>
      </w:r>
      <w:r>
        <w:t xml:space="preserve"> </w:t>
      </w:r>
      <w:hyperlink r:id="rId53">
        <w:r>
          <w:rPr>
            <w:rStyle w:val="Hyperlink"/>
          </w:rPr>
          <w:t xml:space="preserve">https://www.itf-oecd.org/linking-people-and-places</w:t>
        </w:r>
      </w:hyperlink>
      <w:r>
        <w:t xml:space="preserve">.</w:t>
      </w:r>
    </w:p>
    <w:bookmarkEnd w:id="54"/>
    <w:bookmarkStart w:id="55" w:name="ref-zhang2017life"/>
    <w:p>
      <w:pPr>
        <w:pStyle w:val="Bibliography"/>
      </w:pPr>
      <w:r>
        <w:t xml:space="preserve">Zhang, Junyi, and Veronique Van Acker. 2017. “Life-Oriented Travel Behavior Research: An Overview.” Elsevier.</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3">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4">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5">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6">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7">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8">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9">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30">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1">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2">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3">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4">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5">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50" Target="http://www.vtpi.org/access.pdf" TargetMode="External" /><Relationship Type="http://schemas.openxmlformats.org/officeDocument/2006/relationships/hyperlink" Id="rId39" Target="https://doi.org/10.3390/ijerph120404256" TargetMode="External" /><Relationship Type="http://schemas.openxmlformats.org/officeDocument/2006/relationships/hyperlink" Id="rId48" Target="https://doi.org/10.4324/9781315684482" TargetMode="External" /><Relationship Type="http://schemas.openxmlformats.org/officeDocument/2006/relationships/hyperlink" Id="rId45" Target="https://transfersmagazine.org/enough-with-the-ds-already-lets-get-back-to-a/" TargetMode="External" /><Relationship Type="http://schemas.openxmlformats.org/officeDocument/2006/relationships/hyperlink" Id="rId53"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2019-04-08T06:09:12Z</dcterms:created>
  <dcterms:modified xsi:type="dcterms:W3CDTF">2019-04-08T06:09:12Z</dcterms:modified>
</cp:coreProperties>
</file>