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FirstParagraph"/>
      </w:pPr>
      <w:r>
        <w:t xml:space="preserve">Levinson and Krizek (2018 ch.1)</w:t>
      </w:r>
      <w:r>
        <w:t xml:space="preserve"> </w:t>
      </w:r>
      <w:r>
        <w:t xml:space="preserve">Muller (2017)</w:t>
      </w:r>
      <w:r>
        <w:t xml:space="preserve"> </w:t>
      </w:r>
      <w:r>
        <w:t xml:space="preserve">Welch, Gehrke, and Wang (2016)</w:t>
      </w:r>
      <w:r>
        <w:t xml:space="preserve"> </w:t>
      </w:r>
      <w:r>
        <w:t xml:space="preserve">Liu and Shi (2017)</w:t>
      </w:r>
      <w:r>
        <w:t xml:space="preserve"> </w:t>
      </w:r>
      <w:r>
        <w:t xml:space="preserve">Chen, Rufolo, and Dueker (1998)</w:t>
      </w:r>
    </w:p>
    <w:p>
      <w:pPr>
        <w:pStyle w:val="Heading3"/>
      </w:pPr>
      <w:bookmarkStart w:id="20" w:name="main-point"/>
      <w:r>
        <w:t xml:space="preserve">Main 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the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minimizing cost.</w:t>
      </w:r>
    </w:p>
    <w:p>
      <w:pPr>
        <w:pStyle w:val="BodyText"/>
      </w:pPr>
      <w:r>
        <w:t xml:space="preserve">Another category is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w:t>
      </w:r>
    </w:p>
    <w:p>
      <w:pPr>
        <w:pStyle w:val="BodyText"/>
      </w:pPr>
      <w:r>
        <w:t xml:space="preserve">There are also some other explanations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location-based) and transport dimension (travel-time-based, generalized-costs-based).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supporting cross-sectoral transport policymaking.</w:t>
      </w:r>
      <w:r>
        <w:t xml:space="preserve"> </w:t>
      </w: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 is a concept that helps understand and conceptualize the complex relationship between transport and land use in a city and their impacts on city organization, development, and planning to achieve more sustainable outcomes."</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the transport system and digital connectivity in the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the built environment.</w:t>
      </w:r>
      <w:r>
        <w:t xml:space="preserve"> </w:t>
      </w:r>
      <w:r>
        <w:t xml:space="preserve">Accessibility can describe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w:t>
      </w:r>
      <w:r>
        <w:t xml:space="preserve"> </w:t>
      </w:r>
      <w:r>
        <w:t xml:space="preserve">“</w:t>
      </w:r>
      <w:r>
        <w:t xml:space="preserve">A</w:t>
      </w:r>
      <w:r>
        <w:t xml:space="preserve">”</w:t>
      </w:r>
      <w:r>
        <w:t xml:space="preserve"> </w:t>
      </w:r>
      <w:r>
        <w:t xml:space="preserve">and</w:t>
      </w:r>
      <w:r>
        <w:t xml:space="preserve"> </w:t>
      </w:r>
      <w:r>
        <w:t xml:space="preserve">“</w:t>
      </w:r>
      <w:r>
        <w:t xml:space="preserve">Ds</w:t>
      </w:r>
      <w:r>
        <w:t xml:space="preserve">”</w:t>
      </w:r>
    </w:p>
    <w:p>
      <w:pPr>
        <w:pStyle w:val="FirstParagraph"/>
      </w:pPr>
      <w:r>
        <w:t xml:space="preserve">Handy (2018)</w:t>
      </w:r>
      <w:r>
        <w:t xml:space="preserve"> </w:t>
      </w:r>
      <w:r>
        <w:t xml:space="preserve">argues that current academic literature pays too much attention to Ds and suggests replacing Ds with A, accessibility. It is true that there is a large number of articles discussing the effects of the built environment on travel behavior. Scholars also don’t forget accessibility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of the built environment, which are more visible and more measurable. Thus Ds are easy to apply in urban planning, policy, regulation and easy to implement. A is an abstract concept, an estimated value. A could be a comprehensive evaluation, an overall objective. Sometimes, the verbal A is subjective while the A in some models is too complicated for many people. Some online tools for evaluating A are helpful. Ds and A will not replace each other in the future.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relationship between public transit use (PT) and active commuting (AC). What is special about this research is that they compare characteristics of the sample between two travel modes by t-test, and use many socio-economic or built environment factors including PT to predict AC by linear regression.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PT and AC are the components of the multi-modal trips. For the people without a car, PT and AC are complementary modes in single-modal trips. Before reaching any conclusions, distinguishing these types of trips and groups is necessary. The discrete-choice model might be better for this case.</w:t>
      </w:r>
    </w:p>
    <w:p>
      <w:pPr>
        <w:pStyle w:val="BodyText"/>
      </w:pPr>
      <w:r>
        <w:t xml:space="preserve">Not only PT and AC, but many variables such as gender, race, and income level may not be independent. This study checks the collinearity but doesn’t report the details. A factorial design might help to identify the interaction effects among the chosen factors. The nonparametric test could work for dependent factors. Some checks of normality, residuals, and variances could help to improve the study design too.</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requirement for t-test. The final 748 participants are recruited by 5251 emails. If there are 9766 potential participants as authors said, the conclusion may be subject to the selection bias. The participants who can access and are willing to complete the electronic survey, and live in a transit-available community, maybe AC advocators and have a strategic bias. The sample size is large enough, but the numbers of observations are imbalanced (596 non-public transit riders vs. 152 public transit riders). Using the proportions tests to compare the observed proportion with national levels may portray the respondents. For example, one-fifth people’s income are higher than 50k $ per year in the U.S. (census, 2018), does this sample have the same proportions? If not, the conclusion is fit for some specific groups.</w:t>
      </w:r>
    </w:p>
    <w:p>
      <w:pPr>
        <w:pStyle w:val="Heading1"/>
      </w:pPr>
      <w:bookmarkStart w:id="36" w:name="notes"/>
      <w:r>
        <w:t xml:space="preserve">Notes</w:t>
      </w:r>
      <w:bookmarkEnd w:id="36"/>
    </w:p>
    <w:p>
      <w:pPr>
        <w:pStyle w:val="Heading1"/>
      </w:pPr>
      <w:bookmarkStart w:id="37" w:name="references"/>
      <w:r>
        <w:t xml:space="preserve">References</w:t>
      </w:r>
      <w:bookmarkEnd w:id="37"/>
    </w:p>
    <w:bookmarkStart w:id="63"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4"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43">
        <w:r>
          <w:rPr>
            <w:rStyle w:val="Hyperlink"/>
          </w:rPr>
          <w:t xml:space="preserve">https://doi.org/10.3141/1617-05</w:t>
        </w:r>
      </w:hyperlink>
      <w:r>
        <w:t xml:space="preserve">.</w:t>
      </w:r>
    </w:p>
    <w:bookmarkEnd w:id="44"/>
    <w:bookmarkStart w:id="45"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5"/>
    <w:bookmarkStart w:id="47" w:name="ref-handy2018enough"/>
    <w:p>
      <w:pPr>
        <w:pStyle w:val="Bibliography"/>
      </w:pPr>
      <w:r>
        <w:t xml:space="preserve">Handy, Susan. 2018. “Enough with the ‘Ds’ Already—Let’s Get Back to ‘a’.” Transfers Magazine.</w:t>
      </w:r>
      <w:r>
        <w:t xml:space="preserve"> </w:t>
      </w:r>
      <w:hyperlink r:id="rId46">
        <w:r>
          <w:rPr>
            <w:rStyle w:val="Hyperlink"/>
          </w:rPr>
          <w:t xml:space="preserve">https://transfersmagazine.org/enough-with-the-ds-already-lets-get-back-to-a/</w:t>
        </w:r>
      </w:hyperlink>
      <w:r>
        <w:t xml:space="preserve">.</w:t>
      </w:r>
    </w:p>
    <w:bookmarkEnd w:id="47"/>
    <w:bookmarkStart w:id="48"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8"/>
    <w:bookmarkStart w:id="5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9">
        <w:r>
          <w:rPr>
            <w:rStyle w:val="Hyperlink"/>
          </w:rPr>
          <w:t xml:space="preserve">https://doi.org/10.4324/9781315684482</w:t>
        </w:r>
      </w:hyperlink>
      <w:r>
        <w:t xml:space="preserve">.</w:t>
      </w:r>
    </w:p>
    <w:bookmarkEnd w:id="50"/>
    <w:bookmarkStart w:id="5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1">
        <w:r>
          <w:rPr>
            <w:rStyle w:val="Hyperlink"/>
          </w:rPr>
          <w:t xml:space="preserve">http://www.vtpi.org/access.pdf</w:t>
        </w:r>
      </w:hyperlink>
      <w:r>
        <w:t xml:space="preserve">.</w:t>
      </w:r>
    </w:p>
    <w:bookmarkEnd w:id="52"/>
    <w:bookmarkStart w:id="5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53">
        <w:r>
          <w:rPr>
            <w:rStyle w:val="Hyperlink"/>
          </w:rPr>
          <w:t xml:space="preserve">https://doi.org/10.3141/2662-06</w:t>
        </w:r>
      </w:hyperlink>
      <w:r>
        <w:t xml:space="preserve">.</w:t>
      </w:r>
    </w:p>
    <w:bookmarkEnd w:id="54"/>
    <w:bookmarkStart w:id="55"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5"/>
    <w:bookmarkStart w:id="57"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56">
        <w:r>
          <w:rPr>
            <w:rStyle w:val="Hyperlink"/>
          </w:rPr>
          <w:t xml:space="preserve">https://books.google.com/books?id=J3GnDQAAQBAJ</w:t>
        </w:r>
      </w:hyperlink>
      <w:r>
        <w:t xml:space="preserve">.</w:t>
      </w:r>
    </w:p>
    <w:bookmarkEnd w:id="57"/>
    <w:bookmarkStart w:id="59" w:name="ref-OECD2017linking"/>
    <w:p>
      <w:pPr>
        <w:pStyle w:val="Bibliography"/>
      </w:pPr>
      <w:r>
        <w:t xml:space="preserve">OECD, International Transport Forum. 2017. “Linking People and Places.” ITF.</w:t>
      </w:r>
      <w:r>
        <w:t xml:space="preserve"> </w:t>
      </w:r>
      <w:hyperlink r:id="rId58">
        <w:r>
          <w:rPr>
            <w:rStyle w:val="Hyperlink"/>
          </w:rPr>
          <w:t xml:space="preserve">https://www.itf-oecd.org/linking-people-and-places</w:t>
        </w:r>
      </w:hyperlink>
      <w:r>
        <w:t xml:space="preserve">.</w:t>
      </w:r>
    </w:p>
    <w:bookmarkEnd w:id="59"/>
    <w:bookmarkStart w:id="61"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60">
        <w:r>
          <w:rPr>
            <w:rStyle w:val="Hyperlink"/>
          </w:rPr>
          <w:t xml:space="preserve">https://doi.org/10.1016/j.jtrangeo.2016.06.016</w:t>
        </w:r>
      </w:hyperlink>
      <w:r>
        <w:t xml:space="preserve">.</w:t>
      </w:r>
    </w:p>
    <w:bookmarkEnd w:id="61"/>
    <w:bookmarkStart w:id="62" w:name="ref-zhang2017life"/>
    <w:p>
      <w:pPr>
        <w:pStyle w:val="Bibliography"/>
      </w:pPr>
      <w:r>
        <w:t xml:space="preserve">Zhang, Junyi, and Veronique Van Acker. 2017. “Life-Oriented Travel Behavior Research: An Overview.” Elsevier.</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ww.vtpi.org/access.pdf" TargetMode="External" /><Relationship Type="http://schemas.openxmlformats.org/officeDocument/2006/relationships/hyperlink" Id="rId56" Target="https://books.google.com/books?id=J3GnDQAAQBAJ" TargetMode="External" /><Relationship Type="http://schemas.openxmlformats.org/officeDocument/2006/relationships/hyperlink" Id="rId60" Target="https://doi.org/10.1016/j.jtrangeo.2016.06.016" TargetMode="External" /><Relationship Type="http://schemas.openxmlformats.org/officeDocument/2006/relationships/hyperlink" Id="rId43" Target="https://doi.org/10.3141/1617-05" TargetMode="External" /><Relationship Type="http://schemas.openxmlformats.org/officeDocument/2006/relationships/hyperlink" Id="rId53" Target="https://doi.org/10.3141/2662-06" TargetMode="External" /><Relationship Type="http://schemas.openxmlformats.org/officeDocument/2006/relationships/hyperlink" Id="rId38" Target="https://doi.org/10.3390/ijerph120404256" TargetMode="External" /><Relationship Type="http://schemas.openxmlformats.org/officeDocument/2006/relationships/hyperlink" Id="rId49" Target="https://doi.org/10.4324/9781315684482" TargetMode="External" /><Relationship Type="http://schemas.openxmlformats.org/officeDocument/2006/relationships/hyperlink" Id="rId46" Target="https://transfersmagazine.org/enough-with-the-ds-already-lets-get-back-to-a/" TargetMode="External" /><Relationship Type="http://schemas.openxmlformats.org/officeDocument/2006/relationships/hyperlink" Id="rId58"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1" Target="http://www.vtpi.org/access.pdf" TargetMode="External" /><Relationship Type="http://schemas.openxmlformats.org/officeDocument/2006/relationships/hyperlink" Id="rId56" Target="https://books.google.com/books?id=J3GnDQAAQBAJ" TargetMode="External" /><Relationship Type="http://schemas.openxmlformats.org/officeDocument/2006/relationships/hyperlink" Id="rId60" Target="https://doi.org/10.1016/j.jtrangeo.2016.06.016" TargetMode="External" /><Relationship Type="http://schemas.openxmlformats.org/officeDocument/2006/relationships/hyperlink" Id="rId43" Target="https://doi.org/10.3141/1617-05" TargetMode="External" /><Relationship Type="http://schemas.openxmlformats.org/officeDocument/2006/relationships/hyperlink" Id="rId53" Target="https://doi.org/10.3141/2662-06" TargetMode="External" /><Relationship Type="http://schemas.openxmlformats.org/officeDocument/2006/relationships/hyperlink" Id="rId38" Target="https://doi.org/10.3390/ijerph120404256" TargetMode="External" /><Relationship Type="http://schemas.openxmlformats.org/officeDocument/2006/relationships/hyperlink" Id="rId49" Target="https://doi.org/10.4324/9781315684482" TargetMode="External" /><Relationship Type="http://schemas.openxmlformats.org/officeDocument/2006/relationships/hyperlink" Id="rId46" Target="https://transfersmagazine.org/enough-with-the-ds-already-lets-get-back-to-a/" TargetMode="External" /><Relationship Type="http://schemas.openxmlformats.org/officeDocument/2006/relationships/hyperlink" Id="rId58"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2019-04-13T06:38:30Z</dcterms:created>
  <dcterms:modified xsi:type="dcterms:W3CDTF">2019-04-13T06:38:30Z</dcterms:modified>
</cp:coreProperties>
</file>