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Levinson and Krizek (2018)</w:t>
      </w:r>
      <w:r>
        <w:t xml:space="preserve"> </w:t>
      </w:r>
      <w:r>
        <w:t xml:space="preserve">emphasize transportation is a necessary but not a sufficient factor for any development. Meanwhile,</w:t>
      </w:r>
      <w:r>
        <w:t xml:space="preserve"> </w:t>
      </w:r>
      <w:r>
        <w:t xml:space="preserve">Muller (2017)</w:t>
      </w:r>
      <w:r>
        <w:t xml:space="preserve"> </w:t>
      </w:r>
      <w:r>
        <w:t xml:space="preserve">reviews the evolution of the U.S. urban form and describe the four eras of intrametropolitan growth: walking-horsecar era, electric streetcar era, recreational auto era, and freeway era. Each of the four-stage urban transportation development has its dominated spatial structure, which is hard represented by other socio-economic concepts. We can see the transportation technology is a determining constraint to other factors for urban form. In the last section of his paper wrote in 1995, Muller stated the two problems of congestion and spatial mismatch caused by suburbanization and auto dependency. He also summarized some socioeconomic dynamics such as postindustrial economy, globalization, and the expansion of the services sector. He didn’t talk about how new transportation technology may launch the next era of metropolitan expansion. Now we can see some emerging technological breakthrough is happening. Intelligent Transportation Systems (ITS) are replacing precious travel decision mechanism step by step. Except admitting technology as an initial force, many scholars start to explore how the new force will forge a decidedly different future of urban forms.</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introduces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geography plays a prominent role in predicting who interacts with whom and how frequently.</w:t>
      </w:r>
      <w:r>
        <w:t xml:space="preserve">”</w:t>
      </w:r>
      <w:r>
        <w:t xml:space="preserve"> </w:t>
      </w:r>
      <w:r>
        <w:t xml:space="preserve">This theory can explain the macrostructure. Some evidence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the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measure by such as</w:t>
      </w:r>
      <w:r>
        <w:t xml:space="preserve"> </w:t>
      </w:r>
      <w:r>
        <w:t xml:space="preserve">‘</w:t>
      </w:r>
      <w:r>
        <w:t xml:space="preserve">weak or strong link,</w:t>
      </w:r>
      <w:r>
        <w:t xml:space="preserve">’</w:t>
      </w:r>
      <w:r>
        <w:t xml:space="preserve"> </w:t>
      </w:r>
      <w:r>
        <w:t xml:space="preserve">‘</w:t>
      </w:r>
      <w:r>
        <w:t xml:space="preserve">close relation or not.</w:t>
      </w:r>
      <w:r>
        <w:t xml:space="preserve">’</w:t>
      </w:r>
      <w:r>
        <w:t xml:space="preserve"> </w:t>
      </w:r>
      <w:r>
        <w:t xml:space="preserve">We have to depend on modeling to connect the phenomenon and the roots. It is important to highlight the complex and indirect role of geography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the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spatiotemporal autocorrelation model to overcome the potentially confounding modeling errors. To avoid sample bias,</w:t>
      </w:r>
      <w:r>
        <w:t xml:space="preserve"> </w:t>
      </w:r>
      <w:r>
        <w:t xml:space="preserve">Welch, Gehrke, and Wang (2016)</w:t>
      </w:r>
      <w:r>
        <w:t xml:space="preserve">’s spatial panel data model adopts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consider the correlated effects of improved bike and rail transit facility access.</w:t>
      </w:r>
      <w:r>
        <w:t xml:space="preserve"> </w:t>
      </w:r>
      <w:r>
        <w:t xml:space="preserve">Chen, Rufolo, and Dueker (1998)</w:t>
      </w:r>
      <w:r>
        <w:t xml:space="preserve"> </w:t>
      </w:r>
      <w:r>
        <w:t xml:space="preserve">evaluate the combined effect of accessibility and nuisance respond to the distance from station or line. However, for LRT, the positive effect of accessibility is only related to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Cross-sectional data analysis observes the cumulated effects in the long term.</w:t>
      </w:r>
      <w:r>
        <w:t xml:space="preserve"> </w:t>
      </w:r>
      <w:r>
        <w:t xml:space="preserve">Welch, Gehrke, and Wang (2016)</w:t>
      </w:r>
      <w:r>
        <w:t xml:space="preserve"> </w:t>
      </w:r>
      <w:r>
        <w:t xml:space="preserve">think panel dataset can examine the long-term influence better. We know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into three categories: structural (including internal and external) attributes, location attributes, and neighborhood characteristics. All three studies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 ease of access (distance) and extensiveness of bike network (density).</w:t>
      </w:r>
      <w:r>
        <w:t xml:space="preserve"> </w:t>
      </w:r>
      <w:r>
        <w:t xml:space="preserve">Welch, Gehrke, and Wang (2016)</w:t>
      </w:r>
      <w:r>
        <w:t xml:space="preserve"> </w:t>
      </w:r>
      <w:r>
        <w:t xml:space="preserve">examine the bike facilities types, 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facilities and other internal and external variables.</w:t>
      </w:r>
      <w:r>
        <w:t xml:space="preserve"> </w:t>
      </w:r>
      <w:r>
        <w:t xml:space="preserve">As more and more studies on different urban regions, a meta-analysis may be valuable.</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2019-04-19T16:04:54Z</dcterms:created>
  <dcterms:modified xsi:type="dcterms:W3CDTF">2019-04-19T16:04:54Z</dcterms:modified>
</cp:coreProperties>
</file>