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 how the networks within economies dictate the current lay of land use. The networks include public and non-public entities. The firms as the non-public entities, including developers and locators (non-retailers [Chapter.8] and retailers [Chapter.9]), always try to reduce transaction costs taking place within firms while market-saving transaction costs by the gains from specialization and economies of scale. Developers provide space for producing/consuming, exchanging,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the supply chain.</w:t>
      </w:r>
      <w:r>
        <w:t xml:space="preserve"> </w:t>
      </w:r>
      <w:r>
        <w:t xml:space="preserve">The 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the location-related theories based on the assumption of minimizing transportation cost and maximizing externalities. From Alfred Weber’s Industrial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explanation. Some positive inter-firm externalities, information spillovers, local non-traded inputs, and a local skilled labor pool, explain clusters of employment such as edge cities, suburban activity centers, secondary business districts, and polynucleated city.</w:t>
      </w:r>
    </w:p>
    <w:p>
      <w:pPr>
        <w:pStyle w:val="BodyText"/>
      </w:pPr>
      <w:r>
        <w:t xml:space="preserve">Accessibility works for both types of theory. Spatial proximity to the workforce, supplier, or consumer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the authors’ words, all relate to accessibility in some ways.</w:t>
      </w:r>
    </w:p>
    <w:p>
      <w:pPr>
        <w:pStyle w:val="BodyText"/>
      </w:pPr>
      <w:r>
        <w:t xml:space="preserve">Economies of agglomeration are also the driving force to break the jobs-housing balance. Residences and firms are competing for the same land. Although job and workers are largely in balance at the metropolitan level, they are always imbalanced inside metropolitan. Even jobs-worker are balanced in number by some policy or design; the workforce may not be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the consequences of this imbalance.</w:t>
      </w:r>
      <w:r>
        <w:t xml:space="preserve"> </w:t>
      </w:r>
      <w:r>
        <w:t xml:space="preserve">Zuk et al. (2015)</w:t>
      </w:r>
      <w:r>
        <w:t xml:space="preserve">’s literature review analyses the definitions of gentrification and replacement. The authors also examine the approaches to measuring gentrification and displacement. In the end, the authors emphasize the role of public investments in transportation infrastructure on neighborhood change.</w:t>
      </w:r>
    </w:p>
    <w:p>
      <w:pPr>
        <w:pStyle w:val="BodyText"/>
      </w:pPr>
      <w:r>
        <w:t xml:space="preserve">In hedonic models, increasing housing price is a positive signal responding the infrastructure improvement. In another perspective, some scholars find higher housing price is a causal factor associated with the gentrification. The distinction in three types of displacement pressure can explain the phenomenon in some way. Disinvestment, Reinvestment, and enhanced market competition result in the involuntary displacement, which can occur even in the absence of gentrification. Previous studies cannot establish a relationship between gentrification and displacement. The authors suggest that future research should examine more aspects except for home price increases, and should explore the impact of public investment on commercial change, employment partners,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unrecognized benefits to the poor in many cities. Sharkey also says that</w:t>
      </w:r>
      <w:r>
        <w:t xml:space="preserve"> </w:t>
      </w:r>
      <w:r>
        <w:t xml:space="preserve">“</w:t>
      </w:r>
      <w:r>
        <w:t xml:space="preserve">the relative lack of income mobility at the neighborhood level across the USA challenges the narrative of rampant gentrification.</w:t>
      </w:r>
      <w:r>
        <w:t xml:space="preserve">”</w:t>
      </w:r>
      <w:r>
        <w:t xml:space="preserve"> </w:t>
      </w:r>
      <w:r>
        <w:t xml:space="preserve">(</w:t>
      </w:r>
      <w:r>
        <w:rPr>
          <w:b/>
        </w:rPr>
        <w:t xml:space="preserve">???</w:t>
      </w:r>
      <w:r>
        <w:t xml:space="preserve">)</w:t>
      </w:r>
      <w:r>
        <w:t xml:space="preserve">’s study shows that, rather than public investment, neighborhood inequality is an important driver and mediator of urban transformation. The discussion should focus on neighborhood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5"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2"/>
    <w:bookmarkStart w:id="33" w:name="ref-zipf1949human"/>
    <w:p>
      <w:pPr>
        <w:pStyle w:val="Bibliography"/>
      </w:pPr>
      <w:r>
        <w:t xml:space="preserve">Zipf, George Kingsley. 1949. “Human Behavior and the Principle of Least Effort.” addison-wesley press.</w:t>
      </w:r>
    </w:p>
    <w:bookmarkEnd w:id="33"/>
    <w:bookmarkStart w:id="34"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2019-04-26T07:38:27Z</dcterms:created>
  <dcterms:modified xsi:type="dcterms:W3CDTF">2019-04-26T07:38:27Z</dcterms:modified>
</cp:coreProperties>
</file>