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MAPA — LLM Workstream Plan</w:t>
      </w:r>
    </w:p>
    <w:p>
      <w:r>
        <w:rPr>
          <w:i/>
          <w:color w:val="555555"/>
          <w:sz w:val="20"/>
        </w:rPr>
        <w:t>Initial objective, strategy, and realistic near-term build  ·  June 16, 2026</w:t>
      </w:r>
    </w:p>
    <w:p>
      <w:pPr>
        <w:spacing w:before="280" w:after="80"/>
      </w:pPr>
      <w:r>
        <w:rPr>
          <w:b/>
          <w:color w:val="1F3A5F"/>
          <w:sz w:val="28"/>
        </w:rPr>
        <w:t>1. Objective</w:t>
      </w:r>
    </w:p>
    <w:p>
      <w:pPr>
        <w:spacing w:after="80"/>
      </w:pPr>
      <w:r>
        <w:t>Build the LLM-facing portion of a place-based question-answering system for Puerto Rico resilience planning. The overall direction is to organize the system around location-aware retrieval and spatial–policy reasoning, with the language model acting as the narration layer over structured spatial and document evidence. This document describes the realistic scope to own in the early phase, the areas that require input from lead engineering and the LLM specialist role, and the near-term plan.</w:t>
      </w:r>
    </w:p>
    <w:p>
      <w:pPr>
        <w:spacing w:before="280" w:after="80"/>
      </w:pPr>
      <w:r>
        <w:rPr>
          <w:b/>
          <w:color w:val="1F3A5F"/>
          <w:sz w:val="28"/>
        </w:rPr>
        <w:t>2. Strategy</w:t>
      </w:r>
    </w:p>
    <w:p>
      <w:pPr>
        <w:pStyle w:val="ListBullet"/>
        <w:spacing w:after="40"/>
      </w:pPr>
      <w:r>
        <w:t>Structure the pipeline around location-aware retrieval and spatial–policy reasoning. The language model is the narration layer, not the centerpiece.</w:t>
      </w:r>
    </w:p>
    <w:p>
      <w:pPr>
        <w:pStyle w:val="ListBullet"/>
        <w:spacing w:after="40"/>
      </w:pPr>
      <w:r>
        <w:t>Use an open-source instruction-tuned model (Mistral) for narration. This supports the partner organization's long-term ownership goal and avoids vendor lock-in.</w:t>
      </w:r>
    </w:p>
    <w:p>
      <w:pPr>
        <w:pStyle w:val="ListBullet"/>
        <w:spacing w:after="40"/>
      </w:pPr>
      <w:r>
        <w:t>Build incrementally. Stand up a thin end-to-end pipeline on a small slice of data before adding complexity. Avoid designing components that cannot yet be validated.</w:t>
      </w:r>
    </w:p>
    <w:p>
      <w:pPr>
        <w:pStyle w:val="ListBullet"/>
        <w:spacing w:after="40"/>
      </w:pPr>
      <w:r>
        <w:t>Treat the early phase as exploratory. Validate feasibility before committing to specific patterns for the harder stages (location-aware ranking, alignment reasoning, evaluation).</w:t>
      </w:r>
    </w:p>
    <w:p>
      <w:pPr>
        <w:pStyle w:val="ListBullet"/>
        <w:spacing w:after="40"/>
      </w:pPr>
      <w:r>
        <w:t>Defer specialist decisions to specialists. Model selection, prompting, retrieval quality tuning, and evaluation design require dedicated LLM expertise.</w:t>
      </w:r>
    </w:p>
    <w:p>
      <w:pPr>
        <w:spacing w:before="280" w:after="80"/>
      </w:pPr>
      <w:r>
        <w:rPr>
          <w:b/>
          <w:color w:val="1F3A5F"/>
          <w:sz w:val="28"/>
        </w:rPr>
        <w:t>3. Current State</w:t>
      </w:r>
    </w:p>
    <w:p>
      <w:pPr>
        <w:spacing w:after="80"/>
      </w:pPr>
      <w:r>
        <w:t>An initial backend scaffold exists in the project repository. A FastAPI application exposes an ask endpoint that accepts a Spanish-language question, retrieves matching documents from a small JSON corpus using token-overlap scoring, infers candidate spatial layers from query keywords, and returns a structured response with a templated narrative, citations, suggested layers, confidence label, and a Spanish-language regulatory disclaimer. A small static frontend is in place. The partner organization's GeoPackage (3 GB, 108 vector layers, EPSG:6566, Spanish-language attributes) has been downloaded and inventoried. The MVP build extends this scaffold rather than starting from zero.</w:t>
      </w:r>
    </w:p>
    <w:p>
      <w:pPr>
        <w:spacing w:before="280" w:after="80"/>
      </w:pPr>
      <w:r>
        <w:rPr>
          <w:b/>
          <w:color w:val="1F3A5F"/>
          <w:sz w:val="28"/>
        </w:rPr>
        <w:t>4. Scope to Own (Backend Engineering)</w:t>
      </w:r>
    </w:p>
    <w:p>
      <w:pPr>
        <w:spacing w:after="80"/>
      </w:pPr>
      <w:r>
        <w:t>These are the areas where the backend engineering role can move forward with lead engineering input on architecture. They cover the pipeline plumbing, data preparation, and basic versions of the retrieval and narration flow.</w:t>
      </w:r>
    </w:p>
    <w:p>
      <w:pPr>
        <w:pStyle w:val="ListBullet"/>
        <w:spacing w:after="40"/>
      </w:pPr>
      <w:r>
        <w:t>FastAPI orchestration layer: request routing, geographic constraint extraction (parsing addresses, parcels, or coordinates from the query).</w:t>
      </w:r>
    </w:p>
    <w:p>
      <w:pPr>
        <w:pStyle w:val="ListBullet"/>
        <w:spacing w:after="40"/>
      </w:pPr>
      <w:r>
        <w:t>Document parsing: ingest PDFs and Word documents using PyMuPDF and python-docx; split content into manageable chunks.</w:t>
      </w:r>
    </w:p>
    <w:p>
      <w:pPr>
        <w:pStyle w:val="ListBullet"/>
        <w:spacing w:after="40"/>
      </w:pPr>
      <w:r>
        <w:t>Storage layer: set up PostgreSQL with the pgvector extension for document chunks and embeddings, and the PostGIS extension for spatial layers.</w:t>
      </w:r>
    </w:p>
    <w:p>
      <w:pPr>
        <w:pStyle w:val="ListBullet"/>
        <w:spacing w:after="40"/>
      </w:pPr>
      <w:r>
        <w:t>Geospatial utilities: read partner-supplied GeoPackage layers using GeoPandas; produce simple indicators (point-in-polygon lookups, zonal statistics) using GeoPandas, Rasterio, and rasterstats.</w:t>
      </w:r>
    </w:p>
    <w:p>
      <w:pPr>
        <w:pStyle w:val="ListBullet"/>
        <w:spacing w:after="40"/>
      </w:pPr>
      <w:r>
        <w:t>Semantic retrieval: replace the current token-overlap retrieval with embedding-based semantic search, and add a spatial pre-filter to scope results by jurisdiction or proximity.</w:t>
      </w:r>
    </w:p>
    <w:p>
      <w:pPr>
        <w:pStyle w:val="ListBullet"/>
        <w:spacing w:after="40"/>
      </w:pPr>
      <w:r>
        <w:t>Context assembly: collect spatial indicators and retrieved document chunks into a structured payload that the language model can consume.</w:t>
      </w:r>
    </w:p>
    <w:p>
      <w:pPr>
        <w:pStyle w:val="ListBullet"/>
        <w:spacing w:after="40"/>
      </w:pPr>
      <w:r>
        <w:t>Language model integration: invoke Mistral with a system prompt and the assembled context; return responses with citations grounded in the retrieved chunks.</w:t>
      </w:r>
    </w:p>
    <w:p>
      <w:pPr>
        <w:pStyle w:val="ListBullet"/>
        <w:spacing w:after="40"/>
      </w:pPr>
      <w:r>
        <w:t>A small bilingual smoke test set of ten to twenty queries to confirm the pipeline runs end to end.</w:t>
      </w:r>
    </w:p>
    <w:p>
      <w:pPr>
        <w:spacing w:before="280" w:after="80"/>
      </w:pPr>
      <w:r>
        <w:rPr>
          <w:b/>
          <w:color w:val="1F3A5F"/>
          <w:sz w:val="28"/>
        </w:rPr>
        <w:t>5. Scope Requiring Lead Engineering or LLM Specialist Input</w:t>
      </w:r>
    </w:p>
    <w:p>
      <w:pPr>
        <w:spacing w:after="80"/>
      </w:pPr>
      <w:r>
        <w:t>These items are part of the system but require expertise or decisions outside the backend engineering scope. Listing them explicitly so the dependency is visible.</w:t>
      </w:r>
    </w:p>
    <w:tbl>
      <w:tblPr>
        <w:tblStyle w:val="LightGrid-Accent1"/>
        <w:tblW w:type="auto" w:w="0"/>
        <w:tblLayout w:type="autofit"/>
        <w:tblLook w:firstColumn="1" w:firstRow="1" w:lastColumn="0" w:lastRow="0" w:noHBand="0" w:noVBand="1" w:val="04A0"/>
      </w:tblPr>
      <w:tblGrid>
        <w:gridCol w:w="4680"/>
        <w:gridCol w:w="4680"/>
      </w:tblGrid>
      <w:tr>
        <w:tc>
          <w:tcPr>
            <w:tcW w:type="dxa" w:w="4608"/>
            <w:shd w:val="clear" w:color="auto" w:fill="1F3A5F"/>
          </w:tcPr>
          <w:p>
            <w:r/>
            <w:r>
              <w:rPr>
                <w:b/>
                <w:color w:val="FFFFFF"/>
                <w:sz w:val="20"/>
              </w:rPr>
              <w:t>Item</w:t>
            </w:r>
          </w:p>
        </w:tc>
        <w:tc>
          <w:tcPr>
            <w:tcW w:type="dxa" w:w="4752"/>
            <w:shd w:val="clear" w:color="auto" w:fill="1F3A5F"/>
          </w:tcPr>
          <w:p>
            <w:r/>
            <w:r>
              <w:rPr>
                <w:b/>
                <w:color w:val="FFFFFF"/>
                <w:sz w:val="20"/>
              </w:rPr>
              <w:t>Why It Needs External Input</w:t>
            </w:r>
          </w:p>
        </w:tc>
      </w:tr>
      <w:tr>
        <w:tc>
          <w:tcPr>
            <w:tcW w:type="dxa" w:w="4608"/>
          </w:tcPr>
          <w:p>
            <w:r/>
            <w:r>
              <w:rPr>
                <w:sz w:val="20"/>
              </w:rPr>
              <w:t>Final architecture for location-aware retrieval (combined topic and spatial scoring).</w:t>
            </w:r>
          </w:p>
        </w:tc>
        <w:tc>
          <w:tcPr>
            <w:tcW w:type="dxa" w:w="4752"/>
          </w:tcPr>
          <w:p>
            <w:r/>
            <w:r>
              <w:rPr>
                <w:sz w:val="20"/>
              </w:rPr>
              <w:t>Lead engineering owns the overall architecture pattern. Backend will implement against the agreed design.</w:t>
            </w:r>
          </w:p>
        </w:tc>
      </w:tr>
      <w:tr>
        <w:tc>
          <w:tcPr>
            <w:tcW w:type="dxa" w:w="4608"/>
          </w:tcPr>
          <w:p>
            <w:r/>
            <w:r>
              <w:rPr>
                <w:sz w:val="20"/>
              </w:rPr>
              <w:t>Policy–condition alignment reasoning (pairing spatial conditions with regulatory clauses).</w:t>
            </w:r>
          </w:p>
        </w:tc>
        <w:tc>
          <w:tcPr>
            <w:tcW w:type="dxa" w:w="4752"/>
          </w:tcPr>
          <w:p>
            <w:r/>
            <w:r>
              <w:rPr>
                <w:sz w:val="20"/>
              </w:rPr>
              <w:t>Requires design from lead engineering or LLM specialist. Backend can implement a basic structured payload but not the alignment logic itself in the early phase.</w:t>
            </w:r>
          </w:p>
        </w:tc>
      </w:tr>
      <w:tr>
        <w:tc>
          <w:tcPr>
            <w:tcW w:type="dxa" w:w="4608"/>
          </w:tcPr>
          <w:p>
            <w:r/>
            <w:r>
              <w:rPr>
                <w:sz w:val="20"/>
              </w:rPr>
              <w:t>Embedding model selection for Spanish content.</w:t>
            </w:r>
          </w:p>
        </w:tc>
        <w:tc>
          <w:tcPr>
            <w:tcW w:type="dxa" w:w="4752"/>
          </w:tcPr>
          <w:p>
            <w:r/>
            <w:r>
              <w:rPr>
                <w:sz w:val="20"/>
              </w:rPr>
              <w:t>Requires comparative benchmarking. LLM specialist will lead once that role is filled.</w:t>
            </w:r>
          </w:p>
        </w:tc>
      </w:tr>
      <w:tr>
        <w:tc>
          <w:tcPr>
            <w:tcW w:type="dxa" w:w="4608"/>
          </w:tcPr>
          <w:p>
            <w:r/>
            <w:r>
              <w:rPr>
                <w:sz w:val="20"/>
              </w:rPr>
              <w:t>Prompt design and response format enforcement.</w:t>
            </w:r>
          </w:p>
        </w:tc>
        <w:tc>
          <w:tcPr>
            <w:tcW w:type="dxa" w:w="4752"/>
          </w:tcPr>
          <w:p>
            <w:r/>
            <w:r>
              <w:rPr>
                <w:sz w:val="20"/>
              </w:rPr>
              <w:t>LLM specialist will own prompt iteration. Backend will provide the surface to plug prompts into.</w:t>
            </w:r>
          </w:p>
        </w:tc>
      </w:tr>
      <w:tr>
        <w:tc>
          <w:tcPr>
            <w:tcW w:type="dxa" w:w="4608"/>
          </w:tcPr>
          <w:p>
            <w:r/>
            <w:r>
              <w:rPr>
                <w:sz w:val="20"/>
              </w:rPr>
              <w:t>Evaluation methodology (beyond a smoke test).</w:t>
            </w:r>
          </w:p>
        </w:tc>
        <w:tc>
          <w:tcPr>
            <w:tcW w:type="dxa" w:w="4752"/>
          </w:tcPr>
          <w:p>
            <w:r/>
            <w:r>
              <w:rPr>
                <w:sz w:val="20"/>
              </w:rPr>
              <w:t>Designing a meaningful evaluation harness for bilingual policy reasoning requires LLM specialist input.</w:t>
            </w:r>
          </w:p>
        </w:tc>
      </w:tr>
      <w:tr>
        <w:tc>
          <w:tcPr>
            <w:tcW w:type="dxa" w:w="4608"/>
          </w:tcPr>
          <w:p>
            <w:r/>
            <w:r>
              <w:rPr>
                <w:sz w:val="20"/>
              </w:rPr>
              <w:t>Conflict detection and gap analysis between policies and conditions.</w:t>
            </w:r>
          </w:p>
        </w:tc>
        <w:tc>
          <w:tcPr>
            <w:tcW w:type="dxa" w:w="4752"/>
          </w:tcPr>
          <w:p>
            <w:r/>
            <w:r>
              <w:rPr>
                <w:sz w:val="20"/>
              </w:rPr>
              <w:t>This is reasoning work, not plumbing. Will follow from the alignment design.</w:t>
            </w:r>
          </w:p>
        </w:tc>
      </w:tr>
    </w:tbl>
    <w:p>
      <w:pPr>
        <w:spacing w:before="280" w:after="80"/>
      </w:pPr>
      <w:r>
        <w:rPr>
          <w:b/>
          <w:color w:val="1F3A5F"/>
          <w:sz w:val="28"/>
        </w:rPr>
        <w:t>6. Tech Stack</w:t>
      </w:r>
    </w:p>
    <w:tbl>
      <w:tblPr>
        <w:tblStyle w:val="LightGrid-Accent1"/>
        <w:tblW w:type="auto" w:w="0"/>
        <w:tblLayout w:type="autofit"/>
        <w:tblLook w:firstColumn="1" w:firstRow="1" w:lastColumn="0" w:lastRow="0" w:noHBand="0" w:noVBand="1" w:val="04A0"/>
      </w:tblPr>
      <w:tblGrid>
        <w:gridCol w:w="4680"/>
        <w:gridCol w:w="4680"/>
      </w:tblGrid>
      <w:tr>
        <w:tc>
          <w:tcPr>
            <w:tcW w:type="dxa" w:w="2880"/>
            <w:shd w:val="clear" w:color="auto" w:fill="1F3A5F"/>
          </w:tcPr>
          <w:p>
            <w:r/>
            <w:r>
              <w:rPr>
                <w:b/>
                <w:color w:val="FFFFFF"/>
                <w:sz w:val="20"/>
              </w:rPr>
              <w:t>Layer</w:t>
            </w:r>
          </w:p>
        </w:tc>
        <w:tc>
          <w:tcPr>
            <w:tcW w:type="dxa" w:w="6480"/>
            <w:shd w:val="clear" w:color="auto" w:fill="1F3A5F"/>
          </w:tcPr>
          <w:p>
            <w:r/>
            <w:r>
              <w:rPr>
                <w:b/>
                <w:color w:val="FFFFFF"/>
                <w:sz w:val="20"/>
              </w:rPr>
              <w:t>Tools</w:t>
            </w:r>
          </w:p>
        </w:tc>
      </w:tr>
      <w:tr>
        <w:tc>
          <w:tcPr>
            <w:tcW w:type="dxa" w:w="2880"/>
          </w:tcPr>
          <w:p>
            <w:r/>
            <w:r>
              <w:rPr>
                <w:sz w:val="20"/>
              </w:rPr>
              <w:t>Orchestration</w:t>
            </w:r>
          </w:p>
        </w:tc>
        <w:tc>
          <w:tcPr>
            <w:tcW w:type="dxa" w:w="6480"/>
          </w:tcPr>
          <w:p>
            <w:r/>
            <w:r>
              <w:rPr>
                <w:sz w:val="20"/>
              </w:rPr>
              <w:t>FastAPI</w:t>
            </w:r>
          </w:p>
        </w:tc>
      </w:tr>
      <w:tr>
        <w:tc>
          <w:tcPr>
            <w:tcW w:type="dxa" w:w="2880"/>
          </w:tcPr>
          <w:p>
            <w:r/>
            <w:r>
              <w:rPr>
                <w:sz w:val="20"/>
              </w:rPr>
              <w:t>Geospatial processing</w:t>
            </w:r>
          </w:p>
        </w:tc>
        <w:tc>
          <w:tcPr>
            <w:tcW w:type="dxa" w:w="6480"/>
          </w:tcPr>
          <w:p>
            <w:r/>
            <w:r>
              <w:rPr>
                <w:sz w:val="20"/>
              </w:rPr>
              <w:t>GeoPandas, Rasterio, rasterstats, PySAL, pandas</w:t>
            </w:r>
          </w:p>
        </w:tc>
      </w:tr>
      <w:tr>
        <w:tc>
          <w:tcPr>
            <w:tcW w:type="dxa" w:w="2880"/>
          </w:tcPr>
          <w:p>
            <w:r/>
            <w:r>
              <w:rPr>
                <w:sz w:val="20"/>
              </w:rPr>
              <w:t>Document parsing</w:t>
            </w:r>
          </w:p>
        </w:tc>
        <w:tc>
          <w:tcPr>
            <w:tcW w:type="dxa" w:w="6480"/>
          </w:tcPr>
          <w:p>
            <w:r/>
            <w:r>
              <w:rPr>
                <w:sz w:val="20"/>
              </w:rPr>
              <w:t>PyMuPDF, python-docx</w:t>
            </w:r>
          </w:p>
        </w:tc>
      </w:tr>
      <w:tr>
        <w:tc>
          <w:tcPr>
            <w:tcW w:type="dxa" w:w="2880"/>
          </w:tcPr>
          <w:p>
            <w:r/>
            <w:r>
              <w:rPr>
                <w:sz w:val="20"/>
              </w:rPr>
              <w:t>Storage and retrieval</w:t>
            </w:r>
          </w:p>
        </w:tc>
        <w:tc>
          <w:tcPr>
            <w:tcW w:type="dxa" w:w="6480"/>
          </w:tcPr>
          <w:p>
            <w:r/>
            <w:r>
              <w:rPr>
                <w:sz w:val="20"/>
              </w:rPr>
              <w:t>PostgreSQL with pgvector and PostGIS</w:t>
            </w:r>
          </w:p>
        </w:tc>
      </w:tr>
      <w:tr>
        <w:tc>
          <w:tcPr>
            <w:tcW w:type="dxa" w:w="2880"/>
          </w:tcPr>
          <w:p>
            <w:r/>
            <w:r>
              <w:rPr>
                <w:sz w:val="20"/>
              </w:rPr>
              <w:t>Language model</w:t>
            </w:r>
          </w:p>
        </w:tc>
        <w:tc>
          <w:tcPr>
            <w:tcW w:type="dxa" w:w="6480"/>
          </w:tcPr>
          <w:p>
            <w:r/>
            <w:r>
              <w:rPr>
                <w:sz w:val="20"/>
              </w:rPr>
              <w:t>Mistral (instruction-tuned, open-source)</w:t>
            </w:r>
          </w:p>
        </w:tc>
      </w:tr>
    </w:tbl>
    <w:p>
      <w:pPr>
        <w:spacing w:before="280" w:after="80"/>
      </w:pPr>
      <w:r>
        <w:rPr>
          <w:b/>
          <w:color w:val="1F3A5F"/>
          <w:sz w:val="28"/>
        </w:rPr>
        <w:t>7. Realistic Near-Term Plan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016"/>
            <w:shd w:val="clear" w:color="auto" w:fill="1F3A5F"/>
          </w:tcPr>
          <w:p>
            <w:r/>
            <w:r>
              <w:rPr>
                <w:b/>
                <w:color w:val="FFFFFF"/>
                <w:sz w:val="20"/>
              </w:rPr>
              <w:t>Period</w:t>
            </w:r>
          </w:p>
        </w:tc>
        <w:tc>
          <w:tcPr>
            <w:tcW w:type="dxa" w:w="4320"/>
            <w:shd w:val="clear" w:color="auto" w:fill="1F3A5F"/>
          </w:tcPr>
          <w:p>
            <w:r/>
            <w:r>
              <w:rPr>
                <w:b/>
                <w:color w:val="FFFFFF"/>
                <w:sz w:val="20"/>
              </w:rPr>
              <w:t>What Can Realistically Be Built</w:t>
            </w:r>
          </w:p>
        </w:tc>
        <w:tc>
          <w:tcPr>
            <w:tcW w:type="dxa" w:w="3024"/>
            <w:shd w:val="clear" w:color="auto" w:fill="1F3A5F"/>
          </w:tcPr>
          <w:p>
            <w:r/>
            <w:r>
              <w:rPr>
                <w:b/>
                <w:color w:val="FFFFFF"/>
                <w:sz w:val="20"/>
              </w:rPr>
              <w:t>Open Items</w:t>
            </w:r>
          </w:p>
        </w:tc>
      </w:tr>
      <w:tr>
        <w:tc>
          <w:tcPr>
            <w:tcW w:type="dxa" w:w="2016"/>
          </w:tcPr>
          <w:p>
            <w:r/>
            <w:r>
              <w:rPr>
                <w:sz w:val="20"/>
              </w:rPr>
              <w:t>June 2026</w:t>
            </w:r>
          </w:p>
        </w:tc>
        <w:tc>
          <w:tcPr>
            <w:tcW w:type="dxa" w:w="4320"/>
          </w:tcPr>
          <w:p>
            <w:r/>
            <w:r>
              <w:rPr>
                <w:sz w:val="20"/>
              </w:rPr>
              <w:t>Local environment setup. Parse two to three partner-supplied PDFs. Stand up PostgreSQL with pgvector and PostGIS. Ingest a handful of priority GeoPackage layers. Upgrade the existing FastAPI scaffold from JSON-based token-overlap retrieval to embedding-based semantic retrieval.</w:t>
            </w:r>
          </w:p>
        </w:tc>
        <w:tc>
          <w:tcPr>
            <w:tcW w:type="dxa" w:w="3024"/>
          </w:tcPr>
          <w:p>
            <w:r/>
            <w:r>
              <w:rPr>
                <w:sz w:val="20"/>
              </w:rPr>
              <w:t>Final architecture sign-off from lead engineering. Reference spatial unit decision from the partner organization.</w:t>
            </w:r>
          </w:p>
        </w:tc>
      </w:tr>
      <w:tr>
        <w:tc>
          <w:tcPr>
            <w:tcW w:type="dxa" w:w="2016"/>
          </w:tcPr>
          <w:p>
            <w:r/>
            <w:r>
              <w:rPr>
                <w:sz w:val="20"/>
              </w:rPr>
              <w:t>July 2026</w:t>
            </w:r>
          </w:p>
        </w:tc>
        <w:tc>
          <w:tcPr>
            <w:tcW w:type="dxa" w:w="4320"/>
          </w:tcPr>
          <w:p>
            <w:r/>
            <w:r>
              <w:rPr>
                <w:sz w:val="20"/>
              </w:rPr>
              <w:t>Wire end to end: embed documents, run semantic retrieval, compute one or two simple spatial indicators, call Mistral with the assembled context, return a response with citations.</w:t>
            </w:r>
          </w:p>
        </w:tc>
        <w:tc>
          <w:tcPr>
            <w:tcW w:type="dxa" w:w="3024"/>
          </w:tcPr>
          <w:p>
            <w:r/>
            <w:r>
              <w:rPr>
                <w:sz w:val="20"/>
              </w:rPr>
              <w:t>Embedding model selection and prompt design from LLM specialist. Lead engineering design for spatial pre-filtering.</w:t>
            </w:r>
          </w:p>
        </w:tc>
      </w:tr>
      <w:tr>
        <w:tc>
          <w:tcPr>
            <w:tcW w:type="dxa" w:w="2016"/>
          </w:tcPr>
          <w:p>
            <w:r/>
            <w:r>
              <w:rPr>
                <w:sz w:val="20"/>
              </w:rPr>
              <w:t>August 2026</w:t>
            </w:r>
          </w:p>
        </w:tc>
        <w:tc>
          <w:tcPr>
            <w:tcW w:type="dxa" w:w="4320"/>
          </w:tcPr>
          <w:p>
            <w:r/>
            <w:r>
              <w:rPr>
                <w:sz w:val="20"/>
              </w:rPr>
              <w:t>Iterate on retrieval quality and prompt structure. Expand to more documents and indicators. Begin integrating with the frontend.</w:t>
            </w:r>
          </w:p>
        </w:tc>
        <w:tc>
          <w:tcPr>
            <w:tcW w:type="dxa" w:w="3024"/>
          </w:tcPr>
          <w:p>
            <w:r/>
            <w:r>
              <w:rPr>
                <w:sz w:val="20"/>
              </w:rPr>
              <w:t>Joint design of location-aware ranking. Map-action contract with the frontend workstream.</w:t>
            </w:r>
          </w:p>
        </w:tc>
      </w:tr>
      <w:tr>
        <w:tc>
          <w:tcPr>
            <w:tcW w:type="dxa" w:w="2016"/>
          </w:tcPr>
          <w:p>
            <w:r/>
            <w:r>
              <w:rPr>
                <w:sz w:val="20"/>
              </w:rPr>
              <w:t>September to December 2026</w:t>
            </w:r>
          </w:p>
        </w:tc>
        <w:tc>
          <w:tcPr>
            <w:tcW w:type="dxa" w:w="4320"/>
          </w:tcPr>
          <w:p>
            <w:r/>
            <w:r>
              <w:rPr>
                <w:sz w:val="20"/>
              </w:rPr>
              <w:t>Harden the pipeline. Add a real bilingual evaluation set with LLM specialist input. Cost and latency tuning. Expand the corpus.</w:t>
            </w:r>
          </w:p>
        </w:tc>
        <w:tc>
          <w:tcPr>
            <w:tcW w:type="dxa" w:w="3024"/>
          </w:tcPr>
          <w:p>
            <w:r/>
            <w:r>
              <w:rPr>
                <w:sz w:val="20"/>
              </w:rPr>
              <w:t>Conflict detection and alignment reasoning design.</w:t>
            </w:r>
          </w:p>
        </w:tc>
      </w:tr>
      <w:tr>
        <w:tc>
          <w:tcPr>
            <w:tcW w:type="dxa" w:w="2016"/>
          </w:tcPr>
          <w:p>
            <w:r/>
            <w:r>
              <w:rPr>
                <w:sz w:val="20"/>
              </w:rPr>
              <w:t>January to April 2027</w:t>
            </w:r>
          </w:p>
        </w:tc>
        <w:tc>
          <w:tcPr>
            <w:tcW w:type="dxa" w:w="4320"/>
          </w:tcPr>
          <w:p>
            <w:r/>
            <w:r>
              <w:rPr>
                <w:sz w:val="20"/>
              </w:rPr>
              <w:t>Beta preparation: complete corpus coverage, incorporate community testing feedback, finalize prompts.</w:t>
            </w:r>
          </w:p>
        </w:tc>
        <w:tc>
          <w:tcPr>
            <w:tcW w:type="dxa" w:w="3024"/>
          </w:tcPr>
          <w:p>
            <w:r/>
            <w:r>
              <w:rPr>
                <w:sz w:val="20"/>
              </w:rPr>
              <w:t>Beta release April 2027.</w:t>
            </w:r>
          </w:p>
        </w:tc>
      </w:tr>
    </w:tbl>
    <w:p>
      <w:pPr>
        <w:spacing w:before="280" w:after="80"/>
      </w:pPr>
      <w:r>
        <w:rPr>
          <w:b/>
          <w:color w:val="1F3A5F"/>
          <w:sz w:val="28"/>
        </w:rPr>
        <w:t>8. Preferred Data Formats</w:t>
      </w:r>
    </w:p>
    <w:p>
      <w:pPr>
        <w:spacing w:before="160" w:after="40"/>
      </w:pPr>
      <w:r>
        <w:rPr>
          <w:b/>
          <w:sz w:val="24"/>
        </w:rPr>
        <w:t>Spatial</w:t>
      </w:r>
    </w:p>
    <w:p>
      <w:pPr>
        <w:pStyle w:val="ListBullet"/>
        <w:spacing w:after="40"/>
      </w:pPr>
      <w:r>
        <w:t>GeoPackage (.gpkg), GeoJSON (.geojson), GeoParquet (.parquet), Shapefile (.shp), GeoTIFF (.tif), NetCDF (.nc), ASCII Grid (.asc)</w:t>
      </w:r>
    </w:p>
    <w:p>
      <w:pPr>
        <w:spacing w:before="160" w:after="40"/>
      </w:pPr>
      <w:r>
        <w:rPr>
          <w:b/>
          <w:sz w:val="24"/>
        </w:rPr>
        <w:t>Tabular</w:t>
      </w:r>
    </w:p>
    <w:p>
      <w:pPr>
        <w:pStyle w:val="ListBullet"/>
        <w:spacing w:after="40"/>
      </w:pPr>
      <w:r>
        <w:t>CSV, Excel (.xlsx), Parquet, JSON</w:t>
      </w:r>
    </w:p>
    <w:p>
      <w:pPr>
        <w:spacing w:before="160" w:after="40"/>
      </w:pPr>
      <w:r>
        <w:rPr>
          <w:b/>
          <w:sz w:val="24"/>
        </w:rPr>
        <w:t>Documents</w:t>
      </w:r>
    </w:p>
    <w:p>
      <w:pPr>
        <w:pStyle w:val="ListBullet"/>
        <w:spacing w:after="40"/>
      </w:pPr>
      <w:r>
        <w:t>PDF, Word (.docx), Plain text, Markdown, JSON</w:t>
      </w:r>
    </w:p>
    <w:p>
      <w:pPr>
        <w:spacing w:before="160" w:after="40"/>
      </w:pPr>
      <w:r>
        <w:rPr>
          <w:b/>
          <w:sz w:val="24"/>
        </w:rPr>
        <w:t>General</w:t>
      </w:r>
    </w:p>
    <w:p>
      <w:pPr>
        <w:pStyle w:val="ListBullet"/>
        <w:spacing w:after="40"/>
      </w:pPr>
      <w:r>
        <w:t>All spatial data must have a defined Coordinate Reference System (CRS).</w:t>
      </w:r>
    </w:p>
    <w:p>
      <w:pPr>
        <w:pStyle w:val="ListBullet"/>
        <w:spacing w:after="40"/>
      </w:pPr>
      <w:r>
        <w:t>Provide metadata or a data dictionary where available.</w:t>
      </w:r>
    </w:p>
    <w:p>
      <w:pPr>
        <w:pStyle w:val="ListBullet"/>
        <w:spacing w:after="40"/>
      </w:pPr>
      <w:r>
        <w:t>Avoid proprietary formats (e.g., Esri Geodatabase .gdb).</w:t>
      </w:r>
    </w:p>
    <w:p>
      <w:pPr>
        <w:pStyle w:val="ListBullet"/>
        <w:spacing w:after="40"/>
      </w:pPr>
      <w:r>
        <w:t>For JSON, provide a schema or structure example.</w:t>
      </w:r>
    </w:p>
    <w:p>
      <w:pPr>
        <w:pStyle w:val="ListBullet"/>
        <w:spacing w:after="40"/>
      </w:pPr>
      <w:r>
        <w:t>Flag any other formats in advance for review.</w:t>
      </w:r>
    </w:p>
    <w:p>
      <w:pPr>
        <w:spacing w:before="280" w:after="80"/>
      </w:pPr>
      <w:r>
        <w:rPr>
          <w:b/>
          <w:color w:val="1F3A5F"/>
          <w:sz w:val="28"/>
        </w:rPr>
        <w:t>9. Dependencies</w:t>
      </w:r>
    </w:p>
    <w:p>
      <w:pPr>
        <w:pStyle w:val="ListBullet"/>
        <w:spacing w:after="40"/>
      </w:pPr>
      <w:r>
        <w:t>Final architecture sign-off from lead engineering, especially for location-aware retrieval and the alignment stage.</w:t>
      </w:r>
    </w:p>
    <w:p>
      <w:pPr>
        <w:pStyle w:val="ListBullet"/>
        <w:spacing w:after="40"/>
      </w:pPr>
      <w:r>
        <w:t>Reference spatial unit decision (municipality, barrio, special district, or parcel) from the partner organization.</w:t>
      </w:r>
    </w:p>
    <w:p>
      <w:pPr>
        <w:pStyle w:val="ListBullet"/>
        <w:spacing w:after="40"/>
      </w:pPr>
      <w:r>
        <w:t>LLM specialist role filled and aligned on responsibilities.</w:t>
      </w:r>
    </w:p>
    <w:p>
      <w:pPr>
        <w:pStyle w:val="ListBullet"/>
        <w:spacing w:after="40"/>
      </w:pPr>
      <w:r>
        <w:t>Final data dictionary with include/exclude flags from the partner data team.</w:t>
      </w:r>
    </w:p>
    <w:p>
      <w:pPr>
        <w:pStyle w:val="ListBullet"/>
        <w:spacing w:after="40"/>
      </w:pPr>
      <w:r>
        <w:t>Initial set of planning documents in machine-readable form.</w:t>
      </w:r>
    </w:p>
    <w:p>
      <w:pPr>
        <w:spacing w:before="280" w:after="80"/>
      </w:pPr>
      <w:r>
        <w:rPr>
          <w:b/>
          <w:color w:val="1F3A5F"/>
          <w:sz w:val="28"/>
        </w:rPr>
        <w:t>10. Risks to Flag Early</w:t>
      </w:r>
    </w:p>
    <w:p>
      <w:pPr>
        <w:pStyle w:val="ListBullet"/>
        <w:spacing w:after="40"/>
      </w:pPr>
      <w:r>
        <w:t>Location-aware retrieval and policy–condition alignment are non-trivial designs. Backend can implement them but should not be solely responsible for designing them.</w:t>
      </w:r>
    </w:p>
    <w:p>
      <w:pPr>
        <w:pStyle w:val="ListBullet"/>
        <w:spacing w:after="40"/>
      </w:pPr>
      <w:r>
        <w:t>Spanish-language retrieval quality is unknown until tested. Reserving time for early benchmarking.</w:t>
      </w:r>
    </w:p>
    <w:p>
      <w:pPr>
        <w:pStyle w:val="ListBullet"/>
        <w:spacing w:after="40"/>
      </w:pPr>
      <w:r>
        <w:t>Mistral behavior on long structured contexts is not yet characterized. Will validate small before scaling.</w:t>
      </w:r>
    </w:p>
    <w:p>
      <w:pPr>
        <w:pStyle w:val="ListBullet"/>
        <w:spacing w:after="40"/>
      </w:pPr>
      <w:r>
        <w:t>Partner dependencies (spatial unit decision, dictionary, documents) can shift the plan. Schemas will be designed for backfill.</w:t>
      </w:r>
    </w:p>
    <w:p>
      <w:pPr>
        <w:pStyle w:val="ListBullet"/>
        <w:spacing w:after="40"/>
      </w:pPr>
      <w:r>
        <w:t>Some early phases involve learning on the job, particularly retrieval tuning and prompt iteration. Pace will reflect that.</w:t>
      </w:r>
    </w:p>
    <w:p>
      <w:pPr>
        <w:spacing w:before="280" w:after="80"/>
      </w:pPr>
      <w:r>
        <w:rPr>
          <w:b/>
          <w:color w:val="1F3A5F"/>
          <w:sz w:val="28"/>
        </w:rPr>
        <w:t>11. Initial Deliverables</w:t>
      </w:r>
    </w:p>
    <w:p>
      <w:pPr>
        <w:pStyle w:val="ListBullet"/>
        <w:spacing w:after="40"/>
      </w:pPr>
      <w:r>
        <w:t>FastAPI orchestration layer with geographic constraint extraction.</w:t>
      </w:r>
    </w:p>
    <w:p>
      <w:pPr>
        <w:pStyle w:val="ListBullet"/>
        <w:spacing w:after="40"/>
      </w:pPr>
      <w:r>
        <w:t>Geospatial processing module producing structured indicators (GeoPandas, Rasterio, rasterstats, PySAL, pandas).</w:t>
      </w:r>
    </w:p>
    <w:p>
      <w:pPr>
        <w:pStyle w:val="ListBullet"/>
        <w:spacing w:after="40"/>
      </w:pPr>
      <w:r>
        <w:t>Document parsing and embedding pipeline (PyMuPDF, python-docx).</w:t>
      </w:r>
    </w:p>
    <w:p>
      <w:pPr>
        <w:pStyle w:val="ListBullet"/>
        <w:spacing w:after="40"/>
      </w:pPr>
      <w:r>
        <w:t>Semantic retrieval implementation with optional spatial pre-filter.</w:t>
      </w:r>
    </w:p>
    <w:p>
      <w:pPr>
        <w:pStyle w:val="ListBullet"/>
        <w:spacing w:after="40"/>
      </w:pPr>
      <w:r>
        <w:t>Mistral narration layer with citation enforcement against retrieved chunks.</w:t>
      </w:r>
    </w:p>
    <w:p>
      <w:pPr>
        <w:pStyle w:val="ListBullet"/>
        <w:spacing w:after="40"/>
      </w:pPr>
      <w:r>
        <w:t>Smoke evaluation harness with a bilingual test set.</w:t>
      </w:r>
    </w:p>
    <w:p>
      <w:pPr>
        <w:spacing w:before="280" w:after="80"/>
      </w:pPr>
      <w:r>
        <w:rPr>
          <w:b/>
          <w:color w:val="1F3A5F"/>
          <w:sz w:val="28"/>
        </w:rPr>
        <w:t>12. Feedback Requested</w:t>
      </w:r>
    </w:p>
    <w:p>
      <w:pPr>
        <w:pStyle w:val="ListBullet"/>
        <w:spacing w:after="40"/>
      </w:pPr>
      <w:r>
        <w:t>Whether the scope in Section 4 is the right amount of ownership for the early phase, or whether to expand or narrow.</w:t>
      </w:r>
    </w:p>
    <w:p>
      <w:pPr>
        <w:pStyle w:val="ListBullet"/>
        <w:spacing w:after="40"/>
      </w:pPr>
      <w:r>
        <w:t>Which architectural pieces (especially the alignment stage) should be deferred until the LLM specialist role is filled.</w:t>
      </w:r>
    </w:p>
    <w:p>
      <w:pPr>
        <w:pStyle w:val="ListBullet"/>
        <w:spacing w:after="40"/>
      </w:pPr>
      <w:r>
        <w:t>Confirmation on Mistral as the chosen model and whether hosted inference, local inference, or both should be planned for.</w:t>
      </w:r>
    </w:p>
    <w:p>
      <w:pPr>
        <w:pStyle w:val="ListBullet"/>
        <w:spacing w:after="40"/>
      </w:pPr>
      <w:r>
        <w:t>Agreement on the realistic June and July milestones in Section 7.</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