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MAPA — Technical Plan</w:t>
      </w:r>
    </w:p>
    <w:p>
      <w:r>
        <w:rPr>
          <w:i/>
          <w:color w:val="555555"/>
          <w:sz w:val="20"/>
        </w:rPr>
        <w:t>Backend &amp; data pipeline planning document  ·  Draft for internal review  ·  June 3, 2026</w:t>
      </w:r>
    </w:p>
    <w:p>
      <w:pPr>
        <w:spacing w:before="280" w:after="80"/>
      </w:pPr>
      <w:r>
        <w:rPr>
          <w:b/>
          <w:color w:val="1F3A5F"/>
          <w:sz w:val="28"/>
        </w:rPr>
        <w:t>1. Current State</w:t>
      </w:r>
    </w:p>
    <w:p>
      <w:pPr>
        <w:spacing w:before="160" w:after="40"/>
      </w:pPr>
      <w:r>
        <w:rPr>
          <w:b/>
          <w:sz w:val="24"/>
        </w:rPr>
        <w:t>Available</w:t>
      </w:r>
    </w:p>
    <w:p>
      <w:pPr>
        <w:pStyle w:val="ListBullet"/>
        <w:spacing w:after="40"/>
      </w:pPr>
      <w:r>
        <w:t>3 GB GeoPackage delivered by the partner organization, stored locally at data/raw/la_marana.gpkg.</w:t>
      </w:r>
    </w:p>
    <w:p>
      <w:pPr>
        <w:pStyle w:val="ListBullet"/>
        <w:spacing w:after="40"/>
      </w:pPr>
      <w:r>
        <w:t>108 vector layers, all in EPSG:6566 (Puerto Rico State Plane, NAD 1983 / 2011), with Spanish-language attribute naming.</w:t>
      </w:r>
    </w:p>
    <w:p>
      <w:pPr>
        <w:pStyle w:val="ListBullet"/>
        <w:spacing w:after="40"/>
      </w:pPr>
      <w:r>
        <w:t>Thematic coverage spans flood and hazard zones, electric grid infrastructure, conservation areas, land use, administrative boundaries, critical facilities, hydrography, soils, and geology.</w:t>
      </w:r>
    </w:p>
    <w:p>
      <w:pPr>
        <w:spacing w:before="160" w:after="40"/>
      </w:pPr>
      <w:r>
        <w:rPr>
          <w:b/>
          <w:sz w:val="24"/>
        </w:rPr>
        <w:t>Not Yet Available</w:t>
      </w:r>
    </w:p>
    <w:p>
      <w:pPr>
        <w:pStyle w:val="ListBullet"/>
        <w:spacing w:after="40"/>
      </w:pPr>
      <w:r>
        <w:t>Finalized data dictionary with field-level include/exclude flags.</w:t>
      </w:r>
    </w:p>
    <w:p>
      <w:pPr>
        <w:pStyle w:val="ListBullet"/>
        <w:spacing w:after="40"/>
      </w:pPr>
      <w:r>
        <w:t>Reference spatial unit decision (municipality, barrio, special district, or parcel).</w:t>
      </w:r>
    </w:p>
    <w:p>
      <w:pPr>
        <w:pStyle w:val="ListBullet"/>
        <w:spacing w:after="40"/>
      </w:pPr>
      <w:r>
        <w:t>MVP layer shortlist confirmed by the partner organization.</w:t>
      </w:r>
    </w:p>
    <w:p>
      <w:pPr>
        <w:pStyle w:val="ListBullet"/>
        <w:spacing w:after="40"/>
      </w:pPr>
      <w:r>
        <w:t>Building footprints and digital elevation model (DEM) raster.</w:t>
      </w:r>
    </w:p>
    <w:p>
      <w:pPr>
        <w:pStyle w:val="ListBullet"/>
        <w:spacing w:after="40"/>
      </w:pPr>
      <w:r>
        <w:t>LLM-focused team member onboarded (currently gated on contract completion).</w:t>
      </w:r>
    </w:p>
    <w:p>
      <w:pPr>
        <w:spacing w:before="160" w:after="40"/>
      </w:pPr>
      <w:r>
        <w:rPr>
          <w:b/>
          <w:sz w:val="24"/>
        </w:rPr>
        <w:t>Open Product Questions</w:t>
      </w:r>
    </w:p>
    <w:p>
      <w:pPr>
        <w:pStyle w:val="ListBullet"/>
        <w:spacing w:after="40"/>
      </w:pPr>
      <w:r>
        <w:t>Map-first versus chat-first interaction model.</w:t>
      </w:r>
    </w:p>
    <w:p>
      <w:pPr>
        <w:pStyle w:val="ListBullet"/>
        <w:spacing w:after="40"/>
      </w:pPr>
      <w:r>
        <w:t>Tightness of coupling between language model responses and map behavior.</w:t>
      </w:r>
    </w:p>
    <w:p>
      <w:pPr>
        <w:pStyle w:val="ListBullet"/>
        <w:spacing w:after="40"/>
      </w:pPr>
      <w:r>
        <w:t>MVP user personas and representative example queries.</w:t>
      </w:r>
    </w:p>
    <w:p>
      <w:pPr>
        <w:pStyle w:val="ListBullet"/>
        <w:spacing w:after="40"/>
      </w:pPr>
      <w:r>
        <w:t>Spanish-first interface versus bilingual toggle.</w:t>
      </w:r>
    </w:p>
    <w:p>
      <w:pPr>
        <w:spacing w:before="280" w:after="80"/>
      </w:pPr>
      <w:r>
        <w:rPr>
          <w:b/>
          <w:color w:val="1F3A5F"/>
          <w:sz w:val="28"/>
        </w:rPr>
        <w:t>2. Proposed Technical Stack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Language Model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Claude (Sonnet 4.6 for production, Haiku 4.5 for cheaper calls)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Strong Spanish-language performance, native tool-use, reliable reasoning over long context.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Backend Framework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FastAPI (Python 3.11+)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Standard for ML and LLM applications, async by default, generates OpenAPI specs automatically.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Spatial Database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PostGIS on PostgreSQL 16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Industry standard, supports direct import from GeoPackage, full SQL surface for spatial queries.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Vector Database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pgvector extension on the same PostgreSQL instance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Single database to operate, back up, and hand over to the partner organization.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Embeddings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Voyage voyage-3 or OpenAI text-embedding-3-large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Multilingual embedding quality is critical for Spanish documents.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Document Parsing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unstructured + pypdf for PDFs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Mature open-source tooling with good layout preservation.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React + Mapbox GL JS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Aligned with prior team direction; Mapbox account to be created under partner ownership.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Hosting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To be determined under partner-owned account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Required by the long-term ownership transfer goal.</w:t>
            </w:r>
          </w:p>
        </w:tc>
      </w:tr>
    </w:tbl>
    <w:p>
      <w:pPr>
        <w:spacing w:before="160" w:after="40"/>
      </w:pPr>
      <w:r>
        <w:rPr>
          <w:b/>
          <w:sz w:val="24"/>
        </w:rPr>
        <w:t>Alignment with Long-Term Ownership Goal</w:t>
      </w:r>
    </w:p>
    <w:p>
      <w:pPr>
        <w:pStyle w:val="ListBullet"/>
        <w:spacing w:after="40"/>
      </w:pPr>
      <w:r>
        <w:t>All components are open-source with the exception of the language model API and the embeddings provider, both of which are swappable.</w:t>
      </w:r>
    </w:p>
    <w:p>
      <w:pPr>
        <w:pStyle w:val="ListBullet"/>
        <w:spacing w:after="40"/>
      </w:pPr>
      <w:r>
        <w:t>A single PostgreSQL instance handles both spatial and vector data, reducing operational complexity for handoff.</w:t>
      </w:r>
    </w:p>
    <w:p>
      <w:pPr>
        <w:pStyle w:val="ListBullet"/>
        <w:spacing w:after="40"/>
      </w:pPr>
      <w:r>
        <w:t>All third-party accounts (Mapbox, Anthropic, hosting) will be created under the partner organization from the start.</w:t>
      </w:r>
    </w:p>
    <w:p>
      <w:pPr>
        <w:spacing w:before="280" w:after="80"/>
      </w:pPr>
      <w:r>
        <w:rPr>
          <w:b/>
          <w:color w:val="1F3A5F"/>
          <w:sz w:val="28"/>
        </w:rPr>
        <w:t>3. Data Pipeline Architecture</w:t>
      </w:r>
    </w:p>
    <w:p>
      <w:pPr>
        <w:spacing w:after="80"/>
      </w:pPr>
      <w:r>
        <w:t>The platform follows a linear ingestion-to-response pipeline. Each stage has a clearly assigned owner and a defined interface to the next stage.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Source Data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Partner organization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GeoPackage layers, planning PDFs, policy documents, future live data feeds.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Ingestion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Backend engineering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Validation, CRS normalization, attribute filtering via the include/exclude flag, PDF chunking and embedding.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Storage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Backend engineering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PostGIS tables for spatial data, pgvector tables for embedded document chunks, plus dictionary metadata.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Query Layer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Backend + LLM engineering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Spatial tool functions exposed to the agent, RAG retrieval, optional reranker.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LLM Agent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LLM engineering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Claude with registered tool schemas, citation tracking, bilingual response handling.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API Surface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Backend engineering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FastAPI endpoints, streaming responses, structured map-action protocol.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Frontend engineering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Chat interface, Mapbox map, map-action handler.</w:t>
            </w:r>
          </w:p>
        </w:tc>
      </w:tr>
    </w:tbl>
    <w:p>
      <w:pPr>
        <w:spacing w:before="160" w:after="40"/>
      </w:pPr>
      <w:r>
        <w:rPr>
          <w:b/>
          <w:sz w:val="24"/>
        </w:rPr>
        <w:t>Architecture Decisions to Validate</w:t>
      </w:r>
    </w:p>
    <w:p>
      <w:pPr>
        <w:pStyle w:val="ListBullet"/>
        <w:spacing w:after="40"/>
      </w:pPr>
      <w:r>
        <w:t>Normalize all spatial data to EPSG:4326 at the application layer while retaining the original EPSG:6566 for analytical workflows. Web maps expect WGS 84.</w:t>
      </w:r>
    </w:p>
    <w:p>
      <w:pPr>
        <w:pStyle w:val="ListBullet"/>
        <w:spacing w:after="40"/>
      </w:pPr>
      <w:r>
        <w:t>Use a two-table RAG pattern: one table for document chunks with embeddings, one for document metadata (source, page, location tag, language). This allows location filtering before semantic search.</w:t>
      </w:r>
    </w:p>
    <w:p>
      <w:pPr>
        <w:pStyle w:val="ListBullet"/>
        <w:spacing w:after="40"/>
      </w:pPr>
      <w:r>
        <w:t>Define tool schemas in code as typed Python functions rather than configuration files. Easier to test, version, and review.</w:t>
      </w:r>
    </w:p>
    <w:p>
      <w:pPr>
        <w:spacing w:before="280" w:after="80"/>
      </w:pPr>
      <w:r>
        <w:rPr>
          <w:b/>
          <w:color w:val="1F3A5F"/>
          <w:sz w:val="28"/>
        </w:rPr>
        <w:t>4. Roles and Responsibilities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64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Ownership Areas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Lead Engineer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Architecture sign-off, ingestion patterns, shapefile QC, technical mentorship.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Backend Engineer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Ingestion scripts, PostGIS schema, FastAPI scaffold, spatial tool functions, dictionary automation.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LLM Engineer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Retrieval quality, prompt design, agent loop, evaluation harness, Spanish-language evaluation.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Frontend Engineer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Mapbox integration, chat UI, map-action protocol contract, third-party account ownership setup.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Product Manager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Scope discipline, partner communication, resolution of open MVP questions.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UX Lead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User research, bilingual interface design, community testing protocol.</w:t>
            </w:r>
          </w:p>
        </w:tc>
      </w:tr>
    </w:tbl>
    <w:p>
      <w:pPr>
        <w:spacing w:before="160" w:after="40"/>
      </w:pPr>
      <w:r>
        <w:rPr>
          <w:b/>
          <w:sz w:val="24"/>
        </w:rPr>
        <w:t>Interface Contracts Requiring Explicit Agreement</w:t>
      </w:r>
    </w:p>
    <w:p>
      <w:pPr>
        <w:pStyle w:val="ListBullet"/>
        <w:spacing w:after="40"/>
      </w:pPr>
      <w:r>
        <w:t>Backend to Frontend: the map-action protocol, defining the JSON shape the language model emits when it wants to drive the map (for example, a zoom-to action with a bounding box and a target layer).</w:t>
      </w:r>
    </w:p>
    <w:p>
      <w:pPr>
        <w:pStyle w:val="ListBullet"/>
        <w:spacing w:after="40"/>
      </w:pPr>
      <w:r>
        <w:t>Backend to LLM Engineering: the tool registry, defining function signatures, argument types, and return shapes for every callable exposed to the agent.</w:t>
      </w:r>
    </w:p>
    <w:p>
      <w:pPr>
        <w:pStyle w:val="ListBullet"/>
        <w:spacing w:after="40"/>
      </w:pPr>
      <w:r>
        <w:t>Backend to Data Team: the data dictionary CSV format that the ingestion pipeline reads directly from.</w:t>
      </w:r>
    </w:p>
    <w:p>
      <w:pPr>
        <w:spacing w:before="280" w:after="80"/>
      </w:pPr>
      <w:r>
        <w:rPr>
          <w:b/>
          <w:color w:val="1F3A5F"/>
          <w:sz w:val="28"/>
        </w:rPr>
        <w:t>5. Coordination with LLM Engineering</w:t>
      </w:r>
    </w:p>
    <w:p>
      <w:pPr>
        <w:spacing w:before="160" w:after="40"/>
      </w:pPr>
      <w:r>
        <w:rPr>
          <w:b/>
          <w:sz w:val="24"/>
        </w:rPr>
        <w:t>Preparation Before LLM Engineer Onboards</w:t>
      </w:r>
    </w:p>
    <w:p>
      <w:pPr>
        <w:pStyle w:val="ListBullet"/>
        <w:spacing w:after="40"/>
      </w:pPr>
      <w:r>
        <w:t>FastAPI skeleton with a stub POST /query endpoint, ready for the agent to plug into.</w:t>
      </w:r>
    </w:p>
    <w:p>
      <w:pPr>
        <w:pStyle w:val="ListBullet"/>
        <w:spacing w:after="40"/>
      </w:pPr>
      <w:r>
        <w:t>Tool registry interface with two example tools (municipality lookup by coordinate, document search) that can be extended.</w:t>
      </w:r>
    </w:p>
    <w:p>
      <w:pPr>
        <w:pStyle w:val="ListBullet"/>
        <w:spacing w:after="40"/>
      </w:pPr>
      <w:r>
        <w:t>A starter set of ten to twenty bilingual evaluation questions providing an immediate target.</w:t>
      </w:r>
    </w:p>
    <w:p>
      <w:pPr>
        <w:pStyle w:val="ListBullet"/>
        <w:spacing w:after="40"/>
      </w:pPr>
      <w:r>
        <w:t>Documented data dictionary CSV and PostGIS schema explaining what is queryable.</w:t>
      </w:r>
    </w:p>
    <w:p>
      <w:pPr>
        <w:spacing w:before="160" w:after="40"/>
      </w:pPr>
      <w:r>
        <w:rPr>
          <w:b/>
          <w:sz w:val="24"/>
        </w:rPr>
        <w:t>Expected Inputs from LLM Engineering</w:t>
      </w:r>
    </w:p>
    <w:p>
      <w:pPr>
        <w:pStyle w:val="ListBullet"/>
        <w:spacing w:after="40"/>
      </w:pPr>
      <w:r>
        <w:t>Embeddings model selection based on a Spanish-language evaluation.</w:t>
      </w:r>
    </w:p>
    <w:p>
      <w:pPr>
        <w:pStyle w:val="ListBullet"/>
        <w:spacing w:after="40"/>
      </w:pPr>
      <w:r>
        <w:t>Prompt templates for the agent loop, including extraction of citations and map actions.</w:t>
      </w:r>
    </w:p>
    <w:p>
      <w:pPr>
        <w:pStyle w:val="ListBullet"/>
        <w:spacing w:after="40"/>
      </w:pPr>
      <w:r>
        <w:t>Recommendation on whether to introduce a reranker.</w:t>
      </w:r>
    </w:p>
    <w:p>
      <w:pPr>
        <w:pStyle w:val="ListBullet"/>
        <w:spacing w:after="40"/>
      </w:pPr>
      <w:r>
        <w:t>Design of the evaluation harness for response quality, particularly in Spanish.</w:t>
      </w:r>
    </w:p>
    <w:p>
      <w:pPr>
        <w:spacing w:before="160" w:after="40"/>
      </w:pPr>
      <w:r>
        <w:rPr>
          <w:b/>
          <w:sz w:val="24"/>
        </w:rPr>
        <w:t>Cadence</w:t>
      </w:r>
    </w:p>
    <w:p>
      <w:pPr>
        <w:spacing w:after="80"/>
      </w:pPr>
      <w:r>
        <w:t>A weekly thirty-minute sync between backend and LLM engineering, scheduled on Mondays, focused on the tool registry, prompt iteration, and evaluation results. Day-to-day blockers handled asynchronously.</w:t>
      </w:r>
    </w:p>
    <w:p>
      <w:pPr>
        <w:spacing w:before="280" w:after="80"/>
      </w:pPr>
      <w:r>
        <w:rPr>
          <w:b/>
          <w:color w:val="1F3A5F"/>
          <w:sz w:val="28"/>
        </w:rPr>
        <w:t>6. Schedule and Milestones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72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Milestones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June 2026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Inventory CSV and per-layer dictionary stubs delivered; PostGIS instance stood up; five priority layers ingested end-to-end; FastAPI skeleton in place; reference spatial unit confirmed; MVP layer shortlist drafted.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July 2026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LLM engineer onboarded (contract permitting); first RAG prototype on two to three planning PDFs; first tool-use prototype; bilingual evaluation harness operational; internal end-to-end demo.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August 2026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Frontend wired to backend; map-action protocol live; five to ten tools defined across priority layers; RAG over ten or more documents with citations; Spanish UX review; internal demo to leadership.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September to December 2026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First community testing session; iteration on tools, prompts, and layer coverage based on real queries; hosting migration to partner-owned infrastructure; performance and cost tuning.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January to April 2027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Beta release in April 2027 — bilingual, partner-owned, public-facing.</w:t>
            </w:r>
          </w:p>
        </w:tc>
      </w:tr>
    </w:tbl>
    <w:p>
      <w:pPr>
        <w:spacing w:before="160" w:after="40"/>
      </w:pPr>
      <w:r>
        <w:rPr>
          <w:b/>
          <w:sz w:val="24"/>
        </w:rPr>
        <w:t>Schedule Risks</w:t>
      </w:r>
    </w:p>
    <w:p>
      <w:pPr>
        <w:pStyle w:val="ListBullet"/>
        <w:spacing w:after="40"/>
      </w:pPr>
      <w:r>
        <w:t>Contract delays affecting LLM engineer onboarding. Fallback: backend covers basic RAG, with evaluation quality likely to lag until full onboarding.</w:t>
      </w:r>
    </w:p>
    <w:p>
      <w:pPr>
        <w:pStyle w:val="ListBullet"/>
        <w:spacing w:after="40"/>
      </w:pPr>
      <w:r>
        <w:t>Data dictionary incomplete by end of June. Fallback: auto-generated dictionary with permissive include/exclude defaults, refined later.</w:t>
      </w:r>
    </w:p>
    <w:p>
      <w:pPr>
        <w:pStyle w:val="ListBullet"/>
        <w:spacing w:after="40"/>
      </w:pPr>
      <w:r>
        <w:t>Reference spatial unit unresolved. This blocks geotagging of non-spatial documents; an answer is needed from the partner organization by end of June.</w:t>
      </w:r>
    </w:p>
    <w:p>
      <w:pPr>
        <w:pStyle w:val="ListBullet"/>
        <w:spacing w:after="40"/>
      </w:pPr>
      <w:r>
        <w:t>Spanish-language quality. Embedding model choice has greater impact than commonly assumed; time should be budgeted for proper evaluation.</w:t>
      </w:r>
    </w:p>
    <w:p>
      <w:pPr>
        <w:spacing w:before="280" w:after="80"/>
      </w:pPr>
      <w:r>
        <w:rPr>
          <w:b/>
          <w:color w:val="1F3A5F"/>
          <w:sz w:val="28"/>
        </w:rPr>
        <w:t>7. Proposed Internal Cadence</w:t>
      </w:r>
    </w:p>
    <w:p>
      <w:pPr>
        <w:spacing w:after="80"/>
      </w:pPr>
      <w:r>
        <w:t>The team currently relies too heavily on the broader partner meetings for tactical decisions. The following internal touchpoints are proposed to address this.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Meeting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Length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Engineering Sync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Weekly (Tuesday or Wednesday)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45 minutes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Round-robin status, one rotating architecture decision, blockers and required external decisions.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Backend to LLM Sync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Weekly (Monday)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30 minutes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Tool registry updates, prompt iteration, evaluation results, interface adjustments.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Product Check-in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Biweekly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30 minutes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Scope, user research findings, MVP question status.</w:t>
            </w:r>
          </w:p>
        </w:tc>
      </w:tr>
    </w:tbl>
    <w:p>
      <w:pPr>
        <w:spacing w:before="280" w:after="80"/>
      </w:pPr>
      <w:r>
        <w:rPr>
          <w:b/>
          <w:color w:val="1F3A5F"/>
          <w:sz w:val="28"/>
        </w:rPr>
        <w:t>8. Deliverables for the Upcoming Partner Call</w:t>
      </w:r>
    </w:p>
    <w:p>
      <w:pPr>
        <w:spacing w:before="160" w:after="40"/>
      </w:pPr>
      <w:r>
        <w:rPr>
          <w:b/>
          <w:sz w:val="24"/>
        </w:rPr>
        <w:t>Documents Prepared in Advance</w:t>
      </w:r>
    </w:p>
    <w:p>
      <w:pPr>
        <w:pStyle w:val="ListBullet"/>
        <w:spacing w:after="40"/>
      </w:pPr>
      <w:r>
        <w:t>This planning document, circulated for internal review.</w:t>
      </w:r>
    </w:p>
    <w:p>
      <w:pPr>
        <w:pStyle w:val="ListBullet"/>
        <w:spacing w:after="40"/>
      </w:pPr>
      <w:r>
        <w:t>Inventory master CSV covering all 108 layers with automated flags for recency concerns, duplicate exports, and candidate reference units.</w:t>
      </w:r>
    </w:p>
    <w:p>
      <w:pPr>
        <w:pStyle w:val="ListBullet"/>
        <w:spacing w:after="40"/>
      </w:pPr>
      <w:r>
        <w:t>Per-layer data dictionary stubs in the agreed CSV format, ready for the partner data team to complete with field descriptions.</w:t>
      </w:r>
    </w:p>
    <w:p>
      <w:pPr>
        <w:pStyle w:val="ListBullet"/>
        <w:spacing w:after="40"/>
      </w:pPr>
      <w:r>
        <w:t>Proposed MVP layer shortlist of approximately ten to fifteen layers for partner validation.</w:t>
      </w:r>
    </w:p>
    <w:p>
      <w:pPr>
        <w:spacing w:before="160" w:after="40"/>
      </w:pPr>
      <w:r>
        <w:rPr>
          <w:b/>
          <w:sz w:val="24"/>
        </w:rPr>
        <w:t>Questions for the Partner Organization</w:t>
      </w:r>
    </w:p>
    <w:p>
      <w:pPr>
        <w:pStyle w:val="ListBullet"/>
        <w:spacing w:after="40"/>
      </w:pPr>
      <w:r>
        <w:t>Confirmation of the reference spatial unit (municipality, barrio, special district, or parcel).</w:t>
      </w:r>
    </w:p>
    <w:p>
      <w:pPr>
        <w:pStyle w:val="ListBullet"/>
        <w:spacing w:after="40"/>
      </w:pPr>
      <w:r>
        <w:t>Confirmation of the MVP layer shortlist.</w:t>
      </w:r>
    </w:p>
    <w:p>
      <w:pPr>
        <w:pStyle w:val="ListBullet"/>
        <w:spacing w:after="40"/>
      </w:pPr>
      <w:r>
        <w:t>Priority planning documents and PDFs for inclusion in the first RAG ingestion.</w:t>
      </w:r>
    </w:p>
    <w:p>
      <w:pPr>
        <w:pStyle w:val="ListBullet"/>
        <w:spacing w:after="40"/>
      </w:pPr>
      <w:r>
        <w:t>Timeline for setting up Mapbox and hosting accounts under partner ownership.</w:t>
      </w:r>
    </w:p>
    <w:p>
      <w:pPr>
        <w:pStyle w:val="ListBullet"/>
        <w:spacing w:after="40"/>
      </w:pPr>
      <w:r>
        <w:t>Timing of the first community testing session.</w:t>
      </w:r>
    </w:p>
    <w:p>
      <w:pPr>
        <w:spacing w:before="280" w:after="80"/>
      </w:pPr>
      <w:r>
        <w:rPr>
          <w:b/>
          <w:color w:val="1F3A5F"/>
          <w:sz w:val="28"/>
        </w:rPr>
        <w:t>9. Decisions Log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61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2026-05-22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Data dictionary will be delivered as structured CSV or Excel rather than narrative documents.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Lead Engineering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2026-05-08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Phased development is acceptable; the team will not wait for a perfect database before beginning.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2026-06-03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Proposed stack: Claude, FastAPI, PostGIS, pgvector.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Backend (proposed, pending sign-off)</w:t>
            </w:r>
          </w:p>
        </w:tc>
      </w:tr>
    </w:tbl>
    <w:p>
      <w:pPr>
        <w:spacing w:before="280" w:after="80"/>
      </w:pPr>
      <w:r>
        <w:rPr>
          <w:b/>
          <w:color w:val="1F3A5F"/>
          <w:sz w:val="28"/>
        </w:rPr>
        <w:t>10. Reference Information</w:t>
      </w:r>
    </w:p>
    <w:p>
      <w:pPr>
        <w:pStyle w:val="ListBullet"/>
        <w:spacing w:after="40"/>
      </w:pPr>
      <w:r>
        <w:t>Local GeoPackage path: data/raw/la_marana.gpkg (3 GB, 108 layers, EPSG:6566).</w:t>
      </w:r>
    </w:p>
    <w:p>
      <w:pPr>
        <w:pStyle w:val="ListBullet"/>
        <w:spacing w:after="40"/>
      </w:pPr>
      <w:r>
        <w:t>Partner-shared GeoPackage Drive folder, ArcGIS package available as alternate format.</w:t>
      </w:r>
    </w:p>
    <w:p>
      <w:pPr>
        <w:pStyle w:val="ListBullet"/>
        <w:spacing w:after="40"/>
      </w:pPr>
      <w:r>
        <w:t>Partner data team contacts and project lead identified separately for internal reference.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