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line="276" w:lineRule="auto"/>
        <w:jc w:val="center"/>
      </w:pPr>
      <w:r>
        <w:rPr>
          <w:rFonts w:ascii="Calibri" w:hAnsi="Calibri"/>
          <w:b/>
          <w:color w:val="555555"/>
          <w:sz w:val="24"/>
        </w:rPr>
        <w:t>PulseCheck x AuntEdna.ai</w:t>
      </w:r>
    </w:p>
    <w:p>
      <w:pPr>
        <w:spacing w:before="0" w:after="120" w:line="252" w:lineRule="auto"/>
        <w:jc w:val="center"/>
      </w:pPr>
      <w:r>
        <w:rPr>
          <w:rFonts w:ascii="Calibri" w:hAnsi="Calibri"/>
          <w:b/>
          <w:color w:val="000000"/>
          <w:sz w:val="50"/>
        </w:rPr>
        <w:t>Joint White Paper Proposal</w:t>
      </w:r>
    </w:p>
    <w:p>
      <w:pPr>
        <w:spacing w:before="0" w:after="160" w:line="269" w:lineRule="auto"/>
        <w:jc w:val="center"/>
      </w:pPr>
      <w:r>
        <w:rPr>
          <w:rFonts w:ascii="Calibri" w:hAnsi="Calibri"/>
          <w:b/>
          <w:color w:val="1F4D78"/>
          <w:sz w:val="30"/>
        </w:rPr>
        <w:t>AI-Supported Escalation, Human Clinical Handoff, and Return-to-Training Pathways</w:t>
      </w:r>
    </w:p>
    <w:p>
      <w:pPr>
        <w:spacing w:before="0" w:after="440" w:line="290" w:lineRule="auto"/>
        <w:jc w:val="center"/>
      </w:pPr>
      <w:r>
        <w:rPr>
          <w:rFonts w:ascii="Calibri" w:hAnsi="Calibri"/>
          <w:color w:val="57606F"/>
          <w:sz w:val="21"/>
        </w:rPr>
        <w:t>A proposal for a jointly authored research-page white paper on responsible escalation design, clinical safety loops, and the boundary between AI support and licensed care.</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700"/>
        <w:gridCol w:w="7660"/>
      </w:tblGrid>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Prepared for</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AuntEdna.ai clinical and partnership leadership</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Prepared by</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Pulse Intelligence Labs / PulseCheck</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Document status</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Draft for discussion and co-authoring alignment</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Date</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June 5, 2026</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Proposed use</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Shared planning document before drafting the public white paper</w:t>
            </w:r>
          </w:p>
        </w:tc>
      </w:tr>
    </w:tbl>
    <w:p>
      <w:pPr>
        <w:spacing w:after="120"/>
      </w:pP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EEF5FB"/>
          </w:tcPr>
          <w:p>
            <w:pPr>
              <w:spacing w:before="0" w:after="60" w:line="290" w:lineRule="auto"/>
            </w:pPr>
            <w:r>
              <w:rPr>
                <w:rFonts w:ascii="Calibri" w:hAnsi="Calibri"/>
                <w:b/>
                <w:color w:val="1F4D78"/>
                <w:sz w:val="22"/>
              </w:rPr>
              <w:t>Proposal in one sentence</w:t>
            </w:r>
          </w:p>
          <w:p>
            <w:pPr>
              <w:spacing w:before="0" w:after="0" w:line="290" w:lineRule="auto"/>
            </w:pPr>
            <w:r>
              <w:rPr>
                <w:rFonts w:ascii="Calibri" w:hAnsi="Calibri"/>
                <w:color w:val="1B2430"/>
                <w:sz w:val="21"/>
              </w:rPr>
              <w:t>PulseCheck and AuntEdna.ai should jointly publish a white paper explaining how AI can responsibly detect and structure concern signals while human clinicians own clinical judgment, emergency response, return clearance, and continued monitoring.</w:t>
            </w:r>
          </w:p>
        </w:tc>
      </w:tr>
    </w:tbl>
    <w:p>
      <w:pPr>
        <w:spacing w:after="80"/>
      </w:pPr>
    </w:p>
    <w:p>
      <w:pPr>
        <w:pStyle w:val="Heading1"/>
      </w:pPr>
      <w:r>
        <w:t>1. Purpose of the Proposed White Paper</w:t>
      </w:r>
    </w:p>
    <w:p>
      <w:pPr>
        <w:spacing w:before="0" w:after="160" w:line="320" w:lineRule="auto"/>
        <w:jc w:val="both"/>
      </w:pPr>
      <w:r>
        <w:rPr>
          <w:rFonts w:ascii="Calibri" w:hAnsi="Calibri"/>
          <w:color w:val="1B2430"/>
          <w:sz w:val="22"/>
        </w:rPr>
        <w:t>This proposal recommends a jointly authored white paper between PulseCheck and AuntEdna.ai that explains the escalation system connecting athlete-facing performance technology to licensed clinical support. The paper should be written for athletics departments, sports medicine leaders, clinical partners, university stakeholders, and responsible AI reviewers who need to understand what happens when athlete-facing AI detects a concern that should not remain inside a training product.</w:t>
      </w:r>
    </w:p>
    <w:p>
      <w:pPr>
        <w:spacing w:before="0" w:after="160" w:line="320" w:lineRule="auto"/>
        <w:jc w:val="both"/>
      </w:pPr>
      <w:r>
        <w:rPr>
          <w:rFonts w:ascii="Calibri" w:hAnsi="Calibri"/>
          <w:color w:val="1B2430"/>
          <w:sz w:val="22"/>
        </w:rPr>
        <w:t>The white paper should not claim that AI provides clinical care. Its value is more specific and more defensible: it shows how an AI-supported product can identify concern signals, pause inappropriate training, collect minimum-necessary context, and hand the athlete into a human clinical pathway when risk moves beyond ordinary performance support.</w:t>
      </w:r>
    </w:p>
    <w:p>
      <w:pPr>
        <w:pStyle w:val="Heading1"/>
      </w:pPr>
      <w:r>
        <w:t>2. Proposed Thesis</w:t>
      </w: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ECFDF3"/>
          </w:tcPr>
          <w:p>
            <w:pPr>
              <w:spacing w:before="0" w:after="60" w:line="290" w:lineRule="auto"/>
            </w:pPr>
            <w:r>
              <w:rPr>
                <w:rFonts w:ascii="Calibri" w:hAnsi="Calibri"/>
                <w:b/>
                <w:color w:val="1F4D78"/>
                <w:sz w:val="22"/>
              </w:rPr>
              <w:t>Recommended thesis</w:t>
            </w:r>
          </w:p>
          <w:p>
            <w:pPr>
              <w:spacing w:before="0" w:after="0" w:line="290" w:lineRule="auto"/>
            </w:pPr>
            <w:r>
              <w:rPr>
                <w:rFonts w:ascii="Calibri" w:hAnsi="Calibri"/>
                <w:color w:val="1B2430"/>
                <w:sz w:val="21"/>
              </w:rPr>
              <w:t>An AI-supported escalation system should not automate clinical judgment. It should create a safer bridge from ambiguous athlete signals to human support by combining bounded classification, consent-aware handoff, clinical partner routing, audit trails, education, and clear emergency boundaries.</w:t>
            </w:r>
          </w:p>
        </w:tc>
      </w:tr>
    </w:tbl>
    <w:p>
      <w:pPr>
        <w:spacing w:after="80"/>
      </w:pPr>
    </w:p>
    <w:p>
      <w:pPr>
        <w:spacing w:before="0" w:after="160" w:line="320" w:lineRule="auto"/>
        <w:jc w:val="both"/>
      </w:pPr>
      <w:r>
        <w:rPr>
          <w:rFonts w:ascii="Calibri" w:hAnsi="Calibri"/>
          <w:color w:val="1B2430"/>
          <w:sz w:val="22"/>
        </w:rPr>
        <w:t>This thesis positions the partnership around responsible care infrastructure rather than AI novelty. PulseCheck remains the non-clinical training, state, and routing layer. AuntEdna.ai remains the clinical source of truth once the case enters care. The paper can make a strong argument that the future of athlete support is not AI instead of clinicians, but AI-to-human touch with explicit boundaries.</w:t>
      </w:r>
    </w:p>
    <w:p>
      <w:pPr>
        <w:pStyle w:val="Heading1"/>
      </w:pPr>
      <w:r>
        <w:t>3. Why This Paper Is Worth Publishing</w:t>
      </w:r>
    </w:p>
    <w:p>
      <w:pPr>
        <w:pStyle w:val="ListBullet"/>
        <w:spacing w:after="80" w:line="290" w:lineRule="auto"/>
        <w:ind w:left="540" w:hanging="279"/>
      </w:pPr>
      <w:r>
        <w:rPr>
          <w:rFonts w:ascii="Calibri" w:hAnsi="Calibri"/>
          <w:color w:val="1B2430"/>
          <w:sz w:val="22"/>
        </w:rPr>
        <w:t>Athlete mental performance products increasingly receive emotionally sensitive disclosures, but many products lack a transparent pathway for escalation.</w:t>
      </w:r>
    </w:p>
    <w:p>
      <w:pPr>
        <w:pStyle w:val="ListBullet"/>
        <w:spacing w:after="80" w:line="290" w:lineRule="auto"/>
        <w:ind w:left="540" w:hanging="279"/>
      </w:pPr>
      <w:r>
        <w:rPr>
          <w:rFonts w:ascii="Calibri" w:hAnsi="Calibri"/>
          <w:color w:val="1B2430"/>
          <w:sz w:val="22"/>
        </w:rPr>
        <w:t>Athletics departments need to know how AI is bounded, when humans enter the loop, and who owns clinical authority once risk appears.</w:t>
      </w:r>
    </w:p>
    <w:p>
      <w:pPr>
        <w:pStyle w:val="ListBullet"/>
        <w:spacing w:after="80" w:line="290" w:lineRule="auto"/>
        <w:ind w:left="540" w:hanging="279"/>
      </w:pPr>
      <w:r>
        <w:rPr>
          <w:rFonts w:ascii="Calibri" w:hAnsi="Calibri"/>
          <w:color w:val="1B2430"/>
          <w:sz w:val="22"/>
        </w:rPr>
        <w:t>The partnership can show a practical model for minimum-necessary data exchange rather than broad transcript or health-data export.</w:t>
      </w:r>
    </w:p>
    <w:p>
      <w:pPr>
        <w:pStyle w:val="ListBullet"/>
        <w:spacing w:after="80" w:line="290" w:lineRule="auto"/>
        <w:ind w:left="540" w:hanging="279"/>
      </w:pPr>
      <w:r>
        <w:rPr>
          <w:rFonts w:ascii="Calibri" w:hAnsi="Calibri"/>
          <w:color w:val="1B2430"/>
          <w:sz w:val="22"/>
        </w:rPr>
        <w:t>The paper can differentiate PulseCheck and AuntEdna.ai by showing how the system behaves when normal training is no longer the right response.</w:t>
      </w:r>
    </w:p>
    <w:p>
      <w:pPr>
        <w:pStyle w:val="ListBullet"/>
        <w:spacing w:after="80" w:line="290" w:lineRule="auto"/>
        <w:ind w:left="540" w:hanging="279"/>
      </w:pPr>
      <w:r>
        <w:rPr>
          <w:rFonts w:ascii="Calibri" w:hAnsi="Calibri"/>
          <w:color w:val="1B2430"/>
          <w:sz w:val="22"/>
        </w:rPr>
        <w:t>The public narrative can be careful, ethical, and useful without overclaiming clinical validation before pilot data exists.</w:t>
      </w:r>
    </w:p>
    <w:p>
      <w:pPr>
        <w:pStyle w:val="Heading1"/>
      </w:pPr>
      <w:r>
        <w:t>4. Proposed Core Narrative</w:t>
      </w:r>
    </w:p>
    <w:p>
      <w:pPr>
        <w:spacing w:before="0" w:after="160" w:line="320" w:lineRule="auto"/>
        <w:jc w:val="both"/>
      </w:pPr>
      <w:r>
        <w:rPr>
          <w:rFonts w:ascii="Calibri" w:hAnsi="Calibri"/>
          <w:color w:val="1B2430"/>
          <w:sz w:val="22"/>
        </w:rPr>
        <w:t>The central story should be that escalation is a safety loop, not a feature toggle. PulseCheck detects and classifies concern signals inside a bounded non-clinical product context. If the concern rises to a clinical or emergency pathway, PulseCheck blocks normal curriculum and initiates the appropriate handoff. AuntEdna.ai then owns the clinical pathway, including intake, clinician assignment, care actions, emergency disposition, clearance, and continued monitoring when appropriate.</w:t>
      </w:r>
    </w:p>
    <w:p>
      <w:pPr>
        <w:spacing w:before="0" w:after="160" w:line="320" w:lineRule="auto"/>
        <w:jc w:val="both"/>
      </w:pPr>
      <w:r>
        <w:rPr>
          <w:rFonts w:ascii="Calibri" w:hAnsi="Calibri"/>
          <w:color w:val="1B2430"/>
          <w:sz w:val="22"/>
        </w:rPr>
        <w:t>The athlete should experience this as continuity of care rather than abandonment by the product. The product becomes quieter at the right moment. It stops asking the athlete to perform and moves them toward human support.</w:t>
      </w:r>
    </w:p>
    <w:p>
      <w:pPr>
        <w:pStyle w:val="Heading1"/>
      </w:pPr>
      <w:r>
        <w:t>5. Clinical Safety Loop to Include</w:t>
      </w:r>
    </w:p>
    <w:p>
      <w:pPr>
        <w:spacing w:before="0" w:after="160" w:line="320" w:lineRule="auto"/>
        <w:jc w:val="both"/>
      </w:pPr>
      <w:r>
        <w:rPr>
          <w:rFonts w:ascii="Calibri" w:hAnsi="Calibri"/>
          <w:color w:val="1B2430"/>
          <w:sz w:val="22"/>
        </w:rPr>
        <w:t>The following flow should be included as a main section of the white paper. It directly addresses what happens when an emergency or elevated-risk event occurs, how PulseCheck walls off the athlete from normal curriculum, and how AuntEdna.ai controls clinical clearance and continued monitoring.</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4550"/>
        <w:gridCol w:w="2910"/>
      </w:tblGrid>
      <w:tr>
        <w:trPr>
          <w:tblHeader w:val="true"/>
        </w:trPr>
        <w:tc>
          <w:tcPr>
            <w:tcW w:type="dxa" w:w="19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Stage</w:t>
            </w:r>
          </w:p>
        </w:tc>
        <w:tc>
          <w:tcPr>
            <w:tcW w:type="dxa" w:w="455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System Behavior</w:t>
            </w:r>
          </w:p>
        </w:tc>
        <w:tc>
          <w:tcPr>
            <w:tcW w:type="dxa" w:w="291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Ownership and Boundary</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1. Safety block activated</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suspends normal curriculum, Sims, Trials, high-pressure assignments, and performance-facing prompts while the safety state is active.</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owns the product block and records non-clinical operational status.</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2. Minimum-necessary handoff</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sends a focused case packet with identity, routing, tier/category, triggering summary, consent state when applicable, and freshness-aware context.</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initiates the handoff. AuntEdna.ai receives only the data needed for the case.</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3. Clinical intake and assignment</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AuntEdna.ai creates or updates the clinical case, assigns the clinician or care lane, and determines the appropriate next clinical step.</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AuntEdna.ai becomes the clinical source of truth.</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4. Licensed clinician-led care</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The athlete works with a licensed clinician or approved clinical pathway. AI may support summarization or routing, but not clinical judgment.</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Human clinical authority owns risk assessment, care decisions, and emergency disposition.</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5. Emergency alleviated</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When the clinician determines the acute risk has reduced, AuntEdna.ai sends a limited clearance or status update to PulseCheck.</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No clinical notes or diagnosis need to return to PulseCheck by default.</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6. Return to PulseCheck</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removes the curriculum block only after receiving allowed clearance status, then returns the athlete through a gentle path such as check-in, recovery protocol, and lower-intensity programming.</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Return-to-training is operationally gated by AuntEdna.ai status.</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7. Continued monitoring pathway</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AuntEdna.ai may keep the athlete in a continued clinical monitoring status after the emergency has resolved.</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reflects only display-safe operational status and can keep programming conservative.</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8. Closure or ongoing support</w:t>
            </w:r>
          </w:p>
        </w:tc>
        <w:tc>
          <w:tcPr>
            <w:tcW w:type="dxa" w:w="455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The case can close, remain monitored, or move into ongoing care outside the PulseCheck training pathway.</w:t>
            </w:r>
          </w:p>
        </w:tc>
        <w:tc>
          <w:tcPr>
            <w:tcW w:type="dxa" w:w="29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AuntEdna.ai owns clinical continuity; PulseCheck owns curriculum eligibility and limited workflow mirror.</w:t>
            </w:r>
          </w:p>
        </w:tc>
      </w:tr>
    </w:tbl>
    <w:p>
      <w:pPr>
        <w:spacing w:after="120"/>
      </w:pPr>
    </w:p>
    <w:p>
      <w:pPr>
        <w:pStyle w:val="Heading1"/>
      </w:pPr>
      <w:r>
        <w:t>6. Proposed White Paper Structure</w:t>
      </w:r>
    </w:p>
    <w:p>
      <w:pPr>
        <w:pStyle w:val="ListNumber"/>
        <w:spacing w:after="80" w:line="290" w:lineRule="auto"/>
        <w:ind w:left="540" w:hanging="279"/>
      </w:pPr>
      <w:r>
        <w:rPr>
          <w:rFonts w:ascii="Calibri" w:hAnsi="Calibri"/>
          <w:color w:val="1B2430"/>
          <w:sz w:val="22"/>
        </w:rPr>
        <w:t>Introduction: why athlete-facing AI needs an escalation architecture, not only conversational guardrails.</w:t>
      </w:r>
    </w:p>
    <w:p>
      <w:pPr>
        <w:pStyle w:val="ListNumber"/>
        <w:spacing w:after="80" w:line="290" w:lineRule="auto"/>
        <w:ind w:left="540" w:hanging="279"/>
      </w:pPr>
      <w:r>
        <w:rPr>
          <w:rFonts w:ascii="Calibri" w:hAnsi="Calibri"/>
          <w:color w:val="1B2430"/>
          <w:sz w:val="22"/>
        </w:rPr>
        <w:t>The boundary problem: distinguishing low readiness, support need, elevated clinical concern, and emergency risk.</w:t>
      </w:r>
    </w:p>
    <w:p>
      <w:pPr>
        <w:pStyle w:val="ListNumber"/>
        <w:spacing w:after="80" w:line="290" w:lineRule="auto"/>
        <w:ind w:left="540" w:hanging="279"/>
      </w:pPr>
      <w:r>
        <w:rPr>
          <w:rFonts w:ascii="Calibri" w:hAnsi="Calibri"/>
          <w:color w:val="1B2430"/>
          <w:sz w:val="22"/>
        </w:rPr>
        <w:t>The PulseCheck escalation model: Tier 0 through Tier 3, safety blocks, support visibility, consent, and hard override rules.</w:t>
      </w:r>
    </w:p>
    <w:p>
      <w:pPr>
        <w:pStyle w:val="ListNumber"/>
        <w:spacing w:after="80" w:line="290" w:lineRule="auto"/>
        <w:ind w:left="540" w:hanging="279"/>
      </w:pPr>
      <w:r>
        <w:rPr>
          <w:rFonts w:ascii="Calibri" w:hAnsi="Calibri"/>
          <w:color w:val="1B2430"/>
          <w:sz w:val="22"/>
        </w:rPr>
        <w:t>AuntEdna.ai clinical pathway: intake, clinician assignment, care action, emergency disposition, clearance, and continued monitoring.</w:t>
      </w:r>
    </w:p>
    <w:p>
      <w:pPr>
        <w:pStyle w:val="ListNumber"/>
        <w:spacing w:after="80" w:line="290" w:lineRule="auto"/>
        <w:ind w:left="540" w:hanging="279"/>
      </w:pPr>
      <w:r>
        <w:rPr>
          <w:rFonts w:ascii="Calibri" w:hAnsi="Calibri"/>
          <w:color w:val="1B2430"/>
          <w:sz w:val="22"/>
        </w:rPr>
        <w:t>Education, alignment, and referral readiness: how frontline humans are trained to understand the system and route concern appropriately.</w:t>
      </w:r>
    </w:p>
    <w:p>
      <w:pPr>
        <w:pStyle w:val="ListNumber"/>
        <w:spacing w:after="80" w:line="290" w:lineRule="auto"/>
        <w:ind w:left="540" w:hanging="279"/>
      </w:pPr>
      <w:r>
        <w:rPr>
          <w:rFonts w:ascii="Calibri" w:hAnsi="Calibri"/>
          <w:color w:val="1B2430"/>
          <w:sz w:val="22"/>
        </w:rPr>
        <w:t>Structured escalation pathway: warning signs, first notification, behavioral health / psychiatry / social work / security involvement, response timing, documentation, block status, clearance, and continued monitoring.</w:t>
      </w:r>
    </w:p>
    <w:p>
      <w:pPr>
        <w:pStyle w:val="ListNumber"/>
        <w:spacing w:after="80" w:line="290" w:lineRule="auto"/>
        <w:ind w:left="540" w:hanging="279"/>
      </w:pPr>
      <w:r>
        <w:rPr>
          <w:rFonts w:ascii="Calibri" w:hAnsi="Calibri"/>
          <w:color w:val="1B2430"/>
          <w:sz w:val="22"/>
        </w:rPr>
        <w:t>AI-to-human touch: what AI can do, what it must not do, and where licensed clinicians enter and remain authoritative.</w:t>
      </w:r>
    </w:p>
    <w:p>
      <w:pPr>
        <w:pStyle w:val="ListNumber"/>
        <w:spacing w:after="80" w:line="290" w:lineRule="auto"/>
        <w:ind w:left="540" w:hanging="279"/>
      </w:pPr>
      <w:r>
        <w:rPr>
          <w:rFonts w:ascii="Calibri" w:hAnsi="Calibri"/>
          <w:color w:val="1B2430"/>
          <w:sz w:val="22"/>
        </w:rPr>
        <w:t>Data exchange model: focused handoff packets, minimum-necessary disclosures, operational status mirror, and clinical source-of-truth boundaries.</w:t>
      </w:r>
    </w:p>
    <w:p>
      <w:pPr>
        <w:pStyle w:val="ListNumber"/>
        <w:spacing w:after="80" w:line="290" w:lineRule="auto"/>
        <w:ind w:left="540" w:hanging="279"/>
      </w:pPr>
      <w:r>
        <w:rPr>
          <w:rFonts w:ascii="Calibri" w:hAnsi="Calibri"/>
          <w:color w:val="1B2430"/>
          <w:sz w:val="22"/>
        </w:rPr>
        <w:t>Ethics and governance: transparency, consent, auditability, bias monitoring, human oversight, and post-launch safety review.</w:t>
      </w:r>
    </w:p>
    <w:p>
      <w:pPr>
        <w:pStyle w:val="ListNumber"/>
        <w:spacing w:after="80" w:line="290" w:lineRule="auto"/>
        <w:ind w:left="540" w:hanging="279"/>
      </w:pPr>
      <w:r>
        <w:rPr>
          <w:rFonts w:ascii="Calibri" w:hAnsi="Calibri"/>
          <w:color w:val="1B2430"/>
          <w:sz w:val="22"/>
        </w:rPr>
        <w:t>Post-pilot evidence plan: how STROBE and related reporting frameworks become relevant if pilot outcomes are published.</w:t>
      </w:r>
    </w:p>
    <w:p>
      <w:pPr>
        <w:pStyle w:val="ListNumber"/>
        <w:spacing w:after="80" w:line="290" w:lineRule="auto"/>
        <w:ind w:left="540" w:hanging="279"/>
      </w:pPr>
      <w:r>
        <w:rPr>
          <w:rFonts w:ascii="Calibri" w:hAnsi="Calibri"/>
          <w:color w:val="1B2430"/>
          <w:sz w:val="22"/>
        </w:rPr>
        <w:t>Conclusion: responsible escalation is a care bridge between performance technology and human clinical support.</w:t>
      </w:r>
    </w:p>
    <w:p>
      <w:pPr>
        <w:pStyle w:val="Heading1"/>
      </w:pPr>
      <w:r>
        <w:t>7. Scope and Boundary Rules</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700"/>
        <w:gridCol w:w="7660"/>
      </w:tblGrid>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In scope</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Escalation mechanics, tiering logic, AI support role, safety block behavior, AuntEdna.ai clinical handoff, clinician clearance, continued monitoring, data minimization, consent, audit trail, education, and validation plan.</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Out of scope</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Claims that AI diagnoses, treats, provides therapy, replaces crisis care, replaces emergency services, or independently determines clinical clearance.</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Public posture</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The paper should present the system as responsible routing and care coordination infrastructure, not as autonomous clinical decision-making.</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Clinical authority</w:t>
            </w:r>
          </w:p>
        </w:tc>
        <w:tc>
          <w:tcPr>
            <w:tcW w:type="dxa" w:w="7660"/>
            <w:tcMar>
              <w:top w:w="80" w:type="dxa"/>
              <w:bottom w:w="80" w:type="dxa"/>
              <w:start w:w="120" w:type="dxa"/>
              <w:end w:w="120" w:type="dxa"/>
            </w:tcMar>
            <w:vAlign w:val="center"/>
          </w:tcPr>
          <w:p>
            <w:pPr>
              <w:spacing w:before="0" w:after="0" w:line="276" w:lineRule="auto"/>
            </w:pPr>
            <w:r>
              <w:rPr>
                <w:rFonts w:ascii="Calibri" w:hAnsi="Calibri"/>
                <w:color w:val="1B2430"/>
                <w:sz w:val="21"/>
              </w:rPr>
              <w:t>Once the case is accepted into AuntEdna.ai, licensed clinicians and approved clinical workflows own risk assessment, care actions, emergency disposition, and return clearance.</w:t>
            </w:r>
          </w:p>
        </w:tc>
      </w:tr>
    </w:tbl>
    <w:p>
      <w:pPr>
        <w:spacing w:after="120"/>
      </w:pPr>
    </w:p>
    <w:p>
      <w:pPr>
        <w:pStyle w:val="Heading1"/>
      </w:pPr>
      <w:r>
        <w:t>8. AI Ethics and Governance Topics to Cover</w:t>
      </w:r>
    </w:p>
    <w:p>
      <w:pPr>
        <w:pStyle w:val="ListBullet"/>
        <w:spacing w:after="80" w:line="290" w:lineRule="auto"/>
        <w:ind w:left="540" w:hanging="279"/>
      </w:pPr>
      <w:r>
        <w:rPr>
          <w:rFonts w:ascii="Calibri" w:hAnsi="Calibri"/>
          <w:color w:val="1B2430"/>
          <w:sz w:val="22"/>
        </w:rPr>
        <w:t>Transparency: athletes, teams, and clinicians should understand that AI may help detect and summarize concern signals, but humans own clinical care.</w:t>
      </w:r>
    </w:p>
    <w:p>
      <w:pPr>
        <w:pStyle w:val="ListBullet"/>
        <w:spacing w:after="80" w:line="290" w:lineRule="auto"/>
        <w:ind w:left="540" w:hanging="279"/>
      </w:pPr>
      <w:r>
        <w:rPr>
          <w:rFonts w:ascii="Calibri" w:hAnsi="Calibri"/>
          <w:color w:val="1B2430"/>
          <w:sz w:val="22"/>
        </w:rPr>
        <w:t>Consent: Tier 2 handoffs should be consent-aware where policy allows; Tier 3 emergency pathways need a clearly disclosed safety exception model.</w:t>
      </w:r>
    </w:p>
    <w:p>
      <w:pPr>
        <w:pStyle w:val="ListBullet"/>
        <w:spacing w:after="80" w:line="290" w:lineRule="auto"/>
        <w:ind w:left="540" w:hanging="279"/>
      </w:pPr>
      <w:r>
        <w:rPr>
          <w:rFonts w:ascii="Calibri" w:hAnsi="Calibri"/>
          <w:color w:val="1B2430"/>
          <w:sz w:val="22"/>
        </w:rPr>
        <w:t>Minimum necessary: the handoff is a case packet, not a broad export of conversations, training data, wearable streams, or unrelated product analytics.</w:t>
      </w:r>
    </w:p>
    <w:p>
      <w:pPr>
        <w:pStyle w:val="ListBullet"/>
        <w:spacing w:after="80" w:line="290" w:lineRule="auto"/>
        <w:ind w:left="540" w:hanging="279"/>
      </w:pPr>
      <w:r>
        <w:rPr>
          <w:rFonts w:ascii="Calibri" w:hAnsi="Calibri"/>
          <w:color w:val="1B2430"/>
          <w:sz w:val="22"/>
        </w:rPr>
        <w:t>Human oversight: AI output should support review, not become the final authority for clinical action or return clearance.</w:t>
      </w:r>
    </w:p>
    <w:p>
      <w:pPr>
        <w:pStyle w:val="ListBullet"/>
        <w:spacing w:after="80" w:line="290" w:lineRule="auto"/>
        <w:ind w:left="540" w:hanging="279"/>
      </w:pPr>
      <w:r>
        <w:rPr>
          <w:rFonts w:ascii="Calibri" w:hAnsi="Calibri"/>
          <w:color w:val="1B2430"/>
          <w:sz w:val="22"/>
        </w:rPr>
        <w:t>Auditability: escalation creation, handoff transmission, receipt, status changes, blocks, clearances, and monitoring states should be timestamped and reviewable.</w:t>
      </w:r>
    </w:p>
    <w:p>
      <w:pPr>
        <w:pStyle w:val="ListBullet"/>
        <w:spacing w:after="80" w:line="290" w:lineRule="auto"/>
        <w:ind w:left="540" w:hanging="279"/>
      </w:pPr>
      <w:r>
        <w:rPr>
          <w:rFonts w:ascii="Calibri" w:hAnsi="Calibri"/>
          <w:color w:val="1B2430"/>
          <w:sz w:val="22"/>
        </w:rPr>
        <w:t>Bias and error review: the partners should monitor false negatives, false positives, demographic or sport-context disparities, and clinician feedback on summary usefulness.</w:t>
      </w:r>
    </w:p>
    <w:p>
      <w:pPr>
        <w:pStyle w:val="ListBullet"/>
        <w:spacing w:after="80" w:line="290" w:lineRule="auto"/>
        <w:ind w:left="540" w:hanging="279"/>
      </w:pPr>
      <w:r>
        <w:rPr>
          <w:rFonts w:ascii="Calibri" w:hAnsi="Calibri"/>
          <w:color w:val="1B2430"/>
          <w:sz w:val="22"/>
        </w:rPr>
        <w:t>Post-launch safety monitoring: incident reviews and adverse-event processes should exist after deployment, not only during pre-launch testing.</w:t>
      </w:r>
    </w:p>
    <w:p>
      <w:pPr>
        <w:pStyle w:val="Heading1"/>
      </w:pPr>
      <w:r>
        <w:t>9. Education, Alignment, and Referral Readiness</w:t>
      </w:r>
    </w:p>
    <w:p>
      <w:pPr>
        <w:spacing w:before="0" w:after="160" w:line="320" w:lineRule="auto"/>
        <w:jc w:val="both"/>
      </w:pPr>
      <w:r>
        <w:rPr>
          <w:rFonts w:ascii="Calibri" w:hAnsi="Calibri"/>
          <w:color w:val="1B2430"/>
          <w:sz w:val="22"/>
        </w:rPr>
        <w:t>AuntEdna.ai clinical feedback adds an important operational theme: early identification only works when the human layer is trained, aligned, and ready to refer. The white paper should make clear that the system is not just an algorithmic classifier. It is a shared protocol across athlete, product, coach or support staff, and licensed clinical care.</w:t>
      </w:r>
    </w:p>
    <w:p>
      <w:pPr>
        <w:spacing w:before="0" w:after="160" w:line="320" w:lineRule="auto"/>
        <w:jc w:val="both"/>
      </w:pPr>
      <w:r>
        <w:rPr>
          <w:rFonts w:ascii="Calibri" w:hAnsi="Calibri"/>
          <w:color w:val="1B2430"/>
          <w:sz w:val="22"/>
        </w:rPr>
        <w:t>This section should connect PulseCheck to the broader integrated-care idea that mental health checks can occur in general or non-specialist settings, provided that the people around the athlete have the education, role clarity, and referral pathway needed to act responsibly. In the athletics context, that means coaches and support staff may notice patterns, but they should not be asked to become clinicians. Their job is to recognize the boundary and route to the correct care lane.</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50"/>
        <w:gridCol w:w="4100"/>
        <w:gridCol w:w="3310"/>
      </w:tblGrid>
      <w:tr>
        <w:trPr>
          <w:tblHeader w:val="true"/>
        </w:trPr>
        <w:tc>
          <w:tcPr>
            <w:tcW w:type="dxa" w:w="195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Readiness Area</w:t>
            </w:r>
          </w:p>
        </w:tc>
        <w:tc>
          <w:tcPr>
            <w:tcW w:type="dxa" w:w="41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What the White Paper Should Say</w:t>
            </w:r>
          </w:p>
        </w:tc>
        <w:tc>
          <w:tcPr>
            <w:tcW w:type="dxa" w:w="331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Operational Implication</w:t>
            </w:r>
          </w:p>
        </w:tc>
      </w:tr>
      <w:tr>
        <w:tc>
          <w:tcPr>
            <w:tcW w:type="dxa" w:w="195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Shared language</w:t>
            </w:r>
          </w:p>
        </w:tc>
        <w:tc>
          <w:tcPr>
            <w:tcW w:type="dxa" w:w="41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Everyone should understand the difference between low readiness, support visibility, elevated concern, and emergency escalation.</w:t>
            </w:r>
          </w:p>
        </w:tc>
        <w:tc>
          <w:tcPr>
            <w:tcW w:type="dxa" w:w="33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PulseCheck, coaches, AuntEdna.ai, and athletes should use consistent public-safe vocabulary.</w:t>
            </w:r>
          </w:p>
        </w:tc>
      </w:tr>
      <w:tr>
        <w:tc>
          <w:tcPr>
            <w:tcW w:type="dxa" w:w="195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Training and education</w:t>
            </w:r>
          </w:p>
        </w:tc>
        <w:tc>
          <w:tcPr>
            <w:tcW w:type="dxa" w:w="41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Non-clinical staff need basic training on what the escalation system means, what they should do, and what they should not attempt.</w:t>
            </w:r>
          </w:p>
        </w:tc>
        <w:tc>
          <w:tcPr>
            <w:tcW w:type="dxa" w:w="33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Training materials should emphasize referral readiness, not informal counseling or independent risk assessment.</w:t>
            </w:r>
          </w:p>
        </w:tc>
      </w:tr>
      <w:tr>
        <w:tc>
          <w:tcPr>
            <w:tcW w:type="dxa" w:w="195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Referral pathway clarity</w:t>
            </w:r>
          </w:p>
        </w:tc>
        <w:tc>
          <w:tcPr>
            <w:tcW w:type="dxa" w:w="41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Early identification has value only when a clear pathway exists from concern signal to human support.</w:t>
            </w:r>
          </w:p>
        </w:tc>
        <w:tc>
          <w:tcPr>
            <w:tcW w:type="dxa" w:w="33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The handoff path should be documented, tested, and known before a pilot starts.</w:t>
            </w:r>
          </w:p>
        </w:tc>
      </w:tr>
      <w:tr>
        <w:tc>
          <w:tcPr>
            <w:tcW w:type="dxa" w:w="195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Consumer voice</w:t>
            </w:r>
          </w:p>
        </w:tc>
        <w:tc>
          <w:tcPr>
            <w:tcW w:type="dxa" w:w="41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Athlete or patient feedback should shape the protocol, disclosures, and experience design.</w:t>
            </w:r>
          </w:p>
        </w:tc>
        <w:tc>
          <w:tcPr>
            <w:tcW w:type="dxa" w:w="33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The paper should name athlete voice as an ethics and usability requirement, not a decorative input.</w:t>
            </w:r>
          </w:p>
        </w:tc>
      </w:tr>
      <w:tr>
        <w:tc>
          <w:tcPr>
            <w:tcW w:type="dxa" w:w="195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Scenario practice</w:t>
            </w:r>
          </w:p>
        </w:tc>
        <w:tc>
          <w:tcPr>
            <w:tcW w:type="dxa" w:w="41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Teams should rehearse common cases: persistent low readiness, concerning message, consent-based handoff, emergency block, and return clearance.</w:t>
            </w:r>
          </w:p>
        </w:tc>
        <w:tc>
          <w:tcPr>
            <w:tcW w:type="dxa" w:w="33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Pilot onboarding should include role-based walkthroughs before live use.</w:t>
            </w:r>
          </w:p>
        </w:tc>
      </w:tr>
      <w:tr>
        <w:tc>
          <w:tcPr>
            <w:tcW w:type="dxa" w:w="195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Feedback loop</w:t>
            </w:r>
          </w:p>
        </w:tc>
        <w:tc>
          <w:tcPr>
            <w:tcW w:type="dxa" w:w="41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Clinicians and frontline users should be able to flag unclear summaries, over-routing, under-routing, or confusing athlete experience.</w:t>
            </w:r>
          </w:p>
        </w:tc>
        <w:tc>
          <w:tcPr>
            <w:tcW w:type="dxa" w:w="331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Pilot operations should include structured review and protocol refinement.</w:t>
            </w:r>
          </w:p>
        </w:tc>
      </w:tr>
    </w:tbl>
    <w:p>
      <w:pPr>
        <w:spacing w:after="120"/>
      </w:pP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FFF7E6"/>
          </w:tcPr>
          <w:p>
            <w:pPr>
              <w:spacing w:before="0" w:after="60" w:line="290" w:lineRule="auto"/>
            </w:pPr>
            <w:r>
              <w:rPr>
                <w:rFonts w:ascii="Calibri" w:hAnsi="Calibri"/>
                <w:b/>
                <w:color w:val="1F4D78"/>
                <w:sz w:val="22"/>
              </w:rPr>
              <w:t>Recommended partner framing</w:t>
            </w:r>
          </w:p>
          <w:p>
            <w:pPr>
              <w:spacing w:before="0" w:after="0" w:line="290" w:lineRule="auto"/>
            </w:pPr>
            <w:r>
              <w:rPr>
                <w:rFonts w:ascii="Calibri" w:hAnsi="Calibri"/>
                <w:color w:val="1B2430"/>
                <w:sz w:val="21"/>
              </w:rPr>
              <w:t>The paper should say that AI-supported early identification is only responsible when paired with education, aligned roles, and a real referral pathway into licensed care. Otherwise, the technology may detect concern without creating a trustworthy path to help.</w:t>
            </w:r>
          </w:p>
        </w:tc>
      </w:tr>
    </w:tbl>
    <w:p>
      <w:pPr>
        <w:spacing w:after="80"/>
      </w:pPr>
    </w:p>
    <w:p>
      <w:pPr>
        <w:pStyle w:val="Heading1"/>
      </w:pPr>
      <w:r>
        <w:t>10. Structured Escalation Pathways and Notification Rules</w:t>
      </w:r>
    </w:p>
    <w:p>
      <w:pPr>
        <w:spacing w:before="0" w:after="160" w:line="320" w:lineRule="auto"/>
        <w:jc w:val="both"/>
      </w:pPr>
      <w:r>
        <w:rPr>
          <w:rFonts w:ascii="Calibri" w:hAnsi="Calibri"/>
          <w:color w:val="1B2430"/>
          <w:sz w:val="22"/>
        </w:rPr>
        <w:t>AuntEdna.ai clinical feedback adds the operational playbook the white paper needs: early detection is only credible when the next steps are structured. The paper should answer who is notified first, what warning signs trigger escalation, when behavioral health, psychiatry, social work, security, or emergency services enter, how quickly response should happen, and what documentation is required.</w:t>
      </w:r>
    </w:p>
    <w:p>
      <w:pPr>
        <w:spacing w:before="0" w:after="160" w:line="320" w:lineRule="auto"/>
        <w:jc w:val="both"/>
      </w:pPr>
      <w:r>
        <w:rPr>
          <w:rFonts w:ascii="Calibri" w:hAnsi="Calibri"/>
          <w:color w:val="1B2430"/>
          <w:sz w:val="22"/>
        </w:rPr>
        <w:t>This section should be framed as a pathway matrix rather than a generic alert policy. The pathway makes clear that PulseCheck does not independently make clinical decisions. It detects, blocks inappropriate curriculum when needed, records a minimum-necessary audit trail, and hands the case into AuntEdna.ai or the deployment-specific emergency route.</w:t>
      </w: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FFF7E6"/>
          </w:tcPr>
          <w:p>
            <w:pPr>
              <w:spacing w:before="0" w:after="60" w:line="290" w:lineRule="auto"/>
            </w:pPr>
            <w:r>
              <w:rPr>
                <w:rFonts w:ascii="Calibri" w:hAnsi="Calibri"/>
                <w:b/>
                <w:color w:val="1F4D78"/>
                <w:sz w:val="22"/>
              </w:rPr>
              <w:t>Clinical operations principle</w:t>
            </w:r>
          </w:p>
          <w:p>
            <w:pPr>
              <w:spacing w:before="0" w:after="0" w:line="290" w:lineRule="auto"/>
            </w:pPr>
            <w:r>
              <w:rPr>
                <w:rFonts w:ascii="Calibri" w:hAnsi="Calibri"/>
                <w:color w:val="1B2430"/>
                <w:sz w:val="21"/>
              </w:rPr>
              <w:t>The more serious the warning sign, the less PulseCheck should behave like a training product. Escalation should move from curriculum and coaching into human clinical review, emergency response, documentation, and clearance-controlled return.</w:t>
            </w:r>
          </w:p>
        </w:tc>
      </w:tr>
    </w:tbl>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650"/>
        <w:gridCol w:w="1550"/>
        <w:gridCol w:w="1850"/>
        <w:gridCol w:w="1300"/>
        <w:gridCol w:w="1650"/>
        <w:gridCol w:w="1360"/>
      </w:tblGrid>
      <w:tr>
        <w:trPr>
          <w:tblHeader w:val="true"/>
        </w:trPr>
        <w:tc>
          <w:tcPr>
            <w:tcW w:type="dxa" w:w="1650"/>
            <w:tcMar>
              <w:top w:w="80" w:type="dxa"/>
              <w:bottom w:w="80" w:type="dxa"/>
              <w:start w:w="120" w:type="dxa"/>
              <w:end w:w="120" w:type="dxa"/>
            </w:tcMar>
            <w:vAlign w:val="center"/>
            <w:shd w:fill="F4F6F9"/>
          </w:tcPr>
          <w:p>
            <w:pPr>
              <w:spacing w:before="0" w:after="0" w:line="276" w:lineRule="auto"/>
            </w:pPr>
            <w:r>
              <w:rPr>
                <w:rFonts w:ascii="Calibri" w:hAnsi="Calibri"/>
                <w:b/>
                <w:color w:val="1F4D78"/>
                <w:sz w:val="18"/>
              </w:rPr>
              <w:t>Scenario or Warning Sign</w:t>
            </w:r>
          </w:p>
        </w:tc>
        <w:tc>
          <w:tcPr>
            <w:tcW w:type="dxa" w:w="1550"/>
            <w:tcMar>
              <w:top w:w="80" w:type="dxa"/>
              <w:bottom w:w="80" w:type="dxa"/>
              <w:start w:w="120" w:type="dxa"/>
              <w:end w:w="120" w:type="dxa"/>
            </w:tcMar>
            <w:vAlign w:val="center"/>
            <w:shd w:fill="F4F6F9"/>
          </w:tcPr>
          <w:p>
            <w:pPr>
              <w:spacing w:before="0" w:after="0" w:line="276" w:lineRule="auto"/>
            </w:pPr>
            <w:r>
              <w:rPr>
                <w:rFonts w:ascii="Calibri" w:hAnsi="Calibri"/>
                <w:b/>
                <w:color w:val="1F4D78"/>
                <w:sz w:val="18"/>
              </w:rPr>
              <w:t>Who Should Be Notified First</w:t>
            </w:r>
          </w:p>
        </w:tc>
        <w:tc>
          <w:tcPr>
            <w:tcW w:type="dxa" w:w="1850"/>
            <w:tcMar>
              <w:top w:w="80" w:type="dxa"/>
              <w:bottom w:w="80" w:type="dxa"/>
              <w:start w:w="120" w:type="dxa"/>
              <w:end w:w="120" w:type="dxa"/>
            </w:tcMar>
            <w:vAlign w:val="center"/>
            <w:shd w:fill="F4F6F9"/>
          </w:tcPr>
          <w:p>
            <w:pPr>
              <w:spacing w:before="0" w:after="0" w:line="276" w:lineRule="auto"/>
            </w:pPr>
            <w:r>
              <w:rPr>
                <w:rFonts w:ascii="Calibri" w:hAnsi="Calibri"/>
                <w:b/>
                <w:color w:val="1F4D78"/>
                <w:sz w:val="18"/>
              </w:rPr>
              <w:t>When to Involve Each Role</w:t>
            </w:r>
          </w:p>
        </w:tc>
        <w:tc>
          <w:tcPr>
            <w:tcW w:type="dxa" w:w="1300"/>
            <w:tcMar>
              <w:top w:w="80" w:type="dxa"/>
              <w:bottom w:w="80" w:type="dxa"/>
              <w:start w:w="120" w:type="dxa"/>
              <w:end w:w="120" w:type="dxa"/>
            </w:tcMar>
            <w:vAlign w:val="center"/>
            <w:shd w:fill="F4F6F9"/>
          </w:tcPr>
          <w:p>
            <w:pPr>
              <w:spacing w:before="0" w:after="0" w:line="276" w:lineRule="auto"/>
            </w:pPr>
            <w:r>
              <w:rPr>
                <w:rFonts w:ascii="Calibri" w:hAnsi="Calibri"/>
                <w:b/>
                <w:color w:val="1F4D78"/>
                <w:sz w:val="18"/>
              </w:rPr>
              <w:t>Response Timing</w:t>
            </w:r>
          </w:p>
        </w:tc>
        <w:tc>
          <w:tcPr>
            <w:tcW w:type="dxa" w:w="1650"/>
            <w:tcMar>
              <w:top w:w="80" w:type="dxa"/>
              <w:bottom w:w="80" w:type="dxa"/>
              <w:start w:w="120" w:type="dxa"/>
              <w:end w:w="120" w:type="dxa"/>
            </w:tcMar>
            <w:vAlign w:val="center"/>
            <w:shd w:fill="F4F6F9"/>
          </w:tcPr>
          <w:p>
            <w:pPr>
              <w:spacing w:before="0" w:after="0" w:line="276" w:lineRule="auto"/>
            </w:pPr>
            <w:r>
              <w:rPr>
                <w:rFonts w:ascii="Calibri" w:hAnsi="Calibri"/>
                <w:b/>
                <w:color w:val="1F4D78"/>
                <w:sz w:val="18"/>
              </w:rPr>
              <w:t>Documentation Required</w:t>
            </w:r>
          </w:p>
        </w:tc>
        <w:tc>
          <w:tcPr>
            <w:tcW w:type="dxa" w:w="1360"/>
            <w:tcMar>
              <w:top w:w="80" w:type="dxa"/>
              <w:bottom w:w="80" w:type="dxa"/>
              <w:start w:w="120" w:type="dxa"/>
              <w:end w:w="120" w:type="dxa"/>
            </w:tcMar>
            <w:vAlign w:val="center"/>
            <w:shd w:fill="F4F6F9"/>
          </w:tcPr>
          <w:p>
            <w:pPr>
              <w:spacing w:before="0" w:after="0" w:line="276" w:lineRule="auto"/>
            </w:pPr>
            <w:r>
              <w:rPr>
                <w:rFonts w:ascii="Calibri" w:hAnsi="Calibri"/>
                <w:b/>
                <w:color w:val="1F4D78"/>
                <w:sz w:val="18"/>
              </w:rPr>
              <w:t>PulseCheck Curriculum Effect</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Persistent low readiness, repeated red state, or concerning decline without acute safety language.</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Coach or named support role first; AuntEdna.ai only if support pathway or policy requires.</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Support visibility / behavioral health consult if concern persists.</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Within the pilot support window; usually same day or next school day.</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State snapshots, trend summary, support flag, staff follow-up, and rationale for keeping normal emergency pathway inactive.</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Reduce intensity, pause high-pressure assignments, and continue monitoring.</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Athlete asks for help, discloses distress, or shows functional decline that may need care but no immediate danger is evident.</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Athlete-facing consent path plus AuntEdna.ai clinical intake route; coach/support notified according to consent and policy.</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Behavioral health first; social work if practical needs are central.</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Same day when feasible; otherwise next available clinical coverage window.</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Concern summary, consent state, triggering excerpt or observation, referral route, and handoff status.</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Pause pressure exposure and use low-intensity support or defer training until the route is settled.</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Self-harm language, hopelessness, or suicidal ideation without clear plan, intent, or immediate means.</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AuntEdna.ai behavioral health lane first; coach/support notified according to safety policy.</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Behavioral health clinician; psychiatry if risk assessment suggests medication, severe symptoms, or higher acuity.</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Urgent same-day review where coverage allows.</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Exact concern excerpt, risk flags, protective context if known, classifier tier, notification attempts, receipt, and mitigation plan.</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Activate safety hold or block based on policy; avoid normal curriculum until reviewed.</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Suicidal ideation with plan/intent/means, recent attempt, inability to stay safe, threats of violence, or severe disorientation.</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Emergency pathway immediately; AuntEdna.ai clinical lead and local emergency/campus protocol as defined by deployment.</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Behavioral health crisis response, psychiatry, emergency services; security only for immediate physical safety, location support, or violence-risk logistics.</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Immediate / within minutes; do not wait for routine business workflow.</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Timestamps, triggering evidence, who was notified, failed attempts, emergency route used, block activation, and limited operational status returned.</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Full curriculum block. PulseCheck stops performance interactions until AuntEdna.ai or the defined emergency pathway clears the operational hold.</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Psychosis, mania, severe intoxication or withdrawal concern, major medication concern, or rapidly escalating impairment.</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AuntEdna.ai urgent clinical route; emergency pathway if immediate safety risk exists.</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Psychiatry or emergency behavioral health; medical emergency route when physical health risk is suspected.</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Urgent same-day or immediate depending severity.</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Observed warning signs, source, timing, athlete location if permitted and needed, handoff recipient, and clinical-route status.</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Safety hold or block; no high-pressure training until clinician review.</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Housing, food, financial, family, academic, transportation, or safeguarding concern drives the risk picture.</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Coach/support or AuntEdna.ai route depending consent and risk level.</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Social work, campus support, mandated reporting pathway, or behavioral health if distress is clinically significant.</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Within 24-48 hours for non-acute needs; immediate if abuse, neglect, exploitation, or safety risk is suspected.</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Support need, consent or reporting basis, route chosen, referral destination, and follow-up owner.</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Adjust training load and keep support visibility active until the practical barrier is addressed or routed.</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Clinician determines acute emergency has reduced and athlete may return to PulseCheck.</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AuntEdna.ai sends limited clearance or status update to PulseCheck.</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Licensed clinician owns clearance; coach/support sees only role-appropriate operational status.</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Only after clinician clearance or defined resolution event.</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Clearance status, timestamp, permitted return conditions, and any ongoing monitoring status without clinical notes by default.</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Remove block gradually: check-in, recovery protocol, lower-intensity programming, then normal curriculum when appropriate.</w:t>
            </w:r>
          </w:p>
        </w:tc>
      </w:tr>
      <w:tr>
        <w:tc>
          <w:tcPr>
            <w:tcW w:type="dxa" w:w="1650"/>
            <w:tcMar>
              <w:top w:w="80" w:type="dxa"/>
              <w:bottom w:w="80" w:type="dxa"/>
              <w:start w:w="120" w:type="dxa"/>
              <w:end w:w="120" w:type="dxa"/>
            </w:tcMar>
            <w:vAlign w:val="center"/>
          </w:tcPr>
          <w:p>
            <w:pPr>
              <w:spacing w:before="0" w:after="0" w:line="269" w:lineRule="auto"/>
              <w:jc w:val="left"/>
            </w:pPr>
            <w:r>
              <w:rPr>
                <w:rFonts w:ascii="Calibri" w:hAnsi="Calibri"/>
                <w:b/>
                <w:color w:val="1B2430"/>
                <w:sz w:val="16"/>
              </w:rPr>
              <w:t>Athlete remains clinically stable but needs continued monitoring after the emergency or elevated concern.</w:t>
            </w:r>
          </w:p>
        </w:tc>
        <w:tc>
          <w:tcPr>
            <w:tcW w:type="dxa" w:w="15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AuntEdna.ai monitoring status mirrored to PulseCheck in limited operational form.</w:t>
            </w:r>
          </w:p>
        </w:tc>
        <w:tc>
          <w:tcPr>
            <w:tcW w:type="dxa" w:w="18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Behavioral health, social work, psychiatry, or care coordination depending clinician judgment.</w:t>
            </w:r>
          </w:p>
        </w:tc>
        <w:tc>
          <w:tcPr>
            <w:tcW w:type="dxa" w:w="130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Cadence set by AuntEdna.ai or deployment protocol.</w:t>
            </w:r>
          </w:p>
        </w:tc>
        <w:tc>
          <w:tcPr>
            <w:tcW w:type="dxa" w:w="165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Monitoring status, next review cadence if shareable, curriculum limits, and status-change webhooks.</w:t>
            </w:r>
          </w:p>
        </w:tc>
        <w:tc>
          <w:tcPr>
            <w:tcW w:type="dxa" w:w="1360"/>
            <w:tcMar>
              <w:top w:w="80" w:type="dxa"/>
              <w:bottom w:w="80" w:type="dxa"/>
              <w:start w:w="120" w:type="dxa"/>
              <w:end w:w="120" w:type="dxa"/>
            </w:tcMar>
            <w:vAlign w:val="center"/>
          </w:tcPr>
          <w:p>
            <w:pPr>
              <w:spacing w:before="0" w:after="0" w:line="269" w:lineRule="auto"/>
              <w:jc w:val="left"/>
            </w:pPr>
            <w:r>
              <w:rPr>
                <w:rFonts w:ascii="Calibri" w:hAnsi="Calibri"/>
                <w:b w:val="0"/>
                <w:color w:val="1B2430"/>
                <w:sz w:val="16"/>
              </w:rPr>
              <w:t>Keep conservative programming, suppress high-pressure assignments where policy requires, and maintain support visibility.</w:t>
            </w:r>
          </w:p>
        </w:tc>
      </w:tr>
    </w:tbl>
    <w:p>
      <w:pPr>
        <w:spacing w:before="0" w:after="160" w:line="320" w:lineRule="auto"/>
        <w:jc w:val="both"/>
      </w:pPr>
      <w:r>
        <w:rPr>
          <w:rFonts w:ascii="Calibri" w:hAnsi="Calibri"/>
          <w:color w:val="1B2430"/>
          <w:sz w:val="22"/>
        </w:rPr>
        <w:t>Security should be described narrowly and carefully. The white paper should not imply that security is the default mental-health response. Security or emergency services enter when there is imminent physical danger, violence risk, missing-athlete/location support, weapons concern, or a deployment-specific emergency protocol that requires it.</w:t>
      </w:r>
    </w:p>
    <w:p>
      <w:pPr>
        <w:spacing w:before="0" w:after="160" w:line="320" w:lineRule="auto"/>
        <w:jc w:val="both"/>
      </w:pPr>
      <w:r>
        <w:rPr>
          <w:rFonts w:ascii="Calibri" w:hAnsi="Calibri"/>
          <w:color w:val="1B2430"/>
          <w:sz w:val="22"/>
        </w:rPr>
        <w:t>The pathway should also specify that documentation is not a broad data dump. Required documentation should be the minimum necessary event record: trigger, tier/category, source, timestamp, notification order, consent or safety basis, handoff recipient, delivery/receipt status, curriculum block state, clearance status, and monitoring state. Clinical notes, diagnosis, treatment detail, and protected care documentation remain AuntEdna.ai-side records by default.</w:t>
      </w: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EEF5FB"/>
          </w:tcPr>
          <w:p>
            <w:pPr>
              <w:spacing w:before="0" w:after="60" w:line="290" w:lineRule="auto"/>
            </w:pPr>
            <w:r>
              <w:rPr>
                <w:rFonts w:ascii="Calibri" w:hAnsi="Calibri"/>
                <w:b/>
                <w:color w:val="1F4D78"/>
                <w:sz w:val="22"/>
              </w:rPr>
              <w:t>Evidence alignment</w:t>
            </w:r>
          </w:p>
          <w:p>
            <w:pPr>
              <w:spacing w:before="0" w:after="0" w:line="290" w:lineRule="auto"/>
            </w:pPr>
            <w:r>
              <w:rPr>
                <w:rFonts w:ascii="Calibri" w:hAnsi="Calibri"/>
                <w:color w:val="1B2430"/>
                <w:sz w:val="21"/>
              </w:rPr>
              <w:t>This pathway language aligns with Joint Commission expectations around documented risk level and mitigation plans, SAMHSA crisis-care guidance, WHO mhGAP referral logic for non-specialist settings, and the Zero Suicide identify, engage, treat, and transition model.</w:t>
            </w:r>
          </w:p>
        </w:tc>
      </w:tr>
    </w:tbl>
    <w:p>
      <w:pPr>
        <w:spacing w:after="80"/>
      </w:pPr>
    </w:p>
    <w:p>
      <w:pPr>
        <w:pStyle w:val="Heading1"/>
      </w:pPr>
      <w:r/>
      <w:r>
        <w:t>11. Reporting Frameworks and Post-Pilot Evidence: Where STROBE Fits</w:t>
      </w:r>
    </w:p>
    <w:p>
      <w:pPr>
        <w:spacing w:before="0" w:after="160" w:line="320" w:lineRule="auto"/>
        <w:jc w:val="both"/>
      </w:pPr>
      <w:r>
        <w:rPr>
          <w:rFonts w:ascii="Calibri" w:hAnsi="Calibri"/>
          <w:color w:val="1B2430"/>
          <w:sz w:val="22"/>
        </w:rPr>
        <w:t>The proposal should acknowledge STROBE carefully. STROBE is best understood as a reporting guideline for observational studies, not as the primary quality-care standard for the escalation pathway itself. It becomes highly relevant after the pilot if PulseCheck and AuntEdna.ai decide to publish observational pilot results, cohort findings, or a formal evaluation of escalation workflow outcomes.</w:t>
      </w:r>
    </w:p>
    <w:p>
      <w:pPr>
        <w:spacing w:before="0" w:after="160" w:line="320" w:lineRule="auto"/>
        <w:jc w:val="both"/>
      </w:pPr>
      <w:r>
        <w:rPr>
          <w:rFonts w:ascii="Calibri" w:hAnsi="Calibri"/>
          <w:color w:val="1B2430"/>
          <w:sz w:val="22"/>
        </w:rPr>
        <w:t>In the public white paper, the stronger design anchors are integrated mental health care, clear referral pathways, validated screening and referral concepts, digital mental health safety, AI governance, and clinician-reviewable decision support. STROBE can sit downstream as the framework that helps the partners report pilot evidence transparently if they later publish outcomes.</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3000"/>
        <w:gridCol w:w="4060"/>
      </w:tblGrid>
      <w:tr>
        <w:trPr>
          <w:tblHeader w:val="true"/>
        </w:trPr>
        <w:tc>
          <w:tcPr>
            <w:tcW w:type="dxa" w:w="23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Framework</w:t>
            </w:r>
          </w:p>
        </w:tc>
        <w:tc>
          <w:tcPr>
            <w:tcW w:type="dxa" w:w="30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Best Role in This Proposal</w:t>
            </w:r>
          </w:p>
        </w:tc>
        <w:tc>
          <w:tcPr>
            <w:tcW w:type="dxa" w:w="406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How to Use It</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WHO integrated mental health care</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Primary care-pathway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support the principle that mental health identification and referral can be integrated into general settings when pathways and trained humans exist.</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WHO mhGAP</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Training and non-specialist support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support training, supervision, role clarity, and referral structures for non-specialist settings.</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Joint Commission screening concepts</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Risk-screening and referral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carefully around validated tools, implementation quality, staff training, and clinical evaluation where suicide or behavioral-health risk is involved.</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SAMHSA crisis care and 988 model</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Crisis pathway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describe why emergency pathways need human support and local resource routing beyond a self-guided product.</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APA app evaluation model</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Digital mental health tool evaluation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frame safety, privacy, evidence, usability, and clinical fit for a digital mental health-adjacent product.</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NIST AI RMF and WHO AI governance</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AI ethics and lifecycle governance anchors</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frame human oversight, transparency, bias and error monitoring, risk management, and post-launch review.</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FDA clinical decision support guidance</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Clinician authority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support the idea that software should expose the basis for recommendations so licensed clinicians can independently review them.</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ONC HTI-1 algorithm transparency</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Transparency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to support clear information about algorithmic tools used in health contexts.</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STROBE</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Post-pilot reporting anchor</w:t>
            </w:r>
          </w:p>
        </w:tc>
        <w:tc>
          <w:tcPr>
            <w:tcW w:type="dxa" w:w="40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Use if publishing observational pilot outcomes, including design, participants, variables, bias, statistical methods, limitations, funding, and interpretation.</w:t>
            </w:r>
          </w:p>
        </w:tc>
      </w:tr>
    </w:tbl>
    <w:p>
      <w:pPr>
        <w:spacing w:after="120"/>
      </w:pP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EEF5FB"/>
          </w:tcPr>
          <w:p>
            <w:pPr>
              <w:spacing w:before="0" w:after="60" w:line="290" w:lineRule="auto"/>
            </w:pPr>
            <w:r>
              <w:rPr>
                <w:rFonts w:ascii="Calibri" w:hAnsi="Calibri"/>
                <w:b/>
                <w:color w:val="1F4D78"/>
                <w:sz w:val="22"/>
              </w:rPr>
              <w:t>STROBE positioning</w:t>
            </w:r>
          </w:p>
          <w:p>
            <w:pPr>
              <w:spacing w:before="0" w:after="0" w:line="290" w:lineRule="auto"/>
            </w:pPr>
            <w:r>
              <w:rPr>
                <w:rFonts w:ascii="Calibri" w:hAnsi="Calibri"/>
                <w:color w:val="1B2430"/>
                <w:sz w:val="21"/>
              </w:rPr>
              <w:t>Do not position STROBE as proof that the escalation model is clinically valid. Position it as a future reporting framework if the partners later publish observational pilot data about escalation events, response timing, referral outcomes, clinician feedback, and athlete experience.</w:t>
            </w:r>
          </w:p>
        </w:tc>
      </w:tr>
    </w:tbl>
    <w:p>
      <w:pPr>
        <w:spacing w:after="80"/>
      </w:pPr>
    </w:p>
    <w:p>
      <w:pPr>
        <w:pStyle w:val="Heading1"/>
      </w:pPr>
      <w:r/>
      <w:r>
        <w:t>12. Validation and Evidence Plan</w:t>
      </w:r>
    </w:p>
    <w:p>
      <w:pPr>
        <w:spacing w:before="0" w:after="160" w:line="320" w:lineRule="auto"/>
        <w:jc w:val="both"/>
      </w:pPr>
      <w:r>
        <w:rPr>
          <w:rFonts w:ascii="Calibri" w:hAnsi="Calibri"/>
          <w:color w:val="1B2430"/>
          <w:sz w:val="22"/>
        </w:rPr>
        <w:t>The white paper should be explicit that the proposed architecture is valid as a responsible design framework, while product-level clinical performance still requires pilot evidence. That distinction is important. The paper can cite external governance and safety guidance while committing to measure how well the actual system performs in real deployments.</w:t>
      </w:r>
    </w:p>
    <w:p>
      <w:pPr>
        <w:pStyle w:val="ListBullet"/>
        <w:spacing w:after="80" w:line="290" w:lineRule="auto"/>
        <w:ind w:left="540" w:hanging="279"/>
      </w:pPr>
      <w:r>
        <w:rPr>
          <w:rFonts w:ascii="Calibri" w:hAnsi="Calibri"/>
          <w:color w:val="1B2430"/>
          <w:sz w:val="22"/>
        </w:rPr>
        <w:t>Detection quality: sensitivity to explicit risk language and subtle concern patterns, plus review of missed or ambiguous cases.</w:t>
      </w:r>
    </w:p>
    <w:p>
      <w:pPr>
        <w:pStyle w:val="ListBullet"/>
        <w:spacing w:after="80" w:line="290" w:lineRule="auto"/>
        <w:ind w:left="540" w:hanging="279"/>
      </w:pPr>
      <w:r>
        <w:rPr>
          <w:rFonts w:ascii="Calibri" w:hAnsi="Calibri"/>
          <w:color w:val="1B2430"/>
          <w:sz w:val="22"/>
        </w:rPr>
        <w:t>False positive burden: number of non-urgent cases routed into unnecessary review and the impact on clinicians, coaches, and athletes.</w:t>
      </w:r>
    </w:p>
    <w:p>
      <w:pPr>
        <w:pStyle w:val="ListBullet"/>
        <w:spacing w:after="80" w:line="290" w:lineRule="auto"/>
        <w:ind w:left="540" w:hanging="279"/>
      </w:pPr>
      <w:r>
        <w:rPr>
          <w:rFonts w:ascii="Calibri" w:hAnsi="Calibri"/>
          <w:color w:val="1B2430"/>
          <w:sz w:val="22"/>
        </w:rPr>
        <w:t>Speed to handoff: time from escalation creation to AuntEdna.ai receipt and acknowledgment.</w:t>
      </w:r>
    </w:p>
    <w:p>
      <w:pPr>
        <w:pStyle w:val="ListBullet"/>
        <w:spacing w:after="80" w:line="290" w:lineRule="auto"/>
        <w:ind w:left="540" w:hanging="279"/>
      </w:pPr>
      <w:r>
        <w:rPr>
          <w:rFonts w:ascii="Calibri" w:hAnsi="Calibri"/>
          <w:color w:val="1B2430"/>
          <w:sz w:val="22"/>
        </w:rPr>
        <w:t>Speed to human touch: time from case receipt to intake, clinician outreach, appointment, or emergency pathway step.</w:t>
      </w:r>
    </w:p>
    <w:p>
      <w:pPr>
        <w:pStyle w:val="ListBullet"/>
        <w:spacing w:after="80" w:line="290" w:lineRule="auto"/>
        <w:ind w:left="540" w:hanging="279"/>
      </w:pPr>
      <w:r>
        <w:rPr>
          <w:rFonts w:ascii="Calibri" w:hAnsi="Calibri"/>
          <w:color w:val="1B2430"/>
          <w:sz w:val="22"/>
        </w:rPr>
        <w:t>Athlete trust: whether athletes understand the boundaries and feel supported rather than surveilled or punished.</w:t>
      </w:r>
    </w:p>
    <w:p>
      <w:pPr>
        <w:pStyle w:val="ListBullet"/>
        <w:spacing w:after="80" w:line="290" w:lineRule="auto"/>
        <w:ind w:left="540" w:hanging="279"/>
      </w:pPr>
      <w:r>
        <w:rPr>
          <w:rFonts w:ascii="Calibri" w:hAnsi="Calibri"/>
          <w:color w:val="1B2430"/>
          <w:sz w:val="22"/>
        </w:rPr>
        <w:t>Clinician usefulness: whether the handoff packet is concise, accurate, and clinically useful without over-sharing.</w:t>
      </w:r>
    </w:p>
    <w:p>
      <w:pPr>
        <w:pStyle w:val="ListBullet"/>
        <w:spacing w:after="80" w:line="290" w:lineRule="auto"/>
        <w:ind w:left="540" w:hanging="279"/>
      </w:pPr>
      <w:r>
        <w:rPr>
          <w:rFonts w:ascii="Calibri" w:hAnsi="Calibri"/>
          <w:color w:val="1B2430"/>
          <w:sz w:val="22"/>
        </w:rPr>
        <w:t>Return safety: whether the athlete returns through an appropriate low-pressure path after clearance rather than immediately resuming high-intensity training.</w:t>
      </w:r>
    </w:p>
    <w:p>
      <w:pPr>
        <w:pStyle w:val="Heading1"/>
      </w:pPr>
      <w:r/>
      <w:r>
        <w:t>13. Research and Guidance Anchors</w:t>
      </w:r>
    </w:p>
    <w:p>
      <w:pPr>
        <w:spacing w:before="0" w:after="160" w:line="320" w:lineRule="auto"/>
        <w:jc w:val="both"/>
      </w:pPr>
      <w:r>
        <w:rPr>
          <w:rFonts w:ascii="Calibri" w:hAnsi="Calibri"/>
          <w:color w:val="1B2430"/>
          <w:sz w:val="22"/>
        </w:rPr>
        <w:t>The final white paper can anchor its claims in established AI governance, clinical decision support, crisis-care, integrated-care, and digital mental health safety guidance. The proposal does not need to litigate every regulation, but it should show that the partnership is aligned with the broader direction of responsible health AI and early referral systems.</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000"/>
        <w:gridCol w:w="6360"/>
      </w:tblGrid>
      <w:tr>
        <w:trPr>
          <w:tblHeader w:val="true"/>
        </w:trPr>
        <w:tc>
          <w:tcPr>
            <w:tcW w:type="dxa" w:w="30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Framework or Guidance Anchor</w:t>
            </w:r>
          </w:p>
        </w:tc>
        <w:tc>
          <w:tcPr>
            <w:tcW w:type="dxa" w:w="636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How It Should Be Used in the White Paper</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WHO integrated mental health care</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the broad principle that mental health should be integrated into general health-care and non-specialist settings with clear pathways into care.</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WHO mhGAP</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training and supervision for non-specialist personnel who identify mental health needs and route people toward evidence-based support.</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Joint Commission screening and referral concepts</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the use of validated screening tools, clear implementation, staff training, and clinical evaluation where suicide or behavioral-health risk is involved.</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SAMHSA crisis care and 988 model</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crisis pathways that connect people to human support and appropriate local resources rather than leaving them inside a self-guided product loop.</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APA app evaluation model</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evaluating digital mental health tools across safety, privacy, evidence, usability, and clinical fit.</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WHO AI health governance</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human oversight, transparency, privacy, equity, and post-release monitoring for health AI systems.</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NIST AI Risk Management Framework</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Provides a general AI governance structure: govern, map, measure, and manage risks across the lifecycle.</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FDA clinical decision support guidance</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the principle that software should expose the basis for recommendations so clinicians can independently review them.</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ONC HTI-1 algorithm transparency</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transparent information about predictive and algorithmic tools used in health contexts.</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STROBE</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Most relevant after the pilot if PulseCheck and AuntEdna.ai publish observational results, cohort outcomes, or a pilot evaluation manuscript.</w:t>
            </w:r>
          </w:p>
        </w:tc>
      </w:tr>
      <w:tr>
        <w:tc>
          <w:tcPr>
            <w:tcW w:type="dxa" w:w="3000"/>
            <w:tcMar>
              <w:top w:w="80" w:type="dxa"/>
              <w:bottom w:w="80" w:type="dxa"/>
              <w:start w:w="120" w:type="dxa"/>
              <w:end w:w="120" w:type="dxa"/>
            </w:tcMar>
            <w:vAlign w:val="center"/>
          </w:tcPr>
          <w:p>
            <w:pPr>
              <w:spacing w:before="0" w:after="0" w:line="276" w:lineRule="auto"/>
              <w:jc w:val="left"/>
            </w:pPr>
            <w:r>
              <w:rPr>
                <w:rFonts w:ascii="Calibri" w:hAnsi="Calibri"/>
                <w:b/>
                <w:color w:val="1B2430"/>
                <w:sz w:val="18"/>
              </w:rPr>
              <w:t>Zero Suicide framework</w:t>
            </w:r>
          </w:p>
        </w:tc>
        <w:tc>
          <w:tcPr>
            <w:tcW w:type="dxa" w:w="6360"/>
            <w:tcMar>
              <w:top w:w="80" w:type="dxa"/>
              <w:bottom w:w="80" w:type="dxa"/>
              <w:start w:w="120" w:type="dxa"/>
              <w:end w:w="120" w:type="dxa"/>
            </w:tcMar>
            <w:vAlign w:val="center"/>
          </w:tcPr>
          <w:p>
            <w:pPr>
              <w:spacing w:before="0" w:after="0" w:line="276" w:lineRule="auto"/>
              <w:jc w:val="left"/>
            </w:pPr>
            <w:r>
              <w:rPr>
                <w:rFonts w:ascii="Calibri" w:hAnsi="Calibri"/>
                <w:b w:val="0"/>
                <w:color w:val="1B2430"/>
                <w:sz w:val="18"/>
              </w:rPr>
              <w:t>Supports a structured pathway from identify to engage, treat, and transition, including warm handoffs, care transitions, and patient-centered pathway design.</w:t>
            </w:r>
          </w:p>
        </w:tc>
      </w:tr>
    </w:tbl>
    <w:p>
      <w:pPr>
        <w:spacing w:after="120"/>
      </w:pPr>
    </w:p>
    <w:p>
      <w:pPr>
        <w:pStyle w:val="Heading1"/>
      </w:pPr>
      <w:r/>
      <w:r>
        <w:t>14. AuntEdna.ai Co-Authoring Inputs Needed</w:t>
      </w:r>
    </w:p>
    <w:p>
      <w:pPr>
        <w:pStyle w:val="ListBullet"/>
        <w:spacing w:after="80" w:line="290" w:lineRule="auto"/>
        <w:ind w:left="540" w:hanging="279"/>
      </w:pPr>
      <w:r>
        <w:rPr>
          <w:rFonts w:ascii="Calibri" w:hAnsi="Calibri"/>
          <w:color w:val="1B2430"/>
          <w:sz w:val="22"/>
        </w:rPr>
        <w:t>Preferred description of AuntEdna.ai clinical services, clinician roles, and care pathway boundaries.</w:t>
      </w:r>
    </w:p>
    <w:p>
      <w:pPr>
        <w:pStyle w:val="ListBullet"/>
        <w:spacing w:after="80" w:line="290" w:lineRule="auto"/>
        <w:ind w:left="540" w:hanging="279"/>
      </w:pPr>
      <w:r>
        <w:rPr>
          <w:rFonts w:ascii="Calibri" w:hAnsi="Calibri"/>
          <w:color w:val="1B2430"/>
          <w:sz w:val="22"/>
        </w:rPr>
        <w:t>The correct public language for crisis pathway, emergency support, clinician assignment, appointment booking, clearance, and continued monitoring.</w:t>
      </w:r>
    </w:p>
    <w:p>
      <w:pPr>
        <w:pStyle w:val="ListBullet"/>
        <w:spacing w:after="80" w:line="290" w:lineRule="auto"/>
        <w:ind w:left="540" w:hanging="279"/>
      </w:pPr>
      <w:r>
        <w:rPr>
          <w:rFonts w:ascii="Calibri" w:hAnsi="Calibri"/>
          <w:color w:val="1B2430"/>
          <w:sz w:val="22"/>
        </w:rPr>
        <w:t>Which operational statuses AuntEdna.ai is comfortable returning to PulseCheck: accepted, assigned, in care, clearance granted, monitoring active, resolved, or closed.</w:t>
      </w:r>
    </w:p>
    <w:p>
      <w:pPr>
        <w:pStyle w:val="ListBullet"/>
        <w:spacing w:after="80" w:line="290" w:lineRule="auto"/>
        <w:ind w:left="540" w:hanging="279"/>
      </w:pPr>
      <w:r>
        <w:rPr>
          <w:rFonts w:ascii="Calibri" w:hAnsi="Calibri"/>
          <w:color w:val="1B2430"/>
          <w:sz w:val="22"/>
        </w:rPr>
        <w:t>Coverage assumptions and public-safe wording around after-hours, emergency services, campus support, and local crisis resources.</w:t>
      </w:r>
    </w:p>
    <w:p>
      <w:pPr>
        <w:pStyle w:val="ListBullet"/>
        <w:spacing w:after="80" w:line="290" w:lineRule="auto"/>
        <w:ind w:left="540" w:hanging="279"/>
      </w:pPr>
      <w:r>
        <w:rPr>
          <w:rFonts w:ascii="Calibri" w:hAnsi="Calibri"/>
          <w:color w:val="1B2430"/>
          <w:sz w:val="22"/>
        </w:rPr>
        <w:t>Any clinical review process AuntEdna.ai wants named before publication, including medical, legal, compliance, and clinical leadership review.</w:t>
      </w:r>
    </w:p>
    <w:p>
      <w:pPr>
        <w:pStyle w:val="ListBullet"/>
        <w:spacing w:after="80" w:line="290" w:lineRule="auto"/>
        <w:ind w:left="540" w:hanging="279"/>
      </w:pPr>
      <w:r>
        <w:rPr>
          <w:rFonts w:ascii="Calibri" w:hAnsi="Calibri"/>
          <w:color w:val="1B2430"/>
          <w:sz w:val="22"/>
        </w:rPr>
        <w:t>Preferred structured pathway matrix: warning signs, first notification, role involvement, response timing, documentation requirements, emergency boundaries, clearance authority, and continued monitoring status.</w:t>
      </w:r>
    </w:p>
    <w:p>
      <w:pPr>
        <w:pStyle w:val="ListBullet"/>
        <w:spacing w:after="80" w:line="290" w:lineRule="auto"/>
        <w:ind w:left="540" w:hanging="279"/>
      </w:pPr>
      <w:r>
        <w:rPr>
          <w:rFonts w:ascii="Calibri" w:hAnsi="Calibri"/>
          <w:color w:val="1B2430"/>
          <w:sz w:val="22"/>
        </w:rPr>
        <w:t>Whether the final white paper should include a diagram, sample case packet, or anonymized scenario showing the handoff loop.</w:t>
      </w:r>
    </w:p>
    <w:p>
      <w:pPr>
        <w:pStyle w:val="Heading1"/>
      </w:pPr>
      <w:r/>
      <w:r>
        <w:t>15. Proposed Next Steps</w:t>
      </w:r>
    </w:p>
    <w:p>
      <w:pPr>
        <w:pStyle w:val="ListNumber"/>
        <w:spacing w:after="80" w:line="290" w:lineRule="auto"/>
        <w:ind w:left="540" w:hanging="279"/>
      </w:pPr>
      <w:r>
        <w:rPr>
          <w:rFonts w:ascii="Calibri" w:hAnsi="Calibri"/>
          <w:color w:val="1B2430"/>
          <w:sz w:val="22"/>
        </w:rPr>
        <w:t>Align on the thesis and confirm that AuntEdna.ai wants the paper to emphasize clinical safety loop, AI ethics, data boundaries, education, and return-to-training clearance.</w:t>
      </w:r>
    </w:p>
    <w:p>
      <w:pPr>
        <w:pStyle w:val="ListNumber"/>
        <w:spacing w:after="80" w:line="290" w:lineRule="auto"/>
        <w:ind w:left="540" w:hanging="279"/>
      </w:pPr>
      <w:r>
        <w:rPr>
          <w:rFonts w:ascii="Calibri" w:hAnsi="Calibri"/>
          <w:color w:val="1B2430"/>
          <w:sz w:val="22"/>
        </w:rPr>
        <w:t>Hold a 45- to 60-minute joint outline session with PulseCheck product/engineering and AuntEdna.ai clinical leadership.</w:t>
      </w:r>
    </w:p>
    <w:p>
      <w:pPr>
        <w:pStyle w:val="ListNumber"/>
        <w:spacing w:after="80" w:line="290" w:lineRule="auto"/>
        <w:ind w:left="540" w:hanging="279"/>
      </w:pPr>
      <w:r>
        <w:rPr>
          <w:rFonts w:ascii="Calibri" w:hAnsi="Calibri"/>
          <w:color w:val="1B2430"/>
          <w:sz w:val="22"/>
        </w:rPr>
        <w:t>Co-design the structured escalation pathway matrix with AuntEdna.ai clinical leadership so notification order, warning signs, response timing, documentation, security boundaries, and clearance rules are clinically accurate.</w:t>
      </w:r>
    </w:p>
    <w:p>
      <w:pPr>
        <w:pStyle w:val="ListNumber"/>
        <w:spacing w:after="80" w:line="290" w:lineRule="auto"/>
        <w:ind w:left="540" w:hanging="279"/>
      </w:pPr>
      <w:r>
        <w:rPr>
          <w:rFonts w:ascii="Calibri" w:hAnsi="Calibri"/>
          <w:color w:val="1B2430"/>
          <w:sz w:val="22"/>
        </w:rPr>
        <w:t>Lock public terminology for emergency pathway, clinical monitoring pathway, clearance, and operational status mirror.</w:t>
      </w:r>
    </w:p>
    <w:p>
      <w:pPr>
        <w:pStyle w:val="ListNumber"/>
        <w:spacing w:after="80" w:line="290" w:lineRule="auto"/>
        <w:ind w:left="540" w:hanging="279"/>
      </w:pPr>
      <w:r>
        <w:rPr>
          <w:rFonts w:ascii="Calibri" w:hAnsi="Calibri"/>
          <w:color w:val="1B2430"/>
          <w:sz w:val="22"/>
        </w:rPr>
        <w:t>Draft the white paper in two passes: first architecture and narrative, then clinical review and source validation.</w:t>
      </w:r>
    </w:p>
    <w:p>
      <w:pPr>
        <w:pStyle w:val="ListNumber"/>
        <w:spacing w:after="80" w:line="290" w:lineRule="auto"/>
        <w:ind w:left="540" w:hanging="279"/>
      </w:pPr>
      <w:r>
        <w:rPr>
          <w:rFonts w:ascii="Calibri" w:hAnsi="Calibri"/>
          <w:color w:val="1B2430"/>
          <w:sz w:val="22"/>
        </w:rPr>
        <w:t>Complete a final review for clinical claims, legal/compliance posture, and partner approval before publishing on the PulseCheck research page.</w:t>
      </w: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FFF7E6"/>
          </w:tcPr>
          <w:p>
            <w:pPr>
              <w:spacing w:before="0" w:after="60" w:line="290" w:lineRule="auto"/>
            </w:pPr>
            <w:r>
              <w:rPr>
                <w:rFonts w:ascii="Calibri" w:hAnsi="Calibri"/>
                <w:b/>
                <w:color w:val="1F4D78"/>
                <w:sz w:val="22"/>
              </w:rPr>
              <w:t>Recommended publication posture</w:t>
            </w:r>
          </w:p>
          <w:p>
            <w:pPr>
              <w:spacing w:before="0" w:after="0" w:line="290" w:lineRule="auto"/>
            </w:pPr>
            <w:r>
              <w:rPr>
                <w:rFonts w:ascii="Calibri" w:hAnsi="Calibri"/>
                <w:color w:val="1B2430"/>
                <w:sz w:val="21"/>
              </w:rPr>
              <w:t>The white paper should be confident about the architecture and careful about validation. It can say this is a responsible model for AI-to-human escalation, while also stating that pilot data will be used to evaluate performance, safety, trust, clinical usefulness, and the quality of referral pathways over time.</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7606F"/>
        <w:sz w:val="17"/>
      </w:rPr>
      <w:t>Draft for discussion - confidential partner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7606F"/>
        <w:sz w:val="18"/>
      </w:rPr>
      <w:t>PulseCheck x AuntEdna.ai | Draft White Paper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White Paper Proposal: AI-Supported Escalation, Human Clinical Handoff, and Return-to-Training Pathways</dc:title>
  <dc:subject>Draft proposal for a jointly authored PulseCheck and AuntEdna.ai white paper</dc:subject>
  <dc:creator>Pulse Intelligence Labs / PulseCheck</dc:creator>
  <cp:keywords>PulseCheck, AuntEdna.ai, AI ethics, clinical escalation, athlete safety, human handoff, structured pathway, notification rules, STROBE, WHO integrated mental health care, Zero Suicide</cp:keywords>
  <dc:description>generated by python-docx</dc:description>
  <cp:lastModifiedBy/>
  <cp:revision>1</cp:revision>
  <dcterms:created xsi:type="dcterms:W3CDTF">2013-12-23T23:15:00Z</dcterms:created>
  <dcterms:modified xsi:type="dcterms:W3CDTF">2013-12-23T23:15:00Z</dcterms:modified>
  <cp:category/>
</cp:coreProperties>
</file>