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A4A"/>
          <w:sz w:val="34"/>
        </w:rPr>
        <w:t>Residential-Yard Opening — Implementation Backing Note</w:t>
      </w:r>
    </w:p>
    <w:p>
      <w:r>
        <w:rPr>
          <w:i/>
          <w:color w:val="006D77"/>
          <w:sz w:val="21"/>
        </w:rPr>
        <w:t>International evidence for the dedicated feasibility/implementation study referenced in Output 10. Internal project-file note — not part of Output 8 or Output 10.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r/>
            <w:r>
              <w:rPr>
                <w:b/>
                <w:color w:val="142A4A"/>
                <w:sz w:val="18"/>
              </w:rPr>
              <w:t>Status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Backing note / study seed — illustrative, not a recommendation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color w:val="142A4A"/>
                <w:sz w:val="18"/>
              </w:rPr>
              <w:t>Relation to deliverables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Output 10 names a few cases and the candidate organisational models, then defers the mechanism here. This note must NOT be read back into O10 as a committed plan.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color w:val="142A4A"/>
                <w:sz w:val="18"/>
              </w:rPr>
              <w:t>Evidence basis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NotebookLM 'Yerevan notebook' synthesis + an adversarially cross-checked precedent-research pass; conflicts between them are flagged, not averaged.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/>
                <w:color w:val="142A4A"/>
                <w:sz w:val="18"/>
              </w:rPr>
              <w:t>Bottom line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A marginal-supply tool worth piloting, not a structural fix — and genuinely untested in a post-Soviet courtyard context.</w:t>
            </w:r>
          </w:p>
        </w:tc>
      </w:tr>
    </w:tbl>
    <w:p>
      <w:r>
        <w:rPr>
          <w:b/>
          <w:color w:val="142A4A"/>
          <w:sz w:val="26"/>
        </w:rPr>
        <w:t>1. Reality check — read this before the optimistic material</w:t>
      </w:r>
    </w:p>
    <w:p>
      <w:r>
        <w:t>The international literature shows the planning logic is settled (daytime residential vacancy coincides with commercial peaks) and the technology is off-the-shelf (app booking, ANPR gating). The binding constraint everywhere is the governance / consent / land-title layer — and in the post-Soviet case it is compounded by unresolved courtyard ownership and a resident default of gating yards to keep outsiders out.</w:t>
      </w:r>
    </w:p>
    <w:p>
      <w:pPr>
        <w:pStyle w:val="ListBullet"/>
      </w:pPr>
      <w:r>
        <w:rPr>
          <w:b/>
        </w:rPr>
        <w:t xml:space="preserve">Novelty. </w:t>
      </w:r>
      <w:r>
        <w:t>There is no well-documented case of a post-Soviet residents' association running a paid public-parking operation in its own gated courtyard. The concept is genuinely novel here.</w:t>
      </w:r>
    </w:p>
    <w:p>
      <w:pPr>
        <w:pStyle w:val="ListBullet"/>
      </w:pPr>
      <w:r>
        <w:rPr>
          <w:b/>
        </w:rPr>
        <w:t xml:space="preserve">Counter-trend. </w:t>
      </w:r>
      <w:r>
        <w:t>Kyiv floated charging for courtyard parking and shelved it under public backlash, tripped up by ownership ambiguity. Moscow and Tbilisi subsidise/install courtyard barriers to exclude outsiders. The demonstrated post-Soviet impulse is exclusion, not sharing.</w:t>
      </w:r>
    </w:p>
    <w:p>
      <w:pPr>
        <w:pStyle w:val="ListBullet"/>
      </w:pPr>
      <w:r>
        <w:rPr>
          <w:b/>
        </w:rPr>
        <w:t xml:space="preserve">Success condition. </w:t>
      </w:r>
      <w:r>
        <w:t>Schemes succeed where residents voluntarily rent their own surplus for their own revenue; they fail where the programme is perceived as taking from residents (top-down charging) or as self-dealing by an association board.</w:t>
      </w:r>
    </w:p>
    <w:p>
      <w:pPr>
        <w:ind w:left="216"/>
      </w:pPr>
      <w:r>
        <w:rPr>
          <w:b/>
          <w:color w:val="C02A2A"/>
          <w:sz w:val="19"/>
        </w:rPr>
        <w:t xml:space="preserve">Caveat. </w:t>
      </w:r>
      <w:r>
        <w:rPr>
          <w:i/>
          <w:color w:val="555555"/>
          <w:sz w:val="19"/>
        </w:rPr>
        <w:t>Treat courtyard-sharing as a marginal-supply and demand-management tool, not as the structural fix for the BRT-displacement deficit. Even showcase cases report aspirational utilisation targets and owner earnings often too small to motivate participation.</w:t>
      </w:r>
    </w:p>
    <w:p>
      <w:r>
        <w:rPr>
          <w:b/>
          <w:color w:val="142A4A"/>
          <w:sz w:val="26"/>
        </w:rPr>
        <w:t>2. International cases (transferable elements)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2160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Model type</w:t>
            </w:r>
          </w:p>
        </w:tc>
        <w:tc>
          <w:tcPr>
            <w:tcW w:type="dxa" w:w="3744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Most transferable element</w:t>
            </w:r>
          </w:p>
        </w:tc>
        <w:tc>
          <w:tcPr>
            <w:tcW w:type="dxa" w:w="2016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Evidence quality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Stockholm Parkering (SE)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City-owned intermediary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City-backed company bridging private lots and demand; satisfies developer parking needs without new build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Documented (municipal)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Vancouver West End (CA)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Municipal price alignment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On-street permit price set at off-street market rate so cars move into under-used parkades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Modelled outcomes; policy documented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Hangzhou 邻里停 (CN)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Platform + revenue split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Revenue split owner / owners' committee / management — association becomes a paid partner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Gov-sourced; uptake modest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Beijing staggered (CN)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Policy + enforcement tech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Time-staggered sharing principle; ANPR / app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Headline counts weighted to commercial/gov lots — see caveat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JustPark / Akippa / Share with Oscar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P2P platforms (UK/JP/AU)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Trust machinery: insurance, address privacy, tax allowance, easements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Vendor-sourced revenue figures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King County Metro (US)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Shared-parking lease agreements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Leasing residential/church spaces for Park &amp; Ride; statutory impoundment for overstay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Documented (transit agency)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Stockholm / ParqEx / WhereiPark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Whole-building monetisation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Board-controlled opening of surplus building spaces with tiered commission + ANPR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Vendor case studies (proof-of-concept)</w:t>
            </w:r>
          </w:p>
        </w:tc>
      </w:tr>
    </w:tbl>
    <w:p>
      <w:pPr>
        <w:ind w:left="216"/>
      </w:pPr>
      <w:r>
        <w:rPr>
          <w:b/>
          <w:color w:val="C02A2A"/>
          <w:sz w:val="19"/>
        </w:rPr>
        <w:t xml:space="preserve">Caveat. </w:t>
      </w:r>
      <w:r>
        <w:rPr>
          <w:i/>
          <w:color w:val="555555"/>
          <w:sz w:val="19"/>
        </w:rPr>
        <w:t>Beijing's widely-cited ~28,000 shared spaces / 330 lots is largely COMMERCIAL and GOVERNMENT lots, and partly the reverse direction (residents renting overnight in commercial lots) — not day-into-residential-courtyard at scale. Do not present it as a like-for-like Yerevan analogue. Social-credit-linked enforcement is noted in the source but is not an appropriate model to cite approvingly.</w:t>
      </w:r>
    </w:p>
    <w:p>
      <w:r>
        <w:rPr>
          <w:b/>
          <w:color w:val="142A4A"/>
          <w:sz w:val="26"/>
        </w:rPr>
        <w:t>3. Candidate organisational models (the choice the study must make)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448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880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Who leads</w:t>
            </w:r>
          </w:p>
        </w:tc>
        <w:tc>
          <w:tcPr>
            <w:tcW w:type="dxa" w:w="2880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Mechanism</w:t>
            </w:r>
          </w:p>
        </w:tc>
        <w:tc>
          <w:tcPr>
            <w:tcW w:type="dxa" w:w="2160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Trade-off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Public / state-agency-led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Municipal parking authority or PCS; or a dedicated city-owned company (Stockholm Parkering model)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City brokers, leases and enforces; association consents and is paid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Clear accountability; carries top-down political risk (Kyiv)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Public-private partnership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Licensed operator or parking platform under a municipal framework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Operator runs booking/access/payment; revenue shared with association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Fast to stand up; depends on a credible operator and a clean revenue split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Association-led, city-enabled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The hamatirutyun itself, under a municipal template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Association opens and manages its courtyard; light regulation + standard agreement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Highest consent legitimacy; weakest guarantee of dependable public capacity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Combination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City framework + PPP operator + association consent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Layered: enabling regulation, operator, paid association, revenue-back district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Most robust on the evidence; most moving parts</w:t>
            </w:r>
          </w:p>
        </w:tc>
      </w:tr>
    </w:tbl>
    <w:p>
      <w:r>
        <w:rPr>
          <w:b/>
          <w:color w:val="142A4A"/>
          <w:sz w:val="26"/>
        </w:rPr>
        <w:t>4. Load-bearing preconditions the study must resolve</w:t>
      </w:r>
    </w:p>
    <w:p>
      <w:pPr>
        <w:pStyle w:val="ListBullet"/>
      </w:pPr>
      <w:r>
        <w:rPr>
          <w:b/>
        </w:rPr>
        <w:t xml:space="preserve">Land title. </w:t>
      </w:r>
      <w:r>
        <w:t>Who legally owns each courtyard (municipality / hamatirutyun / unregistered). This determines who may authorise the arrangement and retain revenue — and is the failure point in every post-Soviet case.</w:t>
      </w:r>
    </w:p>
    <w:p>
      <w:pPr>
        <w:pStyle w:val="ListBullet"/>
      </w:pPr>
      <w:r>
        <w:rPr>
          <w:b/>
        </w:rPr>
        <w:t xml:space="preserve">Association capacity. </w:t>
      </w:r>
      <w:r>
        <w:t>Whether the hamatirutyun is recognised as a contracting entity able to execute a shared-parking agreement on behalf of owners, and the consent procedure / vote threshold under Armenian condominium law (the owners' meeting is the supreme management body).</w:t>
      </w:r>
    </w:p>
    <w:p>
      <w:pPr>
        <w:pStyle w:val="ListBullet"/>
      </w:pPr>
      <w:r>
        <w:rPr>
          <w:b/>
        </w:rPr>
        <w:t xml:space="preserve">Tax &amp; insurance. </w:t>
      </w:r>
      <w:r>
        <w:t>Tax treatment of association parking income (in the US, non-member parking income is taxable / UBIT; verify the Armenian position — do not assume tax-free), and whether commercial/public use voids residential insurance cover.</w:t>
      </w:r>
    </w:p>
    <w:p>
      <w:pPr>
        <w:pStyle w:val="ListBullet"/>
      </w:pPr>
      <w:r>
        <w:rPr>
          <w:b/>
        </w:rPr>
        <w:t xml:space="preserve">Durability. </w:t>
      </w:r>
      <w:r>
        <w:t>A legal instrument that survives a board change or property sale (covenant running with the land; the Dutch 'qualitative obligation'; the UK 'deed of easement').</w:t>
      </w:r>
    </w:p>
    <w:p>
      <w:pPr>
        <w:pStyle w:val="ListBullet"/>
      </w:pPr>
      <w:r>
        <w:rPr>
          <w:b/>
        </w:rPr>
        <w:t xml:space="preserve">Inventory &amp; data. </w:t>
      </w:r>
      <w:r>
        <w:t>Complete the geo-referenced on-street (red/blue-line) inventory first, so yard capacity is mapped to where it most efficiently replaces removed kerb; define an open data standard so yard availability can feed the city app.</w:t>
      </w:r>
    </w:p>
    <w:p>
      <w:r>
        <w:rPr>
          <w:b/>
          <w:color w:val="142A4A"/>
          <w:sz w:val="26"/>
        </w:rPr>
        <w:t>5. De-risking machinery observed elsewhere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6336"/>
            <w:shd w:val="clear" w:fill="142A4A"/>
          </w:tcPr>
          <w:p>
            <w:r/>
            <w:r>
              <w:rPr>
                <w:b/>
                <w:color w:val="FFFFFF"/>
                <w:sz w:val="18"/>
              </w:rPr>
              <w:t>Mechanism used elsewhere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Resident security anxiety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Address privacy until booking confirmed (Share with Oscar); visible ANPR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Overstay blocking residents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Time-boxed digital passes; statutory impoundment (US RCW 46.55); ground locks (Beijing) — heavy-handed, weigh carefully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Vehicle-damage liability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Dedicated parking-sharing insurance co-developed with insurers (Akippa + Sompo)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Owner inertia / 'untouchable asset'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Revenue-back to the courtyard (participatory budgeting, Vancouver; parking benefit district, Shoup)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Weak financial incentive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Hangzhou owner/association/management split; UK tax-free allowance on rental income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Platform fragmentation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Mandate open-API integration into one city dashboard</w:t>
            </w:r>
          </w:p>
        </w:tc>
      </w:tr>
    </w:tbl>
    <w:p>
      <w:r>
        <w:rPr>
          <w:b/>
          <w:color w:val="142A4A"/>
          <w:sz w:val="26"/>
        </w:rPr>
        <w:t>6. Indicative phasing (illustrative — for the study to test, not a commitment)</w:t>
      </w:r>
    </w:p>
    <w:p>
      <w:r>
        <w:t>Sequencing should follow the international experience that single-owner institutional and commercial lots open far more readily than residential courtyards and should be activated first.</w:t>
      </w:r>
    </w:p>
    <w:p>
      <w:pPr>
        <w:pStyle w:val="ListBullet"/>
      </w:pPr>
      <w:r>
        <w:rPr>
          <w:b/>
        </w:rPr>
        <w:t xml:space="preserve">Phase 1 (pilot). </w:t>
      </w:r>
      <w:r>
        <w:t>Anchor on willing institutional/commercial lots; pilot 3–5 willing building associations in a high-sensitivity zone using existing PCS ANPR; price daytime yard access at parity with adjacent blue-line rates; evaluate uptake, conflict rate and revenue at 6 months.</w:t>
      </w:r>
    </w:p>
    <w:p>
      <w:pPr>
        <w:pStyle w:val="ListBullet"/>
      </w:pPr>
      <w:r>
        <w:rPr>
          <w:b/>
        </w:rPr>
        <w:t xml:space="preserve">Phase 2 (expansion). </w:t>
      </w:r>
      <w:r>
        <w:t>Integrate yard availability into the PCS app; stand up an association registration framework with standardised agreements; map further courtyard supply.</w:t>
      </w:r>
    </w:p>
    <w:p>
      <w:pPr>
        <w:pStyle w:val="ListBullet"/>
      </w:pPr>
      <w:r>
        <w:rPr>
          <w:b/>
        </w:rPr>
        <w:t xml:space="preserve">Phase 3 (maturity). </w:t>
      </w:r>
      <w:r>
        <w:t>Move from resident-exemption pricing toward demand-responsive pricing across on- and off-street supply; fold revenue into a neighbourhood-governed benefit district.</w:t>
      </w:r>
    </w:p>
    <w:p>
      <w:r>
        <w:rPr>
          <w:b/>
          <w:color w:val="142A4A"/>
          <w:sz w:val="26"/>
        </w:rPr>
        <w:t>7. Source caveats</w:t>
      </w:r>
    </w:p>
    <w:p>
      <w:pPr>
        <w:pStyle w:val="ListBullet"/>
      </w:pPr>
      <w:r>
        <w:t>The NotebookLM synthesis is uniformly optimistic and omits the post-Soviet counter-trend; this note restores it.</w:t>
      </w:r>
    </w:p>
    <w:p>
      <w:pPr>
        <w:pStyle w:val="ListBullet"/>
      </w:pPr>
      <w:r>
        <w:t>Revenue and scale figures from platforms (JustPark, Spacer, ParqEx, WhereiPark, Akippa) are vendor-sourced proof-of-concept, not independently audited.</w:t>
      </w:r>
    </w:p>
    <w:p>
      <w:pPr>
        <w:pStyle w:val="ListBullet"/>
      </w:pPr>
      <w:r>
        <w:t>Vancouver (88%→60%) and Beijing (20–40% supply reduction; 7.3 Mt CO₂) figures are MODELLED scenarios, not realised outcomes — do not quote as Yerevan facts.</w:t>
      </w:r>
    </w:p>
    <w:p>
      <w:pPr>
        <w:pStyle w:val="ListBullet"/>
      </w:pPr>
      <w:r>
        <w:t>No ITDP/World Bank/GIZ study specific to Yerevan or Tbilisi courtyard-sharing was located; the topic is under-documented for this context, which is itself a reason to commission the study.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