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9170" w14:textId="77777777" w:rsidR="00BA0D4F" w:rsidRDefault="00000000">
      <w:pPr>
        <w:spacing w:after="40"/>
      </w:pPr>
      <w:r>
        <w:rPr>
          <w:b/>
          <w:color w:val="1F3955"/>
          <w:sz w:val="32"/>
        </w:rPr>
        <w:t>RESPONSE TO CLARIFICATIONS REQUEST — PARKING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3"/>
        <w:gridCol w:w="6653"/>
      </w:tblGrid>
      <w:tr w:rsidR="00BA0D4F" w14:paraId="76F9D059" w14:textId="77777777">
        <w:tc>
          <w:tcPr>
            <w:tcW w:w="2304" w:type="dxa"/>
          </w:tcPr>
          <w:p w14:paraId="7951688D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In response to</w:t>
            </w:r>
          </w:p>
        </w:tc>
        <w:tc>
          <w:tcPr>
            <w:tcW w:w="7056" w:type="dxa"/>
          </w:tcPr>
          <w:p w14:paraId="4324D485" w14:textId="5BCB1A1D" w:rsidR="00BA0D4F" w:rsidRDefault="00000000">
            <w:pPr>
              <w:spacing w:before="20" w:after="20"/>
            </w:pPr>
            <w:r>
              <w:rPr>
                <w:sz w:val="19"/>
              </w:rPr>
              <w:t>PIU — “Clarifications request on methodology and data sources”</w:t>
            </w:r>
          </w:p>
        </w:tc>
      </w:tr>
      <w:tr w:rsidR="00BA0D4F" w14:paraId="2E3CC37B" w14:textId="77777777">
        <w:tc>
          <w:tcPr>
            <w:tcW w:w="2304" w:type="dxa"/>
          </w:tcPr>
          <w:p w14:paraId="68BAE4F5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Prepared by / date</w:t>
            </w:r>
          </w:p>
        </w:tc>
        <w:tc>
          <w:tcPr>
            <w:tcW w:w="7056" w:type="dxa"/>
          </w:tcPr>
          <w:p w14:paraId="64EE8A4E" w14:textId="68392B00" w:rsidR="00BA0D4F" w:rsidRDefault="00000000">
            <w:pPr>
              <w:spacing w:before="20" w:after="20"/>
            </w:pPr>
            <w:r>
              <w:rPr>
                <w:sz w:val="19"/>
              </w:rPr>
              <w:t>Zurab Beradze — 2</w:t>
            </w:r>
            <w:r w:rsidR="005F5F12">
              <w:rPr>
                <w:sz w:val="19"/>
              </w:rPr>
              <w:t>6</w:t>
            </w:r>
            <w:r>
              <w:rPr>
                <w:sz w:val="19"/>
              </w:rPr>
              <w:t xml:space="preserve"> June 2026</w:t>
            </w:r>
          </w:p>
        </w:tc>
      </w:tr>
      <w:tr w:rsidR="00BA0D4F" w14:paraId="2AAC2F8B" w14:textId="77777777">
        <w:tc>
          <w:tcPr>
            <w:tcW w:w="2304" w:type="dxa"/>
          </w:tcPr>
          <w:p w14:paraId="6C2403CC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w="7056" w:type="dxa"/>
          </w:tcPr>
          <w:p w14:paraId="3CB29934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Parking-related items only (request Items 1, 5, 8, 9)</w:t>
            </w:r>
          </w:p>
        </w:tc>
      </w:tr>
      <w:tr w:rsidR="00BA0D4F" w14:paraId="513AD8AD" w14:textId="77777777">
        <w:tc>
          <w:tcPr>
            <w:tcW w:w="2304" w:type="dxa"/>
          </w:tcPr>
          <w:p w14:paraId="2AA89E32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Sources</w:t>
            </w:r>
          </w:p>
        </w:tc>
        <w:tc>
          <w:tcPr>
            <w:tcW w:w="7056" w:type="dxa"/>
          </w:tcPr>
          <w:p w14:paraId="21C9AE92" w14:textId="0AADC187" w:rsidR="00BA0D4F" w:rsidRDefault="00000000">
            <w:pPr>
              <w:spacing w:before="20" w:after="20"/>
            </w:pPr>
            <w:r>
              <w:rPr>
                <w:sz w:val="19"/>
              </w:rPr>
              <w:t xml:space="preserve">Output 8 and Output 10; and </w:t>
            </w:r>
            <w:hyperlink r:id="rId6" w:history="1">
              <w:r w:rsidR="00BA0D4F" w:rsidRPr="000F5AB5">
                <w:rPr>
                  <w:rStyle w:val="Hyperlink"/>
                  <w:sz w:val="19"/>
                </w:rPr>
                <w:t>yerevan-parking.vercel.app</w:t>
              </w:r>
            </w:hyperlink>
          </w:p>
        </w:tc>
      </w:tr>
    </w:tbl>
    <w:p w14:paraId="5997432E" w14:textId="77777777" w:rsidR="00BA0D4F" w:rsidRDefault="00BA0D4F"/>
    <w:p w14:paraId="1AF92FDA" w14:textId="40CBA6EB" w:rsidR="00BA0D4F" w:rsidRDefault="000F5AB5">
      <w:pPr>
        <w:pStyle w:val="Heading1"/>
      </w:pPr>
      <w:r>
        <w:t>Summary</w:t>
      </w:r>
    </w:p>
    <w:p w14:paraId="64AD8680" w14:textId="77777777" w:rsidR="00BA0D4F" w:rsidRDefault="00000000">
      <w:r>
        <w:t>Parking conclusions rest on two project-collected evidence bases — a desk-based supply inventory (15,897 spaces, 15% field-checked) and a field occupancy survey (six representative areas, hourly licence-plate sweeps 07:00–24:00, 29 May–3 June 2026). No prior model or ticketing data was used. Occupancy, duration, turnover and the displacement ratio are observed; supply totals and the scale of removal are inventory-based; the one figure carrying a real assumption — near-100% re-absorption of displaced demand — is conditional and flagged as such.</w:t>
      </w:r>
    </w:p>
    <w:p w14:paraId="168965F2" w14:textId="77777777" w:rsidR="000F5AB5" w:rsidRDefault="000F5AB5"/>
    <w:p w14:paraId="700DC133" w14:textId="77777777" w:rsidR="00BA0D4F" w:rsidRDefault="00000000">
      <w:pPr>
        <w:pStyle w:val="Heading1"/>
      </w:pPr>
      <w:r>
        <w:t>Parking data — obtained and used (Item 9)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922"/>
        <w:gridCol w:w="4740"/>
      </w:tblGrid>
      <w:tr w:rsidR="00BA0D4F" w14:paraId="6DA3931E" w14:textId="77777777">
        <w:trPr>
          <w:jc w:val="center"/>
        </w:trPr>
        <w:tc>
          <w:tcPr>
            <w:tcW w:w="2304" w:type="dxa"/>
            <w:shd w:val="clear" w:color="auto" w:fill="1F3955"/>
          </w:tcPr>
          <w:p w14:paraId="5AB9C686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2016" w:type="dxa"/>
            <w:shd w:val="clear" w:color="auto" w:fill="1F3955"/>
          </w:tcPr>
          <w:p w14:paraId="2401EC68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5040" w:type="dxa"/>
            <w:shd w:val="clear" w:color="auto" w:fill="1F3955"/>
          </w:tcPr>
          <w:p w14:paraId="78D71091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What it supports</w:t>
            </w:r>
          </w:p>
        </w:tc>
      </w:tr>
      <w:tr w:rsidR="00BA0D4F" w14:paraId="1F087C13" w14:textId="77777777">
        <w:trPr>
          <w:jc w:val="center"/>
        </w:trPr>
        <w:tc>
          <w:tcPr>
            <w:tcW w:w="2304" w:type="dxa"/>
          </w:tcPr>
          <w:p w14:paraId="374FDD43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Occupancy</w:t>
            </w:r>
          </w:p>
        </w:tc>
        <w:tc>
          <w:tcPr>
            <w:tcW w:w="2016" w:type="dxa"/>
          </w:tcPr>
          <w:p w14:paraId="0DE81475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 (field)</w:t>
            </w:r>
          </w:p>
        </w:tc>
        <w:tc>
          <w:tcPr>
            <w:tcW w:w="5040" w:type="dxa"/>
          </w:tcPr>
          <w:p w14:paraId="1B657A10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Peak occupancy 93%; 69% of zones above 85%</w:t>
            </w:r>
          </w:p>
        </w:tc>
      </w:tr>
      <w:tr w:rsidR="00BA0D4F" w14:paraId="245B1EC5" w14:textId="77777777">
        <w:trPr>
          <w:jc w:val="center"/>
        </w:trPr>
        <w:tc>
          <w:tcPr>
            <w:tcW w:w="2304" w:type="dxa"/>
            <w:shd w:val="clear" w:color="auto" w:fill="EEF2F6"/>
          </w:tcPr>
          <w:p w14:paraId="238CAA96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Duration of stay</w:t>
            </w:r>
          </w:p>
        </w:tc>
        <w:tc>
          <w:tcPr>
            <w:tcW w:w="2016" w:type="dxa"/>
            <w:shd w:val="clear" w:color="auto" w:fill="EEF2F6"/>
          </w:tcPr>
          <w:p w14:paraId="6679137B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</w:t>
            </w:r>
          </w:p>
        </w:tc>
        <w:tc>
          <w:tcPr>
            <w:tcW w:w="5040" w:type="dxa"/>
            <w:shd w:val="clear" w:color="auto" w:fill="EEF2F6"/>
          </w:tcPr>
          <w:p w14:paraId="4DED5177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Short-stay kerb: ~63% of stays ≤1 hour</w:t>
            </w:r>
          </w:p>
        </w:tc>
      </w:tr>
      <w:tr w:rsidR="00BA0D4F" w14:paraId="20DFC0AE" w14:textId="77777777">
        <w:trPr>
          <w:jc w:val="center"/>
        </w:trPr>
        <w:tc>
          <w:tcPr>
            <w:tcW w:w="2304" w:type="dxa"/>
          </w:tcPr>
          <w:p w14:paraId="56B82B8E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Turnover</w:t>
            </w:r>
          </w:p>
        </w:tc>
        <w:tc>
          <w:tcPr>
            <w:tcW w:w="2016" w:type="dxa"/>
          </w:tcPr>
          <w:p w14:paraId="726BC511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</w:t>
            </w:r>
          </w:p>
        </w:tc>
        <w:tc>
          <w:tcPr>
            <w:tcW w:w="5040" w:type="dxa"/>
          </w:tcPr>
          <w:p w14:paraId="2B741F41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5–11 vehicles per space per day</w:t>
            </w:r>
          </w:p>
        </w:tc>
      </w:tr>
      <w:tr w:rsidR="00BA0D4F" w14:paraId="0858EC78" w14:textId="77777777">
        <w:trPr>
          <w:jc w:val="center"/>
        </w:trPr>
        <w:tc>
          <w:tcPr>
            <w:tcW w:w="2304" w:type="dxa"/>
            <w:shd w:val="clear" w:color="auto" w:fill="EEF2F6"/>
          </w:tcPr>
          <w:p w14:paraId="42EF924D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Licence plate (manual)</w:t>
            </w:r>
          </w:p>
        </w:tc>
        <w:tc>
          <w:tcPr>
            <w:tcW w:w="2016" w:type="dxa"/>
            <w:shd w:val="clear" w:color="auto" w:fill="EEF2F6"/>
          </w:tcPr>
          <w:p w14:paraId="7BCC6B8F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</w:t>
            </w:r>
          </w:p>
        </w:tc>
        <w:tc>
          <w:tcPr>
            <w:tcW w:w="5040" w:type="dxa"/>
            <w:shd w:val="clear" w:color="auto" w:fill="EEF2F6"/>
          </w:tcPr>
          <w:p w14:paraId="6C475A1D" w14:textId="3ABD2296" w:rsidR="00BA0D4F" w:rsidRDefault="00000000">
            <w:pPr>
              <w:spacing w:before="20" w:after="20"/>
            </w:pPr>
            <w:r>
              <w:rPr>
                <w:sz w:val="19"/>
              </w:rPr>
              <w:t xml:space="preserve">Basis for duration/turnover; </w:t>
            </w:r>
          </w:p>
        </w:tc>
      </w:tr>
      <w:tr w:rsidR="00BA0D4F" w14:paraId="3FF08D21" w14:textId="77777777">
        <w:trPr>
          <w:jc w:val="center"/>
        </w:trPr>
        <w:tc>
          <w:tcPr>
            <w:tcW w:w="2304" w:type="dxa"/>
          </w:tcPr>
          <w:p w14:paraId="56747AA7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ANPR / payment</w:t>
            </w:r>
          </w:p>
        </w:tc>
        <w:tc>
          <w:tcPr>
            <w:tcW w:w="2016" w:type="dxa"/>
          </w:tcPr>
          <w:p w14:paraId="4D924850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Not available</w:t>
            </w:r>
          </w:p>
        </w:tc>
        <w:tc>
          <w:tcPr>
            <w:tcW w:w="5040" w:type="dxa"/>
          </w:tcPr>
          <w:p w14:paraId="7FECF143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Not used. Would help payment-compliance &amp; overnight demand if obtained</w:t>
            </w:r>
          </w:p>
        </w:tc>
      </w:tr>
      <w:tr w:rsidR="00BA0D4F" w14:paraId="464403E3" w14:textId="77777777">
        <w:trPr>
          <w:jc w:val="center"/>
        </w:trPr>
        <w:tc>
          <w:tcPr>
            <w:tcW w:w="2304" w:type="dxa"/>
            <w:shd w:val="clear" w:color="auto" w:fill="EEF2F6"/>
          </w:tcPr>
          <w:p w14:paraId="0A62F326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Off-street</w:t>
            </w:r>
          </w:p>
        </w:tc>
        <w:tc>
          <w:tcPr>
            <w:tcW w:w="2016" w:type="dxa"/>
            <w:shd w:val="clear" w:color="auto" w:fill="EEF2F6"/>
          </w:tcPr>
          <w:p w14:paraId="1116A936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Inventory only</w:t>
            </w:r>
          </w:p>
        </w:tc>
        <w:tc>
          <w:tcPr>
            <w:tcW w:w="5040" w:type="dxa"/>
            <w:shd w:val="clear" w:color="auto" w:fill="EEF2F6"/>
          </w:tcPr>
          <w:p w14:paraId="2D663D22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Capacity (7,035 spaces); occupancy not measured</w:t>
            </w:r>
          </w:p>
        </w:tc>
      </w:tr>
    </w:tbl>
    <w:p w14:paraId="10656F5A" w14:textId="77777777" w:rsidR="00BA0D4F" w:rsidRDefault="00000000">
      <w:r>
        <w:t>Note: occupancy is a kerbside (on-street) measurement. Off-street occupancy, overnight-residential demand and payment compliance were not observed.</w:t>
      </w:r>
    </w:p>
    <w:p w14:paraId="3DAD4E3E" w14:textId="77777777" w:rsidR="000F5AB5" w:rsidRDefault="000F5AB5"/>
    <w:p w14:paraId="1E6D9C80" w14:textId="77777777" w:rsidR="00BA0D4F" w:rsidRDefault="00000000">
      <w:pPr>
        <w:pStyle w:val="Heading1"/>
      </w:pPr>
      <w:r>
        <w:t>What each conclusion rests on (Item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4"/>
        <w:gridCol w:w="2596"/>
        <w:gridCol w:w="2206"/>
      </w:tblGrid>
      <w:tr w:rsidR="00BA0D4F" w14:paraId="63625436" w14:textId="77777777">
        <w:trPr>
          <w:jc w:val="center"/>
        </w:trPr>
        <w:tc>
          <w:tcPr>
            <w:tcW w:w="4320" w:type="dxa"/>
            <w:shd w:val="clear" w:color="auto" w:fill="1F3955"/>
          </w:tcPr>
          <w:p w14:paraId="6E1994F1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Conclusion</w:t>
            </w:r>
          </w:p>
        </w:tc>
        <w:tc>
          <w:tcPr>
            <w:tcW w:w="2736" w:type="dxa"/>
            <w:shd w:val="clear" w:color="auto" w:fill="1F3955"/>
          </w:tcPr>
          <w:p w14:paraId="6673D576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w="2304" w:type="dxa"/>
            <w:shd w:val="clear" w:color="auto" w:fill="1F3955"/>
          </w:tcPr>
          <w:p w14:paraId="04D11013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 w:rsidR="00BA0D4F" w14:paraId="58F10DAB" w14:textId="77777777">
        <w:trPr>
          <w:jc w:val="center"/>
        </w:trPr>
        <w:tc>
          <w:tcPr>
            <w:tcW w:w="4320" w:type="dxa"/>
          </w:tcPr>
          <w:p w14:paraId="4E457502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Supply 15,897 (8,862 on / 7,035 off)</w:t>
            </w:r>
          </w:p>
        </w:tc>
        <w:tc>
          <w:tcPr>
            <w:tcW w:w="2736" w:type="dxa"/>
          </w:tcPr>
          <w:p w14:paraId="59A69BF3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Inventory + 15% check</w:t>
            </w:r>
          </w:p>
        </w:tc>
        <w:tc>
          <w:tcPr>
            <w:tcW w:w="2304" w:type="dxa"/>
          </w:tcPr>
          <w:p w14:paraId="67B9AB64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High</w:t>
            </w:r>
          </w:p>
        </w:tc>
      </w:tr>
      <w:tr w:rsidR="00BA0D4F" w14:paraId="6A03DD76" w14:textId="77777777">
        <w:trPr>
          <w:jc w:val="center"/>
        </w:trPr>
        <w:tc>
          <w:tcPr>
            <w:tcW w:w="4320" w:type="dxa"/>
            <w:shd w:val="clear" w:color="auto" w:fill="EEF2F6"/>
          </w:tcPr>
          <w:p w14:paraId="32A63A01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Paid-zone share 11.3%; signage; marking</w:t>
            </w:r>
          </w:p>
        </w:tc>
        <w:tc>
          <w:tcPr>
            <w:tcW w:w="2736" w:type="dxa"/>
            <w:shd w:val="clear" w:color="auto" w:fill="EEF2F6"/>
          </w:tcPr>
          <w:p w14:paraId="2E0C0CE2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Inventory</w:t>
            </w:r>
          </w:p>
        </w:tc>
        <w:tc>
          <w:tcPr>
            <w:tcW w:w="2304" w:type="dxa"/>
            <w:shd w:val="clear" w:color="auto" w:fill="EEF2F6"/>
          </w:tcPr>
          <w:p w14:paraId="1F570FBF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High</w:t>
            </w:r>
          </w:p>
        </w:tc>
      </w:tr>
      <w:tr w:rsidR="00BA0D4F" w14:paraId="3C0DC46F" w14:textId="77777777">
        <w:trPr>
          <w:jc w:val="center"/>
        </w:trPr>
        <w:tc>
          <w:tcPr>
            <w:tcW w:w="4320" w:type="dxa"/>
          </w:tcPr>
          <w:p w14:paraId="3153F838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Removal 5,953 (~85% of kerb)</w:t>
            </w:r>
          </w:p>
        </w:tc>
        <w:tc>
          <w:tcPr>
            <w:tcW w:w="2736" w:type="dxa"/>
          </w:tcPr>
          <w:p w14:paraId="7D665BF3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Inventory × corridor design</w:t>
            </w:r>
          </w:p>
        </w:tc>
        <w:tc>
          <w:tcPr>
            <w:tcW w:w="2304" w:type="dxa"/>
          </w:tcPr>
          <w:p w14:paraId="5AE270C9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High (retained ~1,052 preliminary)</w:t>
            </w:r>
          </w:p>
        </w:tc>
      </w:tr>
      <w:tr w:rsidR="00BA0D4F" w14:paraId="572425F8" w14:textId="77777777">
        <w:trPr>
          <w:jc w:val="center"/>
        </w:trPr>
        <w:tc>
          <w:tcPr>
            <w:tcW w:w="4320" w:type="dxa"/>
            <w:shd w:val="clear" w:color="auto" w:fill="EEF2F6"/>
          </w:tcPr>
          <w:p w14:paraId="7735A200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Occupancy / duration / turnover</w:t>
            </w:r>
          </w:p>
        </w:tc>
        <w:tc>
          <w:tcPr>
            <w:tcW w:w="2736" w:type="dxa"/>
            <w:shd w:val="clear" w:color="auto" w:fill="EEF2F6"/>
          </w:tcPr>
          <w:p w14:paraId="5F94C55F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</w:t>
            </w:r>
          </w:p>
        </w:tc>
        <w:tc>
          <w:tcPr>
            <w:tcW w:w="2304" w:type="dxa"/>
            <w:shd w:val="clear" w:color="auto" w:fill="EEF2F6"/>
          </w:tcPr>
          <w:p w14:paraId="6964B296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High (weekday daytime)</w:t>
            </w:r>
          </w:p>
        </w:tc>
      </w:tr>
      <w:tr w:rsidR="00BA0D4F" w14:paraId="5F882F4A" w14:textId="77777777">
        <w:trPr>
          <w:jc w:val="center"/>
        </w:trPr>
        <w:tc>
          <w:tcPr>
            <w:tcW w:w="4320" w:type="dxa"/>
          </w:tcPr>
          <w:p w14:paraId="20D17024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Displaced demand = 55% of removed</w:t>
            </w:r>
          </w:p>
        </w:tc>
        <w:tc>
          <w:tcPr>
            <w:tcW w:w="2736" w:type="dxa"/>
          </w:tcPr>
          <w:p w14:paraId="1DC7CEC6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Observed (local)</w:t>
            </w:r>
          </w:p>
        </w:tc>
        <w:tc>
          <w:tcPr>
            <w:tcW w:w="2304" w:type="dxa"/>
          </w:tcPr>
          <w:p w14:paraId="15545687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High</w:t>
            </w:r>
          </w:p>
        </w:tc>
      </w:tr>
      <w:tr w:rsidR="00BA0D4F" w14:paraId="28C94AEF" w14:textId="77777777">
        <w:trPr>
          <w:jc w:val="center"/>
        </w:trPr>
        <w:tc>
          <w:tcPr>
            <w:tcW w:w="4320" w:type="dxa"/>
            <w:shd w:val="clear" w:color="auto" w:fill="EEF2F6"/>
          </w:tcPr>
          <w:p w14:paraId="068B1735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Re-absorption approaching 100%</w:t>
            </w:r>
          </w:p>
        </w:tc>
        <w:tc>
          <w:tcPr>
            <w:tcW w:w="2736" w:type="dxa"/>
            <w:shd w:val="clear" w:color="auto" w:fill="EEF2F6"/>
          </w:tcPr>
          <w:p w14:paraId="21060042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Conditional</w:t>
            </w:r>
          </w:p>
        </w:tc>
        <w:tc>
          <w:tcPr>
            <w:tcW w:w="2304" w:type="dxa"/>
            <w:shd w:val="clear" w:color="auto" w:fill="EEF2F6"/>
          </w:tcPr>
          <w:p w14:paraId="7E4499B2" w14:textId="04E49575" w:rsidR="00BA0D4F" w:rsidRDefault="00000000">
            <w:pPr>
              <w:spacing w:before="20" w:after="20"/>
            </w:pPr>
            <w:r>
              <w:rPr>
                <w:sz w:val="19"/>
              </w:rPr>
              <w:t xml:space="preserve">Depends on opening gated yards </w:t>
            </w:r>
          </w:p>
        </w:tc>
      </w:tr>
    </w:tbl>
    <w:p w14:paraId="0B6436F4" w14:textId="77777777" w:rsidR="00BA0D4F" w:rsidRDefault="00000000">
      <w:r>
        <w:t>No parking conclusion depends on a transport model — the displacement figures are empirical, not modelled.</w:t>
      </w:r>
    </w:p>
    <w:p w14:paraId="4A8571B8" w14:textId="77777777" w:rsidR="000F5AB5" w:rsidRDefault="000F5AB5"/>
    <w:p w14:paraId="305181AA" w14:textId="77777777" w:rsidR="000F5AB5" w:rsidRDefault="000F5AB5"/>
    <w:p w14:paraId="1E9CDD79" w14:textId="77777777" w:rsidR="00BA0D4F" w:rsidRDefault="00000000">
      <w:pPr>
        <w:pStyle w:val="Heading1"/>
      </w:pPr>
      <w:r>
        <w:lastRenderedPageBreak/>
        <w:t>Methodology — planned vs delivered (Item 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6370"/>
      </w:tblGrid>
      <w:tr w:rsidR="00BA0D4F" w14:paraId="7A23A99D" w14:textId="77777777" w:rsidTr="005F5F12">
        <w:trPr>
          <w:jc w:val="center"/>
        </w:trPr>
        <w:tc>
          <w:tcPr>
            <w:tcW w:w="2486" w:type="dxa"/>
            <w:shd w:val="clear" w:color="auto" w:fill="1F3955"/>
          </w:tcPr>
          <w:p w14:paraId="02E93298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6370" w:type="dxa"/>
            <w:shd w:val="clear" w:color="auto" w:fill="1F3955"/>
          </w:tcPr>
          <w:p w14:paraId="47469735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Delivered as</w:t>
            </w:r>
          </w:p>
        </w:tc>
      </w:tr>
      <w:tr w:rsidR="00BA0D4F" w14:paraId="71DDF008" w14:textId="77777777" w:rsidTr="005F5F12">
        <w:trPr>
          <w:jc w:val="center"/>
        </w:trPr>
        <w:tc>
          <w:tcPr>
            <w:tcW w:w="2486" w:type="dxa"/>
          </w:tcPr>
          <w:p w14:paraId="452EE951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Supply survey</w:t>
            </w:r>
          </w:p>
        </w:tc>
        <w:tc>
          <w:tcPr>
            <w:tcW w:w="6370" w:type="dxa"/>
          </w:tcPr>
          <w:p w14:paraId="33B996E0" w14:textId="230FCB37" w:rsidR="00BA0D4F" w:rsidRDefault="00000000">
            <w:pPr>
              <w:spacing w:before="20" w:after="20"/>
            </w:pPr>
            <w:r>
              <w:rPr>
                <w:sz w:val="19"/>
              </w:rPr>
              <w:t>Desk inventory (360° video, satellite, Yandex) + 15% field cross-check</w:t>
            </w:r>
          </w:p>
        </w:tc>
      </w:tr>
      <w:tr w:rsidR="00BA0D4F" w14:paraId="662E23FF" w14:textId="77777777" w:rsidTr="005F5F12">
        <w:trPr>
          <w:jc w:val="center"/>
        </w:trPr>
        <w:tc>
          <w:tcPr>
            <w:tcW w:w="2486" w:type="dxa"/>
            <w:shd w:val="clear" w:color="auto" w:fill="EEF2F6"/>
          </w:tcPr>
          <w:p w14:paraId="6A4E48E2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Occupancy survey</w:t>
            </w:r>
          </w:p>
        </w:tc>
        <w:tc>
          <w:tcPr>
            <w:tcW w:w="6370" w:type="dxa"/>
            <w:shd w:val="clear" w:color="auto" w:fill="EEF2F6"/>
          </w:tcPr>
          <w:p w14:paraId="584EE82E" w14:textId="4053C09D" w:rsidR="00BA0D4F" w:rsidRDefault="00000000">
            <w:pPr>
              <w:spacing w:before="20" w:after="20"/>
            </w:pPr>
            <w:r>
              <w:rPr>
                <w:sz w:val="19"/>
              </w:rPr>
              <w:t xml:space="preserve">Six representative areas (restored after initial descope), </w:t>
            </w:r>
            <w:r w:rsidR="000F5AB5">
              <w:rPr>
                <w:sz w:val="19"/>
              </w:rPr>
              <w:t>replacing the corridor-wide manual survey</w:t>
            </w:r>
          </w:p>
        </w:tc>
      </w:tr>
    </w:tbl>
    <w:p w14:paraId="289D27A5" w14:textId="4705B5C7" w:rsidR="00BA0D4F" w:rsidRDefault="00000000">
      <w:r>
        <w:t>The change was proportionate — the central-median design removes most kerb parking, so detailed temporal data on a baseline that will not survive has limited value</w:t>
      </w:r>
      <w:r w:rsidR="000F5AB5">
        <w:t>.</w:t>
      </w:r>
      <w:r>
        <w:t xml:space="preserve"> The methodology-paper revisions and correspondence can be supplied as the decision record.</w:t>
      </w:r>
    </w:p>
    <w:p w14:paraId="55A67278" w14:textId="77777777" w:rsidR="000F5AB5" w:rsidRDefault="000F5AB5"/>
    <w:p w14:paraId="3006A29C" w14:textId="77777777" w:rsidR="00BA0D4F" w:rsidRDefault="00000000">
      <w:pPr>
        <w:pStyle w:val="Heading1"/>
      </w:pPr>
      <w:r>
        <w:t>Limitations for the risk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7"/>
        <w:gridCol w:w="4909"/>
      </w:tblGrid>
      <w:tr w:rsidR="00BA0D4F" w14:paraId="521D6944" w14:textId="77777777">
        <w:trPr>
          <w:jc w:val="center"/>
        </w:trPr>
        <w:tc>
          <w:tcPr>
            <w:tcW w:w="4176" w:type="dxa"/>
            <w:shd w:val="clear" w:color="auto" w:fill="1F3955"/>
          </w:tcPr>
          <w:p w14:paraId="099900F5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5184" w:type="dxa"/>
            <w:shd w:val="clear" w:color="auto" w:fill="1F3955"/>
          </w:tcPr>
          <w:p w14:paraId="4DC67904" w14:textId="77777777" w:rsidR="00BA0D4F" w:rsidRDefault="00000000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How to read it</w:t>
            </w:r>
          </w:p>
        </w:tc>
      </w:tr>
      <w:tr w:rsidR="00BA0D4F" w14:paraId="0EEBEFB4" w14:textId="77777777">
        <w:trPr>
          <w:jc w:val="center"/>
        </w:trPr>
        <w:tc>
          <w:tcPr>
            <w:tcW w:w="4176" w:type="dxa"/>
          </w:tcPr>
          <w:p w14:paraId="4D5C353C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Off-street capacity counted gross (92% gated yards)</w:t>
            </w:r>
          </w:p>
        </w:tc>
        <w:tc>
          <w:tcPr>
            <w:tcW w:w="5184" w:type="dxa"/>
          </w:tcPr>
          <w:p w14:paraId="65732F56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Re-absorption near 100% is a ceiling, conditional on opening those yards (mitigation in Output 10)</w:t>
            </w:r>
          </w:p>
        </w:tc>
      </w:tr>
      <w:tr w:rsidR="00BA0D4F" w14:paraId="4873E994" w14:textId="77777777">
        <w:trPr>
          <w:jc w:val="center"/>
        </w:trPr>
        <w:tc>
          <w:tcPr>
            <w:tcW w:w="4176" w:type="dxa"/>
            <w:shd w:val="clear" w:color="auto" w:fill="EEF2F6"/>
          </w:tcPr>
          <w:p w14:paraId="0C5790BB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Daytime window (07:00–24:00)</w:t>
            </w:r>
          </w:p>
        </w:tc>
        <w:tc>
          <w:tcPr>
            <w:tcW w:w="5184" w:type="dxa"/>
            <w:shd w:val="clear" w:color="auto" w:fill="EEF2F6"/>
          </w:tcPr>
          <w:p w14:paraId="1657FC3A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Under-counts overnight-residential demand</w:t>
            </w:r>
          </w:p>
        </w:tc>
      </w:tr>
      <w:tr w:rsidR="00BA0D4F" w14:paraId="75092B79" w14:textId="77777777">
        <w:trPr>
          <w:jc w:val="center"/>
        </w:trPr>
        <w:tc>
          <w:tcPr>
            <w:tcW w:w="4176" w:type="dxa"/>
          </w:tcPr>
          <w:p w14:paraId="21D4A890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Six areas, not full corridor</w:t>
            </w:r>
          </w:p>
        </w:tc>
        <w:tc>
          <w:tcPr>
            <w:tcW w:w="5184" w:type="dxa"/>
          </w:tcPr>
          <w:p w14:paraId="76534EF6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Representative sample, not a census</w:t>
            </w:r>
          </w:p>
        </w:tc>
      </w:tr>
      <w:tr w:rsidR="00BA0D4F" w14:paraId="3312C164" w14:textId="77777777">
        <w:trPr>
          <w:jc w:val="center"/>
        </w:trPr>
        <w:tc>
          <w:tcPr>
            <w:tcW w:w="4176" w:type="dxa"/>
            <w:shd w:val="clear" w:color="auto" w:fill="EEF2F6"/>
          </w:tcPr>
          <w:p w14:paraId="7BD5C7C0" w14:textId="77777777" w:rsidR="00BA0D4F" w:rsidRDefault="00000000">
            <w:pPr>
              <w:spacing w:before="20" w:after="20"/>
            </w:pPr>
            <w:r>
              <w:rPr>
                <w:b/>
                <w:sz w:val="19"/>
              </w:rPr>
              <w:t>Retained ~1,052 from concept design</w:t>
            </w:r>
          </w:p>
        </w:tc>
        <w:tc>
          <w:tcPr>
            <w:tcW w:w="5184" w:type="dxa"/>
            <w:shd w:val="clear" w:color="auto" w:fill="EEF2F6"/>
          </w:tcPr>
          <w:p w14:paraId="535D0843" w14:textId="77777777" w:rsidR="00BA0D4F" w:rsidRDefault="00000000">
            <w:pPr>
              <w:spacing w:before="20" w:after="20"/>
            </w:pPr>
            <w:r>
              <w:rPr>
                <w:sz w:val="19"/>
              </w:rPr>
              <w:t>Preliminary until detailed design; removal of 5,953 is the firm figure</w:t>
            </w:r>
          </w:p>
        </w:tc>
      </w:tr>
    </w:tbl>
    <w:p w14:paraId="7191E501" w14:textId="77777777" w:rsidR="00BA0D4F" w:rsidRDefault="00BA0D4F"/>
    <w:p w14:paraId="050B42BD" w14:textId="77777777" w:rsidR="00BA0D4F" w:rsidRDefault="00000000">
      <w:pPr>
        <w:pStyle w:val="Heading1"/>
      </w:pPr>
      <w:r>
        <w:t>Reproducibility (Item 8)</w:t>
      </w:r>
    </w:p>
    <w:p w14:paraId="1C0C0B61" w14:textId="768BD511" w:rsidR="00BA0D4F" w:rsidRDefault="00000000">
      <w:r>
        <w:t xml:space="preserve">The parking figures are reproducible from project assets: the GeoJSON dataset, the KML layer and </w:t>
      </w:r>
      <w:hyperlink r:id="rId7" w:history="1">
        <w:r w:rsidR="000F5AB5">
          <w:rPr>
            <w:rStyle w:val="Hyperlink"/>
          </w:rPr>
          <w:t>https://yerevan-parking.vercel.app/</w:t>
        </w:r>
      </w:hyperlink>
    </w:p>
    <w:sectPr w:rsidR="00BA0D4F" w:rsidSect="000F5AB5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074922">
    <w:abstractNumId w:val="8"/>
  </w:num>
  <w:num w:numId="2" w16cid:durableId="1624657248">
    <w:abstractNumId w:val="6"/>
  </w:num>
  <w:num w:numId="3" w16cid:durableId="2052221143">
    <w:abstractNumId w:val="5"/>
  </w:num>
  <w:num w:numId="4" w16cid:durableId="43457784">
    <w:abstractNumId w:val="4"/>
  </w:num>
  <w:num w:numId="5" w16cid:durableId="1528248531">
    <w:abstractNumId w:val="7"/>
  </w:num>
  <w:num w:numId="6" w16cid:durableId="35736569">
    <w:abstractNumId w:val="3"/>
  </w:num>
  <w:num w:numId="7" w16cid:durableId="1742829362">
    <w:abstractNumId w:val="2"/>
  </w:num>
  <w:num w:numId="8" w16cid:durableId="359624236">
    <w:abstractNumId w:val="1"/>
  </w:num>
  <w:num w:numId="9" w16cid:durableId="159937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AB5"/>
    <w:rsid w:val="0015074B"/>
    <w:rsid w:val="0029639D"/>
    <w:rsid w:val="00326F90"/>
    <w:rsid w:val="003843D4"/>
    <w:rsid w:val="005F5F12"/>
    <w:rsid w:val="00AA1D8D"/>
    <w:rsid w:val="00B47730"/>
    <w:rsid w:val="00BA0D4F"/>
    <w:rsid w:val="00CB0664"/>
    <w:rsid w:val="00D84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CB1A0"/>
  <w14:defaultImageDpi w14:val="300"/>
  <w15:docId w15:val="{E140D805-2AD6-4622-AF75-B73860EC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39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5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A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A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erevan-parking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erevan-parking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Nikoloz Archvadze</cp:lastModifiedBy>
  <cp:revision>3</cp:revision>
  <dcterms:created xsi:type="dcterms:W3CDTF">2013-12-23T23:15:00Z</dcterms:created>
  <dcterms:modified xsi:type="dcterms:W3CDTF">2026-06-26T09:11:00Z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df942eaf-9c2c-4dec-b240-17814d4ad251</vt:lpwstr>
  </property>
</Properties>
</file>