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2"/>
        </w:rPr>
        <w:t>Yerevan Parking Study  •  Internal Review Memo</w:t>
      </w:r>
    </w:p>
    <w:p>
      <w:r>
        <w:rPr>
          <w:b/>
          <w:color w:val="142A4A"/>
          <w:sz w:val="40"/>
        </w:rPr>
        <w:t>Mitigation Measures — Audit &amp; Validation against the Field Survey</w:t>
      </w:r>
    </w:p>
    <w:p>
      <w:r>
        <w:rPr>
          <w:i/>
          <w:color w:val="555555"/>
          <w:sz w:val="22"/>
        </w:rPr>
        <w:t>Pressure-testing the Output 8 and Output 10 mitigation measures — drafted a priori, before fieldwork — against the field-survey evidence.</w:t>
      </w:r>
    </w:p>
    <w:p>
      <w:pPr>
        <w:pBdr>
          <w:bottom w:val="single" w:sz="10" w:space="1" w:color="142A4A"/>
        </w:pBdr>
      </w:pPr>
    </w:p>
    <w:p>
      <w:pPr>
        <w:spacing w:after="80"/>
      </w:pPr>
      <w:r>
        <w:rPr>
          <w:b/>
          <w:i w:val="0"/>
          <w:color w:val="555555"/>
          <w:sz w:val="20"/>
        </w:rPr>
        <w:t xml:space="preserve">Scope. </w:t>
      </w:r>
      <w:r>
        <w:rPr>
          <w:b w:val="0"/>
          <w:i w:val="0"/>
          <w:color w:val="555555"/>
          <w:sz w:val="20"/>
        </w:rPr>
        <w:t>Re-derived independently from the source deliverables and the field-survey dataset; convergence and divergence with the report's existing “Implications” chapter are flagged. Figures are from the validated survey run (six areas; 208 on-street segments; ~2,930 marked spaces) and the raw stay-length histogram (11,394 on-street stays).</w:t>
      </w:r>
    </w:p>
    <w:p>
      <w:pPr>
        <w:spacing w:before="240"/>
      </w:pPr>
      <w:r>
        <w:rPr>
          <w:b/>
          <w:color w:val="142A4A"/>
          <w:sz w:val="30"/>
        </w:rPr>
        <w:t>1.  Decision</w:t>
      </w:r>
    </w:p>
    <w:p>
      <w:pPr>
        <w:spacing w:after="80"/>
      </w:pPr>
      <w:r>
        <w:rPr>
          <w:b w:val="0"/>
          <w:i w:val="0"/>
          <w:sz w:val="22"/>
        </w:rPr>
        <w:t xml:space="preserve">The measure </w:t>
      </w:r>
      <w:r>
        <w:rPr>
          <w:b w:val="0"/>
          <w:i/>
          <w:sz w:val="22"/>
        </w:rPr>
        <w:t>menu</w:t>
      </w:r>
      <w:r>
        <w:rPr>
          <w:b w:val="0"/>
          <w:i w:val="0"/>
          <w:sz w:val="22"/>
        </w:rPr>
        <w:t xml:space="preserve"> holds up. The measure </w:t>
      </w:r>
      <w:r>
        <w:rPr>
          <w:b w:val="0"/>
          <w:i/>
          <w:sz w:val="22"/>
        </w:rPr>
        <w:t>targeting</w:t>
      </w:r>
      <w:r>
        <w:rPr>
          <w:b w:val="0"/>
          <w:i w:val="0"/>
          <w:sz w:val="22"/>
        </w:rPr>
        <w:t xml:space="preserve"> does not.</w:t>
      </w:r>
    </w:p>
    <w:p>
      <w:pPr>
        <w:spacing w:after="80"/>
      </w:pPr>
      <w:r>
        <w:rPr>
          <w:b w:val="0"/>
          <w:i w:val="0"/>
          <w:sz w:val="22"/>
        </w:rPr>
        <w:t>Nothing in the survey justifies deleting a measure. But the survey overturns three things that were guessed before fieldwork — and adds one the data demands:</w:t>
      </w:r>
    </w:p>
    <w:p>
      <w:pPr>
        <w:pStyle w:val="ListBullet"/>
      </w:pPr>
      <w:r>
        <w:rPr>
          <w:b/>
        </w:rPr>
        <w:t xml:space="preserve">ELEVATE &amp; COMMIT — </w:t>
      </w:r>
      <w:r>
        <w:rPr>
          <w:b/>
        </w:rPr>
        <w:t>the off-street measure (M7 — open residential yards).</w:t>
      </w:r>
      <w:r>
        <w:rPr>
          <w:b w:val="0"/>
        </w:rPr>
        <w:t xml:space="preserve"> The entire displacement case rests on off-street capacity: surviving on-street absorbs only 43% of peak displaced demand (14% in the Kentron core, 0% in Komitas), and 92% of the off-street capacity that closes the gap to ~100% is gated residential yards counted at gross capacity as if already open. So the “demand can be re-absorbed” headline is silently conditional on opening those yards — i.e. on M7. Yet O10 frames M7 as an optional pilot in the lower-sensitivity zones. It is the load-bearing measure of the whole strategy and must be made a committed precondition, led in the core. But opening yards is an organisational and change-management undertaking, not a free capacity line: it needs active management and resident buy-in, and a poorly-communicated rollout could provoke a backlash that jeopardises the wider corridor reform — so M7 must travel with a resident-engagement and management plan. No net-new measure — M7 elevated.</w:t>
      </w:r>
    </w:p>
    <w:p>
      <w:pPr>
        <w:pStyle w:val="ListBullet"/>
      </w:pPr>
      <w:r>
        <w:rPr>
          <w:b/>
        </w:rPr>
        <w:t xml:space="preserve">RE-SCOPE (misdirected) — </w:t>
      </w:r>
      <w:r>
        <w:rPr>
          <w:b/>
        </w:rPr>
        <w:t>visitor caps / maximum-stay limits — but keep them.</w:t>
      </w:r>
      <w:r>
        <w:rPr>
          <w:b w:val="0"/>
        </w:rPr>
        <w:t xml:space="preserve"> Their logic (evict long-stay commuters) is contradicted by the data: ~63% of stays are ≤1h, ~77% ≤2h, the overnight (8h+) share is ~7% — and those are residents (permit-exempt), while genuine daytime all-day workers (5–8h) are only ~6%; turnover is already 5–11 vehicles/space/day. A 2-hour cap would mostly bite 3–4h errand visitors, not commuters. Do not remove — demote to a targeted contingency for specific low-turnover spots, and lead with pricing. And for the genuine 5–8h commuters the lever is not a fine but a mode shift: a long, predictable daily stay is the trip most readily moved to transit, so they are the prime BRT catchment — the framing must be meeting the commuter's need, not penalising it.</w:t>
      </w:r>
    </w:p>
    <w:p>
      <w:pPr>
        <w:pStyle w:val="ListBullet"/>
      </w:pPr>
      <w:r>
        <w:rPr>
          <w:b/>
        </w:rPr>
        <w:t xml:space="preserve">RE-ALLOCATE — </w:t>
      </w:r>
      <w:r>
        <w:rPr>
          <w:b/>
        </w:rPr>
        <w:t>measures across the sensitivity zones.</w:t>
      </w:r>
      <w:r>
        <w:rPr>
          <w:b w:val="0"/>
        </w:rPr>
        <w:t xml:space="preserve"> The high-sensitivity (Kentron) package is curb-led, but the data shows curb cannot absorb there. Yard-opening (M7) — now assigned to lower-sensitivity zones — belongs first in the core (Kentron is 86% yard-dependent, Komitas 100%). Komitas, classed Medium, behaves like High (123% peak, 0% on-street absorption); Shiraz behaves like Lower (75% peak, 69% absorption). Targeting must follow measured behaviour, not a-priori geography.</w:t>
      </w:r>
    </w:p>
    <w:p>
      <w:pPr>
        <w:pStyle w:val="ListBullet"/>
      </w:pPr>
      <w:r>
        <w:rPr>
          <w:b/>
        </w:rPr>
        <w:t xml:space="preserve">ADD (new policy) — </w:t>
      </w:r>
      <w:r>
        <w:rPr>
          <w:b/>
        </w:rPr>
        <w:t>phase out the flat annual zonal-parking permit.</w:t>
      </w:r>
      <w:r>
        <w:rPr>
          <w:b w:val="0"/>
        </w:rPr>
        <w:t xml:space="preserve"> Yerevan's annual permit — a flat yearly fee for unlimited zonal parking — works directly against every turnover objective in this study: it strips the marginal cost out of dwell time, so it rewards leaving a car in a high-demand bay all day and depresses turnover precisely where the survey shows turnover is the binding constraint. In the medium-to-long term it should be cancelled and replaced by an occupancy-based tariff. It is the same anti-turnover mechanism as free resident parking — which Tbilisi's parking study found had to be unwound for exactly this reason — so the resident-permit design (M4) must not re-import it.</w:t>
      </w:r>
    </w:p>
    <w:p>
      <w:pPr>
        <w:spacing w:after="80"/>
      </w:pPr>
      <w:r>
        <w:rPr>
          <w:b/>
          <w:i w:val="0"/>
          <w:sz w:val="22"/>
        </w:rPr>
        <w:t xml:space="preserve">Net: </w:t>
      </w:r>
      <w:r>
        <w:rPr>
          <w:b w:val="0"/>
          <w:i w:val="0"/>
          <w:sz w:val="22"/>
        </w:rPr>
        <w:t>sufficient as a displacement toolkit — no net-new mitigation measure is needed to re-absorb demand. Re-scope caps (demote, lead with pricing), elevate and commit M7 (the off-street measure the headline depends on, carried with a resident-engagement plan), and re-allocate by zone. One structural addition sits outside the displacement frame: phase out the flat annual permit, which is actively depressing the turnover the whole strategy relies on. The “corridor itself = primary mitigation” premise is empirically confirmed — peak displaced demand is only 55% of spaces removed (908 cars vs 1,643 spaces).</w:t>
      </w:r>
    </w:p>
    <w:p>
      <w:pPr>
        <w:spacing w:after="80"/>
      </w:pPr>
      <w:r>
        <w:rPr>
          <w:b/>
          <w:i w:val="0"/>
          <w:color w:val="006D77"/>
          <w:sz w:val="20"/>
        </w:rPr>
        <w:t xml:space="preserve">Independent corroboration. </w:t>
      </w:r>
      <w:r>
        <w:rPr>
          <w:b w:val="0"/>
          <w:i w:val="0"/>
          <w:color w:val="555555"/>
          <w:sz w:val="20"/>
        </w:rPr>
        <w:t>Setting the report's existing “Implications” chapter aside and re-deriving, I reach the same Kentron curb→off-street recalibration and the same Gai Avenue residual-risk flag. I go further on three points it does not make: the off-street headline is conditional on opening gated yards (M7) and must say so; visitor caps are misdirected on the measured data; and the displaced-demand peak is midday in every area (so daytime yard availability aligns). Neither contradicts the existing recommendations.</w:t>
      </w:r>
    </w:p>
    <w:p>
      <w:pPr>
        <w:spacing w:before="240"/>
      </w:pPr>
      <w:r>
        <w:rPr>
          <w:b/>
          <w:color w:val="142A4A"/>
          <w:sz w:val="30"/>
        </w:rPr>
        <w:t>2.  Survey design, validity &amp; the qualitative→quantitative logic</w:t>
      </w:r>
    </w:p>
    <w:p>
      <w:pPr>
        <w:spacing w:after="80"/>
      </w:pPr>
      <w:r>
        <w:rPr>
          <w:b/>
          <w:i w:val="0"/>
          <w:sz w:val="22"/>
        </w:rPr>
        <w:t xml:space="preserve">Why this is methodologically sound. </w:t>
      </w:r>
      <w:r>
        <w:rPr>
          <w:b w:val="0"/>
          <w:i w:val="0"/>
          <w:sz w:val="22"/>
        </w:rPr>
        <w:t>The corridor's sensitivity zones (High / Medium / Lower) were assigned a priori — qualitatively, with local-expert judgement — before any field data existed. That assignment is a hypothesis. The field survey is the quantitative test of it: every parked vehicle on the surveyed segments was logged by hourly licence-plate sweep (07:00–24:00) across six areas deliberately chosen to span the full assigned sensitivity spectrum, recording time, zone, plate, vehicle type, kerb location, parking method and legality. Occupancy, turnover and dwell time are then measured, not assumed — and where the measurement diverges from the a-priori label, the measurement governs. This is the chain that makes the recommendations defensible rather than opinion.</w:t>
      </w:r>
    </w:p>
    <w:p>
      <w:pPr>
        <w:spacing w:after="40"/>
      </w:pPr>
      <w:r>
        <w:rPr>
          <w:b/>
          <w:i w:val="0"/>
          <w:sz w:val="22"/>
        </w:rPr>
        <w:t xml:space="preserve">Validity check — were these ordinary days? </w:t>
      </w:r>
      <w:r>
        <w:rPr>
          <w:b w:val="0"/>
          <w:i w:val="0"/>
          <w:sz w:val="22"/>
        </w:rPr>
        <w:t>A single disrupted day (public holiday, festival, demonstration, road closure) could distort occupancy and corrupt the whole comparison. Every survey fell on an ordinary mid-week working day, with no public holiday and no city-wide event on record:</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fill="142A4A"/>
          </w:tcPr>
          <w:p>
            <w:pPr>
              <w:jc w:val="left"/>
            </w:pPr>
            <w:r/>
            <w:r>
              <w:rPr>
                <w:b/>
                <w:color w:val="FFFFFF"/>
                <w:sz w:val="19"/>
              </w:rPr>
              <w:t>Area</w:t>
            </w:r>
          </w:p>
        </w:tc>
        <w:tc>
          <w:tcPr>
            <w:tcW w:type="dxa" w:w="2592"/>
            <w:shd w:val="clear" w:fill="142A4A"/>
          </w:tcPr>
          <w:p>
            <w:pPr>
              <w:jc w:val="center"/>
            </w:pPr>
            <w:r/>
            <w:r>
              <w:rPr>
                <w:b/>
                <w:color w:val="FFFFFF"/>
                <w:sz w:val="19"/>
              </w:rPr>
              <w:t>Survey date</w:t>
            </w:r>
          </w:p>
        </w:tc>
        <w:tc>
          <w:tcPr>
            <w:tcW w:type="dxa" w:w="2016"/>
            <w:shd w:val="clear" w:fill="142A4A"/>
          </w:tcPr>
          <w:p>
            <w:pPr>
              <w:jc w:val="center"/>
            </w:pPr>
            <w:r/>
            <w:r>
              <w:rPr>
                <w:b/>
                <w:color w:val="FFFFFF"/>
                <w:sz w:val="19"/>
              </w:rPr>
              <w:t>Weekday</w:t>
            </w:r>
          </w:p>
        </w:tc>
      </w:tr>
      <w:tr>
        <w:tc>
          <w:tcPr>
            <w:tcW w:type="dxa" w:w="3456"/>
          </w:tcPr>
          <w:p>
            <w:pPr>
              <w:jc w:val="left"/>
            </w:pPr>
            <w:r/>
            <w:r>
              <w:rPr>
                <w:b w:val="0"/>
                <w:sz w:val="19"/>
              </w:rPr>
              <w:t>Komitas</w:t>
            </w:r>
          </w:p>
        </w:tc>
        <w:tc>
          <w:tcPr>
            <w:tcW w:type="dxa" w:w="2592"/>
          </w:tcPr>
          <w:p>
            <w:pPr>
              <w:jc w:val="center"/>
            </w:pPr>
            <w:r/>
            <w:r>
              <w:rPr>
                <w:b w:val="0"/>
                <w:sz w:val="19"/>
              </w:rPr>
              <w:t>29 May 2026</w:t>
            </w:r>
          </w:p>
        </w:tc>
        <w:tc>
          <w:tcPr>
            <w:tcW w:type="dxa" w:w="2016"/>
          </w:tcPr>
          <w:p>
            <w:pPr>
              <w:jc w:val="center"/>
            </w:pPr>
            <w:r/>
            <w:r>
              <w:rPr>
                <w:b w:val="0"/>
                <w:sz w:val="19"/>
              </w:rPr>
              <w:t>Friday</w:t>
            </w:r>
          </w:p>
        </w:tc>
      </w:tr>
      <w:tr>
        <w:tc>
          <w:tcPr>
            <w:tcW w:type="dxa" w:w="3456"/>
          </w:tcPr>
          <w:p>
            <w:pPr>
              <w:jc w:val="left"/>
            </w:pPr>
            <w:r/>
            <w:r>
              <w:rPr>
                <w:b w:val="0"/>
                <w:sz w:val="19"/>
              </w:rPr>
              <w:t>Shiraz / Hasratyan</w:t>
            </w:r>
          </w:p>
        </w:tc>
        <w:tc>
          <w:tcPr>
            <w:tcW w:type="dxa" w:w="2592"/>
          </w:tcPr>
          <w:p>
            <w:pPr>
              <w:jc w:val="center"/>
            </w:pPr>
            <w:r/>
            <w:r>
              <w:rPr>
                <w:b w:val="0"/>
                <w:sz w:val="19"/>
              </w:rPr>
              <w:t>1 June 2026</w:t>
            </w:r>
          </w:p>
        </w:tc>
        <w:tc>
          <w:tcPr>
            <w:tcW w:type="dxa" w:w="2016"/>
          </w:tcPr>
          <w:p>
            <w:pPr>
              <w:jc w:val="center"/>
            </w:pPr>
            <w:r/>
            <w:r>
              <w:rPr>
                <w:b w:val="0"/>
                <w:sz w:val="19"/>
              </w:rPr>
              <w:t>Monday</w:t>
            </w:r>
          </w:p>
        </w:tc>
      </w:tr>
      <w:tr>
        <w:tc>
          <w:tcPr>
            <w:tcW w:type="dxa" w:w="3456"/>
          </w:tcPr>
          <w:p>
            <w:pPr>
              <w:jc w:val="left"/>
            </w:pPr>
            <w:r/>
            <w:r>
              <w:rPr>
                <w:b w:val="0"/>
                <w:sz w:val="19"/>
              </w:rPr>
              <w:t>Garegin Nzhdeh</w:t>
            </w:r>
          </w:p>
        </w:tc>
        <w:tc>
          <w:tcPr>
            <w:tcW w:type="dxa" w:w="2592"/>
          </w:tcPr>
          <w:p>
            <w:pPr>
              <w:jc w:val="center"/>
            </w:pPr>
            <w:r/>
            <w:r>
              <w:rPr>
                <w:b w:val="0"/>
                <w:sz w:val="19"/>
              </w:rPr>
              <w:t>2 June 2026</w:t>
            </w:r>
          </w:p>
        </w:tc>
        <w:tc>
          <w:tcPr>
            <w:tcW w:type="dxa" w:w="2016"/>
          </w:tcPr>
          <w:p>
            <w:pPr>
              <w:jc w:val="center"/>
            </w:pPr>
            <w:r/>
            <w:r>
              <w:rPr>
                <w:b w:val="0"/>
                <w:sz w:val="19"/>
              </w:rPr>
              <w:t>Tuesday</w:t>
            </w:r>
          </w:p>
        </w:tc>
      </w:tr>
      <w:tr>
        <w:tc>
          <w:tcPr>
            <w:tcW w:type="dxa" w:w="3456"/>
          </w:tcPr>
          <w:p>
            <w:pPr>
              <w:jc w:val="left"/>
            </w:pPr>
            <w:r/>
            <w:r>
              <w:rPr>
                <w:b w:val="0"/>
                <w:sz w:val="19"/>
              </w:rPr>
              <w:t>Gai Avenue (Mega Mall)</w:t>
            </w:r>
          </w:p>
        </w:tc>
        <w:tc>
          <w:tcPr>
            <w:tcW w:type="dxa" w:w="2592"/>
          </w:tcPr>
          <w:p>
            <w:pPr>
              <w:jc w:val="center"/>
            </w:pPr>
            <w:r/>
            <w:r>
              <w:rPr>
                <w:b w:val="0"/>
                <w:sz w:val="19"/>
              </w:rPr>
              <w:t>2 June 2026</w:t>
            </w:r>
          </w:p>
        </w:tc>
        <w:tc>
          <w:tcPr>
            <w:tcW w:type="dxa" w:w="2016"/>
          </w:tcPr>
          <w:p>
            <w:pPr>
              <w:jc w:val="center"/>
            </w:pPr>
            <w:r/>
            <w:r>
              <w:rPr>
                <w:b w:val="0"/>
                <w:sz w:val="19"/>
              </w:rPr>
              <w:t>Tuesday</w:t>
            </w:r>
          </w:p>
        </w:tc>
      </w:tr>
      <w:tr>
        <w:tc>
          <w:tcPr>
            <w:tcW w:type="dxa" w:w="3456"/>
          </w:tcPr>
          <w:p>
            <w:pPr>
              <w:jc w:val="left"/>
            </w:pPr>
            <w:r/>
            <w:r>
              <w:rPr>
                <w:b w:val="0"/>
                <w:sz w:val="19"/>
              </w:rPr>
              <w:t>Kentron</w:t>
            </w:r>
          </w:p>
        </w:tc>
        <w:tc>
          <w:tcPr>
            <w:tcW w:type="dxa" w:w="2592"/>
          </w:tcPr>
          <w:p>
            <w:pPr>
              <w:jc w:val="center"/>
            </w:pPr>
            <w:r/>
            <w:r>
              <w:rPr>
                <w:b w:val="0"/>
                <w:sz w:val="19"/>
              </w:rPr>
              <w:t>3 June 2026</w:t>
            </w:r>
          </w:p>
        </w:tc>
        <w:tc>
          <w:tcPr>
            <w:tcW w:type="dxa" w:w="2016"/>
          </w:tcPr>
          <w:p>
            <w:pPr>
              <w:jc w:val="center"/>
            </w:pPr>
            <w:r/>
            <w:r>
              <w:rPr>
                <w:b w:val="0"/>
                <w:sz w:val="19"/>
              </w:rPr>
              <w:t>Wednesday</w:t>
            </w:r>
          </w:p>
        </w:tc>
      </w:tr>
      <w:tr>
        <w:tc>
          <w:tcPr>
            <w:tcW w:type="dxa" w:w="3456"/>
          </w:tcPr>
          <w:p>
            <w:pPr>
              <w:jc w:val="left"/>
            </w:pPr>
            <w:r/>
            <w:r>
              <w:rPr>
                <w:b w:val="0"/>
                <w:sz w:val="19"/>
              </w:rPr>
              <w:t>Malatia-Sebastia</w:t>
            </w:r>
          </w:p>
        </w:tc>
        <w:tc>
          <w:tcPr>
            <w:tcW w:type="dxa" w:w="2592"/>
          </w:tcPr>
          <w:p>
            <w:pPr>
              <w:jc w:val="center"/>
            </w:pPr>
            <w:r/>
            <w:r>
              <w:rPr>
                <w:b w:val="0"/>
                <w:sz w:val="19"/>
              </w:rPr>
              <w:t>3 June 2026</w:t>
            </w:r>
          </w:p>
        </w:tc>
        <w:tc>
          <w:tcPr>
            <w:tcW w:type="dxa" w:w="2016"/>
          </w:tcPr>
          <w:p>
            <w:pPr>
              <w:jc w:val="center"/>
            </w:pPr>
            <w:r/>
            <w:r>
              <w:rPr>
                <w:b w:val="0"/>
                <w:sz w:val="19"/>
              </w:rPr>
              <w:t>Wednesday</w:t>
            </w:r>
          </w:p>
        </w:tc>
      </w:tr>
    </w:tbl>
    <w:p>
      <w:pPr>
        <w:spacing w:after="80"/>
      </w:pPr>
      <w:r>
        <w:rPr>
          <w:b/>
          <w:i w:val="0"/>
          <w:color w:val="555555"/>
          <w:sz w:val="20"/>
        </w:rPr>
        <w:t xml:space="preserve">Two design features reinforce this. </w:t>
      </w:r>
      <w:r>
        <w:rPr>
          <w:b w:val="0"/>
          <w:i w:val="0"/>
          <w:color w:val="555555"/>
          <w:sz w:val="20"/>
        </w:rPr>
        <w:t>First, the areas were surveyed on five different days, so a one-off event would surface as a single-area outlier — instead the behavioural signatures (short-stay dominance, high turnover, a midday demand peak) repeat across all six, which is what rules out day-specific contamination. Second, no weekend or holiday is in the set, so the figures describe typical working-day demand — the condition the corridor must be designed for.</w:t>
      </w:r>
    </w:p>
    <w:p>
      <w:pPr>
        <w:spacing w:after="80"/>
      </w:pPr>
      <w:r>
        <w:rPr>
          <w:b/>
          <w:i w:val="0"/>
          <w:color w:val="006D77"/>
          <w:sz w:val="20"/>
        </w:rPr>
        <w:t xml:space="preserve">Recommended final desk-check. </w:t>
      </w:r>
      <w:r>
        <w:rPr>
          <w:b w:val="0"/>
          <w:i w:val="0"/>
          <w:color w:val="555555"/>
          <w:sz w:val="20"/>
        </w:rPr>
        <w:t>Day-of-week and the cross-day consistency are confirmed here; a final cross-reference of each date against the municipal events/holiday calendar should be appended to the methodology for completeness before publication.</w:t>
      </w:r>
    </w:p>
    <w:p>
      <w:pPr>
        <w:spacing w:after="40"/>
      </w:pPr>
      <w:r>
        <w:rPr>
          <w:b/>
          <w:i w:val="0"/>
          <w:sz w:val="22"/>
        </w:rPr>
        <w:t xml:space="preserve">What the test returned — the sensitivity map needs recalibration. </w:t>
      </w:r>
      <w:r>
        <w:rPr>
          <w:b w:val="0"/>
          <w:i w:val="0"/>
          <w:sz w:val="22"/>
        </w:rPr>
        <w:t>Because the days were normal, the divergences below are real behaviour, not artefacts, and they override the a-priori labels:</w:t>
      </w:r>
    </w:p>
    <w:p>
      <w:pPr>
        <w:pStyle w:val="ListBullet"/>
      </w:pPr>
      <w:r>
        <w:rPr>
          <w:b/>
        </w:rPr>
        <w:t xml:space="preserve">Komitas — assigned Medium, behaves High. </w:t>
      </w:r>
      <w:r>
        <w:rPr>
          <w:b w:val="0"/>
        </w:rPr>
        <w:t>123% peak occupancy, 0% on-street absorption of displaced demand — the Medium package will not fit; treat as High.</w:t>
      </w:r>
    </w:p>
    <w:p>
      <w:pPr>
        <w:pStyle w:val="ListBullet"/>
      </w:pPr>
      <w:r>
        <w:rPr>
          <w:b/>
        </w:rPr>
        <w:t xml:space="preserve">Shiraz / Hasratyan — behaves Lower. </w:t>
      </w:r>
      <w:r>
        <w:rPr>
          <w:b w:val="0"/>
        </w:rPr>
        <w:t>75% peak, 69% on-street absorption — genuine headroom; the light-touch package is appropriate.</w:t>
      </w:r>
    </w:p>
    <w:p>
      <w:pPr>
        <w:pStyle w:val="ListBullet"/>
      </w:pPr>
      <w:r>
        <w:rPr>
          <w:b/>
        </w:rPr>
        <w:t xml:space="preserve">Kentron — confirmed High, but for a specific reason. </w:t>
      </w:r>
      <w:r>
        <w:rPr>
          <w:b w:val="0"/>
        </w:rPr>
        <w:t>138% peak with only 14% on-street absorption: the pressure is real, yet the curb cannot relieve it — which is why the High package must be off-street-led (M7), not curb-led.</w:t>
      </w:r>
    </w:p>
    <w:p>
      <w:pPr>
        <w:spacing w:after="40"/>
      </w:pPr>
      <w:r>
        <w:rPr>
          <w:b w:val="0"/>
          <w:i w:val="0"/>
          <w:color w:val="555555"/>
          <w:sz w:val="20"/>
        </w:rPr>
        <w:t>In short, the survey does not just produce numbers; it closes the loop on the qualitative zoning that started the project — confirming it where it was right (Kentron, the lower-pressure west) and correcting it where expert judgement and measured behaviour part company (Komitas, Gai).</w:t>
      </w:r>
    </w:p>
    <w:p>
      <w:pPr>
        <w:spacing w:before="240"/>
      </w:pPr>
      <w:r>
        <w:rPr>
          <w:b/>
          <w:color w:val="142A4A"/>
          <w:sz w:val="30"/>
        </w:rPr>
        <w:t>3.  Inventory of current measures</w:t>
      </w:r>
    </w:p>
    <w:p>
      <w:pPr>
        <w:spacing w:after="80"/>
      </w:pPr>
      <w:r>
        <w:rPr>
          <w:b w:val="0"/>
          <w:i w:val="0"/>
          <w:color w:val="555555"/>
          <w:sz w:val="20"/>
        </w:rPr>
        <w:t>Output 8 sets up the displacement frame (supply inventory, absorptive-capacity pools, sensitivity zones). The measures themselves live in Output 10.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val="clear" w:fill="142A4A"/>
          </w:tcPr>
          <w:p>
            <w:pPr>
              <w:jc w:val="left"/>
            </w:pPr>
            <w:r/>
            <w:r>
              <w:rPr>
                <w:b/>
                <w:color w:val="FFFFFF"/>
                <w:sz w:val="19"/>
              </w:rPr>
              <w:t>#</w:t>
            </w:r>
          </w:p>
        </w:tc>
        <w:tc>
          <w:tcPr>
            <w:tcW w:type="dxa" w:w="3312"/>
            <w:shd w:val="clear" w:fill="142A4A"/>
          </w:tcPr>
          <w:p>
            <w:pPr>
              <w:jc w:val="center"/>
            </w:pPr>
            <w:r/>
            <w:r>
              <w:rPr>
                <w:b/>
                <w:color w:val="FFFFFF"/>
                <w:sz w:val="19"/>
              </w:rPr>
              <w:t>Measure</w:t>
            </w:r>
          </w:p>
        </w:tc>
        <w:tc>
          <w:tcPr>
            <w:tcW w:type="dxa" w:w="3744"/>
            <w:shd w:val="clear" w:fill="142A4A"/>
          </w:tcPr>
          <w:p>
            <w:pPr>
              <w:jc w:val="center"/>
            </w:pPr>
            <w:r/>
            <w:r>
              <w:rPr>
                <w:b/>
                <w:color w:val="FFFFFF"/>
                <w:sz w:val="19"/>
              </w:rPr>
              <w:t>Stated purpose</w:t>
            </w:r>
          </w:p>
        </w:tc>
        <w:tc>
          <w:tcPr>
            <w:tcW w:type="dxa" w:w="1440"/>
            <w:shd w:val="clear" w:fill="142A4A"/>
          </w:tcPr>
          <w:p>
            <w:pPr>
              <w:jc w:val="center"/>
            </w:pPr>
            <w:r/>
            <w:r>
              <w:rPr>
                <w:b/>
                <w:color w:val="FFFFFF"/>
                <w:sz w:val="19"/>
              </w:rPr>
              <w:t>Zone(s)</w:t>
            </w:r>
          </w:p>
        </w:tc>
      </w:tr>
      <w:tr>
        <w:tc>
          <w:tcPr>
            <w:tcW w:type="dxa" w:w="576"/>
          </w:tcPr>
          <w:p>
            <w:pPr>
              <w:jc w:val="left"/>
            </w:pPr>
            <w:r/>
            <w:r>
              <w:rPr>
                <w:b w:val="0"/>
                <w:sz w:val="19"/>
              </w:rPr>
              <w:t>M0</w:t>
            </w:r>
          </w:p>
        </w:tc>
        <w:tc>
          <w:tcPr>
            <w:tcW w:type="dxa" w:w="3312"/>
          </w:tcPr>
          <w:p>
            <w:pPr>
              <w:jc w:val="center"/>
            </w:pPr>
            <w:r/>
            <w:r>
              <w:rPr>
                <w:b/>
                <w:sz w:val="19"/>
              </w:rPr>
              <w:t>The corridor itself</w:t>
            </w:r>
            <w:r>
              <w:rPr>
                <w:b w:val="0"/>
                <w:sz w:val="19"/>
              </w:rPr>
              <w:t xml:space="preserve"> (modal shift via BRT)</w:t>
            </w:r>
          </w:p>
        </w:tc>
        <w:tc>
          <w:tcPr>
            <w:tcW w:type="dxa" w:w="3744"/>
          </w:tcPr>
          <w:p>
            <w:pPr>
              <w:jc w:val="center"/>
            </w:pPr>
            <w:r/>
            <w:r>
              <w:rPr>
                <w:b w:val="0"/>
                <w:sz w:val="19"/>
              </w:rPr>
              <w:t>Primary mitigation</w:t>
            </w:r>
          </w:p>
        </w:tc>
        <w:tc>
          <w:tcPr>
            <w:tcW w:type="dxa" w:w="1440"/>
          </w:tcPr>
          <w:p>
            <w:pPr>
              <w:jc w:val="center"/>
            </w:pPr>
            <w:r/>
            <w:r>
              <w:rPr>
                <w:b w:val="0"/>
                <w:sz w:val="19"/>
              </w:rPr>
              <w:t>All</w:t>
            </w:r>
          </w:p>
        </w:tc>
      </w:tr>
      <w:tr>
        <w:tc>
          <w:tcPr>
            <w:tcW w:type="dxa" w:w="576"/>
          </w:tcPr>
          <w:p>
            <w:pPr>
              <w:jc w:val="left"/>
            </w:pPr>
            <w:r/>
            <w:r>
              <w:rPr>
                <w:b w:val="0"/>
                <w:sz w:val="19"/>
              </w:rPr>
              <w:t>M1</w:t>
            </w:r>
          </w:p>
        </w:tc>
        <w:tc>
          <w:tcPr>
            <w:tcW w:type="dxa" w:w="3312"/>
          </w:tcPr>
          <w:p>
            <w:pPr>
              <w:jc w:val="center"/>
            </w:pPr>
            <w:r/>
            <w:r>
              <w:rPr>
                <w:b/>
                <w:sz w:val="19"/>
              </w:rPr>
              <w:t>Extend paid zones</w:t>
            </w:r>
            <w:r>
              <w:rPr>
                <w:b w:val="0"/>
                <w:sz w:val="19"/>
              </w:rPr>
              <w:t xml:space="preserve"> (red/blue ≤100 m)</w:t>
            </w:r>
          </w:p>
        </w:tc>
        <w:tc>
          <w:tcPr>
            <w:tcW w:type="dxa" w:w="3744"/>
          </w:tcPr>
          <w:p>
            <w:pPr>
              <w:jc w:val="center"/>
            </w:pPr>
            <w:r/>
            <w:r>
              <w:rPr>
                <w:b w:val="0"/>
                <w:sz w:val="19"/>
              </w:rPr>
              <w:t>Absorb spillover; manage demand</w:t>
            </w:r>
          </w:p>
        </w:tc>
        <w:tc>
          <w:tcPr>
            <w:tcW w:type="dxa" w:w="1440"/>
          </w:tcPr>
          <w:p>
            <w:pPr>
              <w:jc w:val="center"/>
            </w:pPr>
            <w:r/>
            <w:r>
              <w:rPr>
                <w:b w:val="0"/>
                <w:sz w:val="19"/>
              </w:rPr>
              <w:t>High + Med</w:t>
            </w:r>
          </w:p>
        </w:tc>
      </w:tr>
      <w:tr>
        <w:tc>
          <w:tcPr>
            <w:tcW w:type="dxa" w:w="576"/>
          </w:tcPr>
          <w:p>
            <w:pPr>
              <w:jc w:val="left"/>
            </w:pPr>
            <w:r/>
            <w:r>
              <w:rPr>
                <w:b w:val="0"/>
                <w:sz w:val="19"/>
              </w:rPr>
              <w:t>M2</w:t>
            </w:r>
          </w:p>
        </w:tc>
        <w:tc>
          <w:tcPr>
            <w:tcW w:type="dxa" w:w="3312"/>
          </w:tcPr>
          <w:p>
            <w:pPr>
              <w:jc w:val="center"/>
            </w:pPr>
            <w:r/>
            <w:r>
              <w:rPr>
                <w:b/>
                <w:sz w:val="19"/>
              </w:rPr>
              <w:t>Delivery / loading bays</w:t>
            </w:r>
          </w:p>
        </w:tc>
        <w:tc>
          <w:tcPr>
            <w:tcW w:type="dxa" w:w="3744"/>
          </w:tcPr>
          <w:p>
            <w:pPr>
              <w:jc w:val="center"/>
            </w:pPr>
            <w:r/>
            <w:r>
              <w:rPr>
                <w:b w:val="0"/>
                <w:sz w:val="19"/>
              </w:rPr>
              <w:t>Protect commercial servicing</w:t>
            </w:r>
          </w:p>
        </w:tc>
        <w:tc>
          <w:tcPr>
            <w:tcW w:type="dxa" w:w="1440"/>
          </w:tcPr>
          <w:p>
            <w:pPr>
              <w:jc w:val="center"/>
            </w:pPr>
            <w:r/>
            <w:r>
              <w:rPr>
                <w:b w:val="0"/>
                <w:sz w:val="19"/>
              </w:rPr>
              <w:t>High + Med</w:t>
            </w:r>
          </w:p>
        </w:tc>
      </w:tr>
      <w:tr>
        <w:tc>
          <w:tcPr>
            <w:tcW w:type="dxa" w:w="576"/>
          </w:tcPr>
          <w:p>
            <w:pPr>
              <w:jc w:val="left"/>
            </w:pPr>
            <w:r/>
            <w:r>
              <w:rPr>
                <w:b w:val="0"/>
                <w:sz w:val="19"/>
              </w:rPr>
              <w:t>M3</w:t>
            </w:r>
          </w:p>
        </w:tc>
        <w:tc>
          <w:tcPr>
            <w:tcW w:type="dxa" w:w="3312"/>
          </w:tcPr>
          <w:p>
            <w:pPr>
              <w:jc w:val="center"/>
            </w:pPr>
            <w:r/>
            <w:r>
              <w:rPr>
                <w:b/>
                <w:sz w:val="19"/>
              </w:rPr>
              <w:t>Visitor caps</w:t>
            </w:r>
            <w:r>
              <w:rPr>
                <w:b w:val="0"/>
                <w:sz w:val="19"/>
              </w:rPr>
              <w:t xml:space="preserve"> (max-stay)</w:t>
            </w:r>
          </w:p>
        </w:tc>
        <w:tc>
          <w:tcPr>
            <w:tcW w:type="dxa" w:w="3744"/>
          </w:tcPr>
          <w:p>
            <w:pPr>
              <w:jc w:val="center"/>
            </w:pPr>
            <w:r/>
            <w:r>
              <w:rPr>
                <w:b w:val="0"/>
                <w:sz w:val="19"/>
              </w:rPr>
              <w:t>Increase turnover</w:t>
            </w:r>
          </w:p>
        </w:tc>
        <w:tc>
          <w:tcPr>
            <w:tcW w:type="dxa" w:w="1440"/>
          </w:tcPr>
          <w:p>
            <w:pPr>
              <w:jc w:val="center"/>
            </w:pPr>
            <w:r/>
            <w:r>
              <w:rPr>
                <w:b w:val="0"/>
                <w:sz w:val="19"/>
              </w:rPr>
              <w:t>High</w:t>
            </w:r>
          </w:p>
        </w:tc>
      </w:tr>
      <w:tr>
        <w:tc>
          <w:tcPr>
            <w:tcW w:type="dxa" w:w="576"/>
          </w:tcPr>
          <w:p>
            <w:pPr>
              <w:jc w:val="left"/>
            </w:pPr>
            <w:r/>
            <w:r>
              <w:rPr>
                <w:b w:val="0"/>
                <w:sz w:val="19"/>
              </w:rPr>
              <w:t>M4</w:t>
            </w:r>
          </w:p>
        </w:tc>
        <w:tc>
          <w:tcPr>
            <w:tcW w:type="dxa" w:w="3312"/>
          </w:tcPr>
          <w:p>
            <w:pPr>
              <w:jc w:val="center"/>
            </w:pPr>
            <w:r/>
            <w:r>
              <w:rPr>
                <w:b/>
                <w:sz w:val="19"/>
              </w:rPr>
              <w:t>Resident permits</w:t>
            </w:r>
            <w:r>
              <w:rPr>
                <w:b w:val="0"/>
                <w:sz w:val="19"/>
              </w:rPr>
              <w:t xml:space="preserve"> (transitional)</w:t>
            </w:r>
          </w:p>
        </w:tc>
        <w:tc>
          <w:tcPr>
            <w:tcW w:type="dxa" w:w="3744"/>
          </w:tcPr>
          <w:p>
            <w:pPr>
              <w:jc w:val="center"/>
            </w:pPr>
            <w:r/>
            <w:r>
              <w:rPr>
                <w:b w:val="0"/>
                <w:sz w:val="19"/>
              </w:rPr>
              <w:t>Protect residents from spillover cost</w:t>
            </w:r>
          </w:p>
        </w:tc>
        <w:tc>
          <w:tcPr>
            <w:tcW w:type="dxa" w:w="1440"/>
          </w:tcPr>
          <w:p>
            <w:pPr>
              <w:jc w:val="center"/>
            </w:pPr>
            <w:r/>
            <w:r>
              <w:rPr>
                <w:b w:val="0"/>
                <w:sz w:val="19"/>
              </w:rPr>
              <w:t>High</w:t>
            </w:r>
          </w:p>
        </w:tc>
      </w:tr>
      <w:tr>
        <w:tc>
          <w:tcPr>
            <w:tcW w:type="dxa" w:w="576"/>
          </w:tcPr>
          <w:p>
            <w:pPr>
              <w:jc w:val="left"/>
            </w:pPr>
            <w:r/>
            <w:r>
              <w:rPr>
                <w:b w:val="0"/>
                <w:sz w:val="19"/>
              </w:rPr>
              <w:t>M5</w:t>
            </w:r>
          </w:p>
        </w:tc>
        <w:tc>
          <w:tcPr>
            <w:tcW w:type="dxa" w:w="3312"/>
          </w:tcPr>
          <w:p>
            <w:pPr>
              <w:jc w:val="center"/>
            </w:pPr>
            <w:r/>
            <w:r>
              <w:rPr>
                <w:b/>
                <w:sz w:val="19"/>
              </w:rPr>
              <w:t>Organise free parking</w:t>
            </w:r>
            <w:r>
              <w:rPr>
                <w:b w:val="0"/>
                <w:sz w:val="19"/>
              </w:rPr>
              <w:t xml:space="preserve"> (no pricing)</w:t>
            </w:r>
          </w:p>
        </w:tc>
        <w:tc>
          <w:tcPr>
            <w:tcW w:type="dxa" w:w="3744"/>
          </w:tcPr>
          <w:p>
            <w:pPr>
              <w:jc w:val="center"/>
            </w:pPr>
            <w:r/>
            <w:r>
              <w:rPr>
                <w:b w:val="0"/>
                <w:sz w:val="19"/>
              </w:rPr>
              <w:t>Structure chaotic free supply</w:t>
            </w:r>
          </w:p>
        </w:tc>
        <w:tc>
          <w:tcPr>
            <w:tcW w:type="dxa" w:w="1440"/>
          </w:tcPr>
          <w:p>
            <w:pPr>
              <w:jc w:val="center"/>
            </w:pPr>
            <w:r/>
            <w:r>
              <w:rPr>
                <w:b w:val="0"/>
                <w:sz w:val="19"/>
              </w:rPr>
              <w:t>Lower</w:t>
            </w:r>
          </w:p>
        </w:tc>
      </w:tr>
      <w:tr>
        <w:tc>
          <w:tcPr>
            <w:tcW w:type="dxa" w:w="576"/>
          </w:tcPr>
          <w:p>
            <w:pPr>
              <w:jc w:val="left"/>
            </w:pPr>
            <w:r/>
            <w:r>
              <w:rPr>
                <w:b w:val="0"/>
                <w:sz w:val="19"/>
              </w:rPr>
              <w:t>M6</w:t>
            </w:r>
          </w:p>
        </w:tc>
        <w:tc>
          <w:tcPr>
            <w:tcW w:type="dxa" w:w="3312"/>
          </w:tcPr>
          <w:p>
            <w:pPr>
              <w:jc w:val="center"/>
            </w:pPr>
            <w:r/>
            <w:r>
              <w:rPr>
                <w:b/>
                <w:sz w:val="19"/>
              </w:rPr>
              <w:t>Park &amp; ride</w:t>
            </w:r>
          </w:p>
        </w:tc>
        <w:tc>
          <w:tcPr>
            <w:tcW w:type="dxa" w:w="3744"/>
          </w:tcPr>
          <w:p>
            <w:pPr>
              <w:jc w:val="center"/>
            </w:pPr>
            <w:r/>
            <w:r>
              <w:rPr>
                <w:b w:val="0"/>
                <w:sz w:val="19"/>
              </w:rPr>
              <w:t>Intercept inbound commuters</w:t>
            </w:r>
          </w:p>
        </w:tc>
        <w:tc>
          <w:tcPr>
            <w:tcW w:type="dxa" w:w="1440"/>
          </w:tcPr>
          <w:p>
            <w:pPr>
              <w:jc w:val="center"/>
            </w:pPr>
            <w:r/>
            <w:r>
              <w:rPr>
                <w:b w:val="0"/>
                <w:sz w:val="19"/>
              </w:rPr>
              <w:t>Med + Lower</w:t>
            </w:r>
          </w:p>
        </w:tc>
      </w:tr>
      <w:tr>
        <w:tc>
          <w:tcPr>
            <w:tcW w:type="dxa" w:w="576"/>
          </w:tcPr>
          <w:p>
            <w:pPr>
              <w:jc w:val="left"/>
            </w:pPr>
            <w:r/>
            <w:r>
              <w:rPr>
                <w:b w:val="0"/>
                <w:sz w:val="19"/>
              </w:rPr>
              <w:t>M7</w:t>
            </w:r>
          </w:p>
        </w:tc>
        <w:tc>
          <w:tcPr>
            <w:tcW w:type="dxa" w:w="3312"/>
          </w:tcPr>
          <w:p>
            <w:pPr>
              <w:jc w:val="center"/>
            </w:pPr>
            <w:r/>
            <w:r>
              <w:rPr>
                <w:b/>
                <w:sz w:val="19"/>
              </w:rPr>
              <w:t>Open residential yards</w:t>
            </w:r>
          </w:p>
        </w:tc>
        <w:tc>
          <w:tcPr>
            <w:tcW w:type="dxa" w:w="3744"/>
          </w:tcPr>
          <w:p>
            <w:pPr>
              <w:jc w:val="center"/>
            </w:pPr>
            <w:r/>
            <w:r>
              <w:rPr>
                <w:b w:val="0"/>
                <w:sz w:val="19"/>
              </w:rPr>
              <w:t>Create off-street supply</w:t>
            </w:r>
          </w:p>
        </w:tc>
        <w:tc>
          <w:tcPr>
            <w:tcW w:type="dxa" w:w="1440"/>
          </w:tcPr>
          <w:p>
            <w:pPr>
              <w:jc w:val="center"/>
            </w:pPr>
            <w:r/>
            <w:r>
              <w:rPr>
                <w:b w:val="0"/>
                <w:sz w:val="19"/>
              </w:rPr>
              <w:t>Lower</w:t>
            </w:r>
          </w:p>
        </w:tc>
      </w:tr>
      <w:tr>
        <w:tc>
          <w:tcPr>
            <w:tcW w:type="dxa" w:w="576"/>
          </w:tcPr>
          <w:p>
            <w:pPr>
              <w:jc w:val="left"/>
            </w:pPr>
            <w:r/>
            <w:r>
              <w:rPr>
                <w:b w:val="0"/>
                <w:sz w:val="19"/>
              </w:rPr>
              <w:t>M8</w:t>
            </w:r>
          </w:p>
        </w:tc>
        <w:tc>
          <w:tcPr>
            <w:tcW w:type="dxa" w:w="3312"/>
          </w:tcPr>
          <w:p>
            <w:pPr>
              <w:jc w:val="center"/>
            </w:pPr>
            <w:r/>
            <w:r>
              <w:rPr>
                <w:b/>
                <w:sz w:val="19"/>
              </w:rPr>
              <w:t>ANPR enforcement</w:t>
            </w:r>
            <w:r>
              <w:rPr>
                <w:b w:val="0"/>
                <w:sz w:val="19"/>
              </w:rPr>
              <w:t xml:space="preserve"> extension</w:t>
            </w:r>
          </w:p>
        </w:tc>
        <w:tc>
          <w:tcPr>
            <w:tcW w:type="dxa" w:w="3744"/>
          </w:tcPr>
          <w:p>
            <w:pPr>
              <w:jc w:val="center"/>
            </w:pPr>
            <w:r/>
            <w:r>
              <w:rPr>
                <w:b w:val="0"/>
                <w:sz w:val="19"/>
              </w:rPr>
              <w:t>Enabling</w:t>
            </w:r>
          </w:p>
        </w:tc>
        <w:tc>
          <w:tcPr>
            <w:tcW w:type="dxa" w:w="1440"/>
          </w:tcPr>
          <w:p>
            <w:pPr>
              <w:jc w:val="center"/>
            </w:pPr>
            <w:r/>
            <w:r>
              <w:rPr>
                <w:b w:val="0"/>
                <w:sz w:val="19"/>
              </w:rPr>
              <w:t>Cross-cutting</w:t>
            </w:r>
          </w:p>
        </w:tc>
      </w:tr>
      <w:tr>
        <w:tc>
          <w:tcPr>
            <w:tcW w:type="dxa" w:w="576"/>
          </w:tcPr>
          <w:p>
            <w:pPr>
              <w:jc w:val="left"/>
            </w:pPr>
            <w:r/>
            <w:r>
              <w:rPr>
                <w:b w:val="0"/>
                <w:sz w:val="19"/>
              </w:rPr>
              <w:t>M9</w:t>
            </w:r>
          </w:p>
        </w:tc>
        <w:tc>
          <w:tcPr>
            <w:tcW w:type="dxa" w:w="3312"/>
          </w:tcPr>
          <w:p>
            <w:pPr>
              <w:jc w:val="center"/>
            </w:pPr>
            <w:r/>
            <w:r>
              <w:rPr>
                <w:b/>
                <w:sz w:val="19"/>
              </w:rPr>
              <w:t>Duration-based fines</w:t>
            </w:r>
          </w:p>
        </w:tc>
        <w:tc>
          <w:tcPr>
            <w:tcW w:type="dxa" w:w="3744"/>
          </w:tcPr>
          <w:p>
            <w:pPr>
              <w:jc w:val="center"/>
            </w:pPr>
            <w:r/>
            <w:r>
              <w:rPr>
                <w:b w:val="0"/>
                <w:sz w:val="19"/>
              </w:rPr>
              <w:t>Deter long storage</w:t>
            </w:r>
          </w:p>
        </w:tc>
        <w:tc>
          <w:tcPr>
            <w:tcW w:type="dxa" w:w="1440"/>
          </w:tcPr>
          <w:p>
            <w:pPr>
              <w:jc w:val="center"/>
            </w:pPr>
            <w:r/>
            <w:r>
              <w:rPr>
                <w:b w:val="0"/>
                <w:sz w:val="19"/>
              </w:rPr>
              <w:t>Cross-cutting</w:t>
            </w:r>
          </w:p>
        </w:tc>
      </w:tr>
      <w:tr>
        <w:tc>
          <w:tcPr>
            <w:tcW w:type="dxa" w:w="576"/>
          </w:tcPr>
          <w:p>
            <w:pPr>
              <w:jc w:val="left"/>
            </w:pPr>
            <w:r/>
            <w:r>
              <w:rPr>
                <w:b w:val="0"/>
                <w:sz w:val="19"/>
              </w:rPr>
              <w:t>M10</w:t>
            </w:r>
          </w:p>
        </w:tc>
        <w:tc>
          <w:tcPr>
            <w:tcW w:type="dxa" w:w="3312"/>
          </w:tcPr>
          <w:p>
            <w:pPr>
              <w:jc w:val="center"/>
            </w:pPr>
            <w:r/>
            <w:r>
              <w:rPr>
                <w:b/>
                <w:sz w:val="19"/>
              </w:rPr>
              <w:t>Revenue earmarking</w:t>
            </w:r>
          </w:p>
        </w:tc>
        <w:tc>
          <w:tcPr>
            <w:tcW w:type="dxa" w:w="3744"/>
          </w:tcPr>
          <w:p>
            <w:pPr>
              <w:jc w:val="center"/>
            </w:pPr>
            <w:r/>
            <w:r>
              <w:rPr>
                <w:b w:val="0"/>
                <w:sz w:val="19"/>
              </w:rPr>
              <w:t>Public legitimacy</w:t>
            </w:r>
          </w:p>
        </w:tc>
        <w:tc>
          <w:tcPr>
            <w:tcW w:type="dxa" w:w="1440"/>
          </w:tcPr>
          <w:p>
            <w:pPr>
              <w:jc w:val="center"/>
            </w:pPr>
            <w:r/>
            <w:r>
              <w:rPr>
                <w:b w:val="0"/>
                <w:sz w:val="19"/>
              </w:rPr>
              <w:t>Cross-cutting</w:t>
            </w:r>
          </w:p>
        </w:tc>
      </w:tr>
      <w:tr>
        <w:tc>
          <w:tcPr>
            <w:tcW w:type="dxa" w:w="576"/>
          </w:tcPr>
          <w:p>
            <w:pPr>
              <w:jc w:val="left"/>
            </w:pPr>
            <w:r/>
            <w:r>
              <w:rPr>
                <w:b w:val="0"/>
                <w:sz w:val="19"/>
              </w:rPr>
              <w:t>M11</w:t>
            </w:r>
          </w:p>
        </w:tc>
        <w:tc>
          <w:tcPr>
            <w:tcW w:type="dxa" w:w="3312"/>
          </w:tcPr>
          <w:p>
            <w:pPr>
              <w:jc w:val="center"/>
            </w:pPr>
            <w:r/>
            <w:r>
              <w:rPr>
                <w:b/>
                <w:sz w:val="19"/>
              </w:rPr>
              <w:t>Phase out flat annual permit</w:t>
            </w:r>
            <w:r>
              <w:rPr>
                <w:b w:val="0"/>
                <w:color w:val="B86B00"/>
                <w:sz w:val="19"/>
              </w:rPr>
              <w:t xml:space="preserve"> (new)</w:t>
            </w:r>
          </w:p>
        </w:tc>
        <w:tc>
          <w:tcPr>
            <w:tcW w:type="dxa" w:w="3744"/>
          </w:tcPr>
          <w:p>
            <w:pPr>
              <w:jc w:val="center"/>
            </w:pPr>
            <w:r/>
            <w:r>
              <w:rPr>
                <w:b w:val="0"/>
                <w:sz w:val="19"/>
              </w:rPr>
              <w:t>Restore turnover — price dwell time</w:t>
            </w:r>
          </w:p>
        </w:tc>
        <w:tc>
          <w:tcPr>
            <w:tcW w:type="dxa" w:w="1440"/>
          </w:tcPr>
          <w:p>
            <w:pPr>
              <w:jc w:val="center"/>
            </w:pPr>
            <w:r/>
            <w:r>
              <w:rPr>
                <w:b w:val="0"/>
                <w:sz w:val="19"/>
              </w:rPr>
              <w:t>Cross-cutting</w:t>
            </w:r>
          </w:p>
        </w:tc>
      </w:tr>
      <w:tr>
        <w:tc>
          <w:tcPr>
            <w:tcW w:type="dxa" w:w="576"/>
          </w:tcPr>
          <w:p>
            <w:pPr>
              <w:jc w:val="left"/>
            </w:pPr>
            <w:r/>
            <w:r>
              <w:rPr>
                <w:b w:val="0"/>
                <w:sz w:val="19"/>
              </w:rPr>
              <w:t>—</w:t>
            </w:r>
          </w:p>
        </w:tc>
        <w:tc>
          <w:tcPr>
            <w:tcW w:type="dxa" w:w="3312"/>
          </w:tcPr>
          <w:p>
            <w:pPr>
              <w:jc w:val="center"/>
            </w:pPr>
            <w:r/>
            <w:r>
              <w:rPr>
                <w:b/>
                <w:sz w:val="19"/>
              </w:rPr>
              <w:t>Phasing + monitoring</w:t>
            </w:r>
          </w:p>
        </w:tc>
        <w:tc>
          <w:tcPr>
            <w:tcW w:type="dxa" w:w="3744"/>
          </w:tcPr>
          <w:p>
            <w:pPr>
              <w:jc w:val="center"/>
            </w:pPr>
            <w:r/>
            <w:r>
              <w:rPr>
                <w:b w:val="0"/>
                <w:sz w:val="19"/>
              </w:rPr>
              <w:t>Sequencing (before removal)</w:t>
            </w:r>
          </w:p>
        </w:tc>
        <w:tc>
          <w:tcPr>
            <w:tcW w:type="dxa" w:w="1440"/>
          </w:tcPr>
          <w:p>
            <w:pPr>
              <w:jc w:val="center"/>
            </w:pPr>
            <w:r/>
            <w:r>
              <w:rPr>
                <w:b w:val="0"/>
                <w:sz w:val="19"/>
              </w:rPr>
              <w:t>All</w:t>
            </w:r>
          </w:p>
        </w:tc>
      </w:tr>
    </w:tbl>
    <w:p>
      <w:pPr>
        <w:spacing w:before="240"/>
      </w:pPr>
      <w:r>
        <w:rPr>
          <w:b/>
          <w:color w:val="142A4A"/>
          <w:sz w:val="30"/>
        </w:rPr>
        <w:t>4.  Validation against the survey</w:t>
      </w:r>
    </w:p>
    <w:p>
      <w:pPr>
        <w:spacing w:after="80"/>
      </w:pPr>
      <w:r>
        <w:rPr>
          <w:b w:val="0"/>
          <w:i w:val="0"/>
          <w:sz w:val="20"/>
        </w:rPr>
        <w:t xml:space="preserve">Verdicts: </w:t>
      </w:r>
      <w:r>
        <w:rPr>
          <w:b/>
          <w:i w:val="0"/>
          <w:color w:val="2E7D32"/>
          <w:sz w:val="20"/>
        </w:rPr>
        <w:t>✓ confirmed</w:t>
      </w:r>
      <w:r>
        <w:rPr>
          <w:b w:val="0"/>
          <w:i w:val="0"/>
          <w:sz w:val="20"/>
        </w:rPr>
        <w:t xml:space="preserve">  ·  </w:t>
      </w:r>
      <w:r>
        <w:rPr>
          <w:b/>
          <w:i w:val="0"/>
          <w:color w:val="B86B00"/>
          <w:sz w:val="20"/>
        </w:rPr>
        <w:t>◆ re-scope</w:t>
      </w:r>
      <w:r>
        <w:rPr>
          <w:b w:val="0"/>
          <w:i w:val="0"/>
          <w:sz w:val="20"/>
        </w:rPr>
        <w:t xml:space="preserve">  ·  </w:t>
      </w:r>
      <w:r>
        <w:rPr>
          <w:b/>
          <w:i w:val="0"/>
          <w:color w:val="555555"/>
          <w:sz w:val="20"/>
        </w:rPr>
        <w:t>○ cannot test (keep on precaution)</w:t>
      </w:r>
      <w:r>
        <w:rPr>
          <w:b w:val="0"/>
          <w:i w:val="0"/>
          <w:sz w:val="20"/>
        </w:rPr>
        <w:t>.</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142A4A"/>
          </w:tcPr>
          <w:p>
            <w:pPr>
              <w:jc w:val="left"/>
            </w:pPr>
            <w:r/>
            <w:r>
              <w:rPr>
                <w:b/>
                <w:color w:val="FFFFFF"/>
                <w:sz w:val="19"/>
              </w:rPr>
              <w:t>Measure</w:t>
            </w:r>
          </w:p>
        </w:tc>
        <w:tc>
          <w:tcPr>
            <w:tcW w:type="dxa" w:w="2160"/>
            <w:shd w:val="clear" w:fill="142A4A"/>
          </w:tcPr>
          <w:p>
            <w:pPr>
              <w:jc w:val="center"/>
            </w:pPr>
            <w:r/>
            <w:r>
              <w:rPr>
                <w:b/>
                <w:color w:val="FFFFFF"/>
                <w:sz w:val="19"/>
              </w:rPr>
              <w:t>Verdict</w:t>
            </w:r>
          </w:p>
        </w:tc>
        <w:tc>
          <w:tcPr>
            <w:tcW w:type="dxa" w:w="5040"/>
            <w:shd w:val="clear" w:fill="142A4A"/>
          </w:tcPr>
          <w:p>
            <w:pPr>
              <w:jc w:val="center"/>
            </w:pPr>
            <w:r/>
            <w:r>
              <w:rPr>
                <w:b/>
                <w:color w:val="FFFFFF"/>
                <w:sz w:val="19"/>
              </w:rPr>
              <w:t>What the data says</w:t>
            </w:r>
          </w:p>
        </w:tc>
      </w:tr>
      <w:tr>
        <w:tc>
          <w:tcPr>
            <w:tcW w:type="dxa" w:w="2448"/>
          </w:tcPr>
          <w:p>
            <w:pPr>
              <w:jc w:val="left"/>
            </w:pPr>
            <w:r/>
            <w:r>
              <w:rPr>
                <w:b w:val="0"/>
                <w:sz w:val="19"/>
              </w:rPr>
              <w:t>M0 Corridor / modal shift</w:t>
            </w:r>
          </w:p>
        </w:tc>
        <w:tc>
          <w:tcPr>
            <w:tcW w:type="dxa" w:w="2160"/>
          </w:tcPr>
          <w:p>
            <w:pPr>
              <w:jc w:val="center"/>
            </w:pPr>
            <w:r/>
            <w:r>
              <w:rPr>
                <w:b/>
                <w:color w:val="2E7D32"/>
                <w:sz w:val="19"/>
              </w:rPr>
              <w:t>✓ Confirmed</w:t>
            </w:r>
          </w:p>
        </w:tc>
        <w:tc>
          <w:tcPr>
            <w:tcW w:type="dxa" w:w="5040"/>
          </w:tcPr>
          <w:p>
            <w:pPr>
              <w:jc w:val="center"/>
            </w:pPr>
            <w:r/>
            <w:r>
              <w:rPr>
                <w:b w:val="0"/>
                <w:sz w:val="19"/>
              </w:rPr>
              <w:t>Peak displaced demand 908 vs 1,643 removed = 55%. The “displaced &lt; removed” principle is now locally measured (was European precedent only). Avg 43% vs peak 93% → don't replace 1:1.</w:t>
            </w:r>
          </w:p>
        </w:tc>
      </w:tr>
      <w:tr>
        <w:tc>
          <w:tcPr>
            <w:tcW w:type="dxa" w:w="2448"/>
          </w:tcPr>
          <w:p>
            <w:pPr>
              <w:jc w:val="left"/>
            </w:pPr>
            <w:r/>
            <w:r>
              <w:rPr>
                <w:b w:val="0"/>
                <w:sz w:val="19"/>
              </w:rPr>
              <w:t>M1 Extend paid zones</w:t>
            </w:r>
          </w:p>
        </w:tc>
        <w:tc>
          <w:tcPr>
            <w:tcW w:type="dxa" w:w="2160"/>
          </w:tcPr>
          <w:p>
            <w:pPr>
              <w:jc w:val="center"/>
            </w:pPr>
            <w:r/>
            <w:r>
              <w:rPr>
                <w:b/>
                <w:color w:val="B86B00"/>
                <w:sz w:val="19"/>
              </w:rPr>
              <w:t>◆ Re-scope</w:t>
            </w:r>
          </w:p>
        </w:tc>
        <w:tc>
          <w:tcPr>
            <w:tcW w:type="dxa" w:w="5040"/>
          </w:tcPr>
          <w:p>
            <w:pPr>
              <w:jc w:val="center"/>
            </w:pPr>
            <w:r/>
            <w:r>
              <w:rPr>
                <w:b w:val="0"/>
                <w:sz w:val="19"/>
              </w:rPr>
              <w:t>Right lever (90% of kerb unpriced; peaks 93–138%). But its O10 purpose is “absorb on side streets” — and the core has no spare side-street capacity (Kentron 14%, Komitas 0%). In the core it is a demand-rationing tool, not absorption.</w:t>
            </w:r>
          </w:p>
        </w:tc>
      </w:tr>
      <w:tr>
        <w:tc>
          <w:tcPr>
            <w:tcW w:type="dxa" w:w="2448"/>
          </w:tcPr>
          <w:p>
            <w:pPr>
              <w:jc w:val="left"/>
            </w:pPr>
            <w:r/>
            <w:r>
              <w:rPr>
                <w:b w:val="0"/>
                <w:sz w:val="19"/>
              </w:rPr>
              <w:t>M2 Delivery bays</w:t>
            </w:r>
          </w:p>
        </w:tc>
        <w:tc>
          <w:tcPr>
            <w:tcW w:type="dxa" w:w="2160"/>
          </w:tcPr>
          <w:p>
            <w:pPr>
              <w:jc w:val="center"/>
            </w:pPr>
            <w:r/>
            <w:r>
              <w:rPr>
                <w:b/>
                <w:color w:val="2E7D32"/>
                <w:sz w:val="19"/>
              </w:rPr>
              <w:t>✓ (inferred)</w:t>
            </w:r>
          </w:p>
        </w:tc>
        <w:tc>
          <w:tcPr>
            <w:tcW w:type="dxa" w:w="5040"/>
          </w:tcPr>
          <w:p>
            <w:pPr>
              <w:jc w:val="center"/>
            </w:pPr>
            <w:r/>
            <w:r>
              <w:rPr>
                <w:b w:val="0"/>
                <w:sz w:val="19"/>
              </w:rPr>
              <w:t>No direct freight count, but ≤1h dominance (~63%) + very high turnover implies heavy short-access. Keep; rests on inference, not measurement.</w:t>
            </w:r>
          </w:p>
        </w:tc>
      </w:tr>
      <w:tr>
        <w:tc>
          <w:tcPr>
            <w:tcW w:type="dxa" w:w="2448"/>
          </w:tcPr>
          <w:p>
            <w:pPr>
              <w:jc w:val="left"/>
            </w:pPr>
            <w:r/>
            <w:r>
              <w:rPr>
                <w:b w:val="0"/>
                <w:sz w:val="19"/>
              </w:rPr>
              <w:t>M3 Visitor caps / max-stay</w:t>
            </w:r>
          </w:p>
        </w:tc>
        <w:tc>
          <w:tcPr>
            <w:tcW w:type="dxa" w:w="2160"/>
          </w:tcPr>
          <w:p>
            <w:pPr>
              <w:jc w:val="center"/>
            </w:pPr>
            <w:r/>
            <w:r>
              <w:rPr>
                <w:b/>
                <w:color w:val="B86B00"/>
                <w:sz w:val="19"/>
              </w:rPr>
              <w:t>◆ Re-scope, not remove</w:t>
            </w:r>
          </w:p>
        </w:tc>
        <w:tc>
          <w:tcPr>
            <w:tcW w:type="dxa" w:w="5040"/>
          </w:tcPr>
          <w:p>
            <w:pPr>
              <w:jc w:val="center"/>
            </w:pPr>
            <w:r/>
            <w:r>
              <w:rPr>
                <w:b w:val="0"/>
                <w:sz w:val="19"/>
              </w:rPr>
              <w:t>Overnight ~7% (1h-rule; residents, permit-exempt); daytime all-day (5–8h) only ~6%; ≤1h ~63%; turnover already 5–11/day. A 2h cap mostly bites 3–4h errand visitors, not commuters. KEEP but demote to a targeted contingency for low-turnover spots; lead with pricing.</w:t>
            </w:r>
          </w:p>
        </w:tc>
      </w:tr>
      <w:tr>
        <w:tc>
          <w:tcPr>
            <w:tcW w:type="dxa" w:w="2448"/>
          </w:tcPr>
          <w:p>
            <w:pPr>
              <w:jc w:val="left"/>
            </w:pPr>
            <w:r/>
            <w:r>
              <w:rPr>
                <w:b w:val="0"/>
                <w:sz w:val="19"/>
              </w:rPr>
              <w:t>M4 Resident permits</w:t>
            </w:r>
          </w:p>
        </w:tc>
        <w:tc>
          <w:tcPr>
            <w:tcW w:type="dxa" w:w="2160"/>
          </w:tcPr>
          <w:p>
            <w:pPr>
              <w:jc w:val="center"/>
            </w:pPr>
            <w:r/>
            <w:r>
              <w:rPr>
                <w:b/>
                <w:color w:val="555555"/>
                <w:sz w:val="19"/>
              </w:rPr>
              <w:t>○ Keep — but design actively</w:t>
            </w:r>
          </w:p>
        </w:tc>
        <w:tc>
          <w:tcPr>
            <w:tcW w:type="dxa" w:w="5040"/>
          </w:tcPr>
          <w:p>
            <w:pPr>
              <w:jc w:val="center"/>
            </w:pPr>
            <w:r/>
            <w:r>
              <w:rPr>
                <w:b w:val="0"/>
                <w:sz w:val="19"/>
              </w:rPr>
              <w:t>Daytime window still misses true overnight storage; the overnight band (now ~7% via the 1h rule) is a floor and must NOT be used to weaken this. Keep, justified by land-use, not survey data. But design it: per the Tbilisi study, a permit that is free or flat at the outset must later move to priced/limited use, or it recreates the long-stay, low-turnover problem (see M11).</w:t>
            </w:r>
          </w:p>
        </w:tc>
      </w:tr>
      <w:tr>
        <w:tc>
          <w:tcPr>
            <w:tcW w:type="dxa" w:w="2448"/>
          </w:tcPr>
          <w:p>
            <w:pPr>
              <w:jc w:val="left"/>
            </w:pPr>
            <w:r/>
            <w:r>
              <w:rPr>
                <w:b w:val="0"/>
                <w:sz w:val="19"/>
              </w:rPr>
              <w:t>M5 Organise free parking</w:t>
            </w:r>
          </w:p>
        </w:tc>
        <w:tc>
          <w:tcPr>
            <w:tcW w:type="dxa" w:w="2160"/>
          </w:tcPr>
          <w:p>
            <w:pPr>
              <w:jc w:val="center"/>
            </w:pPr>
            <w:r/>
            <w:r>
              <w:rPr>
                <w:b/>
                <w:color w:val="2E7D32"/>
                <w:sz w:val="19"/>
              </w:rPr>
              <w:t>✓ Confirmed</w:t>
            </w:r>
          </w:p>
        </w:tc>
        <w:tc>
          <w:tcPr>
            <w:tcW w:type="dxa" w:w="5040"/>
          </w:tcPr>
          <w:p>
            <w:pPr>
              <w:jc w:val="center"/>
            </w:pPr>
            <w:r/>
            <w:r>
              <w:rPr>
                <w:b w:val="0"/>
                <w:sz w:val="19"/>
              </w:rPr>
              <w:t>O8: 87.6% unmarked, 79.9% unsigned; ~90% of kerb free. Lower-pressure areas (Malatia 54%, Shiraz 75% peak) have headroom — structure before pricing. (Also needed in Kentron — see G5.)</w:t>
            </w:r>
          </w:p>
        </w:tc>
      </w:tr>
      <w:tr>
        <w:tc>
          <w:tcPr>
            <w:tcW w:type="dxa" w:w="2448"/>
          </w:tcPr>
          <w:p>
            <w:pPr>
              <w:jc w:val="left"/>
            </w:pPr>
            <w:r/>
            <w:r>
              <w:rPr>
                <w:b w:val="0"/>
                <w:sz w:val="19"/>
              </w:rPr>
              <w:t>M6 Park &amp; ride</w:t>
            </w:r>
          </w:p>
        </w:tc>
        <w:tc>
          <w:tcPr>
            <w:tcW w:type="dxa" w:w="2160"/>
          </w:tcPr>
          <w:p>
            <w:pPr>
              <w:jc w:val="center"/>
            </w:pPr>
            <w:r/>
            <w:r>
              <w:rPr>
                <w:b/>
                <w:color w:val="B86B00"/>
                <w:sz w:val="19"/>
              </w:rPr>
              <w:t>◆ Weak support</w:t>
            </w:r>
          </w:p>
        </w:tc>
        <w:tc>
          <w:tcPr>
            <w:tcW w:type="dxa" w:w="5040"/>
          </w:tcPr>
          <w:p>
            <w:pPr>
              <w:jc w:val="center"/>
            </w:pPr>
            <w:r/>
            <w:r>
              <w:rPr>
                <w:b w:val="0"/>
                <w:sz w:val="19"/>
              </w:rPr>
              <w:t>Premise = intercept commuters, but the daytime fleet is overwhelmingly short-stay, weakening the “many commuters to intercept” assumption within these areas. Keep as a study item; don't oversell. Where commuters do appear (the 5–8h band), the answer is mode shift, not penalty — they are the natural BRT catchment, so frame P&amp;R/BRT as serving the commuter rather than fining them.</w:t>
            </w:r>
          </w:p>
        </w:tc>
      </w:tr>
      <w:tr>
        <w:tc>
          <w:tcPr>
            <w:tcW w:type="dxa" w:w="2448"/>
          </w:tcPr>
          <w:p>
            <w:pPr>
              <w:jc w:val="left"/>
            </w:pPr>
            <w:r/>
            <w:r>
              <w:rPr>
                <w:b w:val="0"/>
                <w:sz w:val="19"/>
              </w:rPr>
              <w:t>M7 Open residential yards</w:t>
            </w:r>
          </w:p>
        </w:tc>
        <w:tc>
          <w:tcPr>
            <w:tcW w:type="dxa" w:w="2160"/>
          </w:tcPr>
          <w:p>
            <w:pPr>
              <w:jc w:val="center"/>
            </w:pPr>
            <w:r/>
            <w:r>
              <w:rPr>
                <w:b/>
                <w:color w:val="2E7D32"/>
                <w:sz w:val="19"/>
              </w:rPr>
              <w:t>✓ Load-bearing + under-committed</w:t>
            </w:r>
          </w:p>
        </w:tc>
        <w:tc>
          <w:tcPr>
            <w:tcW w:type="dxa" w:w="5040"/>
          </w:tcPr>
          <w:p>
            <w:pPr>
              <w:jc w:val="center"/>
            </w:pPr>
            <w:r/>
            <w:r>
              <w:rPr>
                <w:b w:val="0"/>
                <w:sz w:val="19"/>
              </w:rPr>
              <w:t>92% of off-street absorption is gated residential yards (1,778 of 1,935 spaces); the ~100% headline is conditional on opening them. M7 is load-bearing (Kentron 86% yard-dependent, Komitas 100%), yet O10 makes it an optional lower-zone pilot. Elevate to a committed core precondition.</w:t>
            </w:r>
          </w:p>
        </w:tc>
      </w:tr>
      <w:tr>
        <w:tc>
          <w:tcPr>
            <w:tcW w:type="dxa" w:w="2448"/>
          </w:tcPr>
          <w:p>
            <w:pPr>
              <w:jc w:val="left"/>
            </w:pPr>
            <w:r/>
            <w:r>
              <w:rPr>
                <w:b w:val="0"/>
                <w:sz w:val="19"/>
              </w:rPr>
              <w:t>M8 ANPR enforcement</w:t>
            </w:r>
          </w:p>
        </w:tc>
        <w:tc>
          <w:tcPr>
            <w:tcW w:type="dxa" w:w="2160"/>
          </w:tcPr>
          <w:p>
            <w:pPr>
              <w:jc w:val="center"/>
            </w:pPr>
            <w:r/>
            <w:r>
              <w:rPr>
                <w:b/>
                <w:color w:val="2E7D32"/>
                <w:sz w:val="19"/>
              </w:rPr>
              <w:t>✓ Enabling</w:t>
            </w:r>
          </w:p>
        </w:tc>
        <w:tc>
          <w:tcPr>
            <w:tcW w:type="dxa" w:w="5040"/>
          </w:tcPr>
          <w:p>
            <w:pPr>
              <w:jc w:val="center"/>
            </w:pPr>
            <w:r/>
            <w:r>
              <w:rPr>
                <w:b w:val="0"/>
                <w:sz w:val="19"/>
              </w:rPr>
              <w:t>Necessary for every priced measure. Keep.</w:t>
            </w:r>
          </w:p>
        </w:tc>
      </w:tr>
      <w:tr>
        <w:tc>
          <w:tcPr>
            <w:tcW w:type="dxa" w:w="2448"/>
          </w:tcPr>
          <w:p>
            <w:pPr>
              <w:jc w:val="left"/>
            </w:pPr>
            <w:r/>
            <w:r>
              <w:rPr>
                <w:b w:val="0"/>
                <w:sz w:val="19"/>
              </w:rPr>
              <w:t>M9 Duration-based fines</w:t>
            </w:r>
          </w:p>
        </w:tc>
        <w:tc>
          <w:tcPr>
            <w:tcW w:type="dxa" w:w="2160"/>
          </w:tcPr>
          <w:p>
            <w:pPr>
              <w:jc w:val="center"/>
            </w:pPr>
            <w:r/>
            <w:r>
              <w:rPr>
                <w:b/>
                <w:color w:val="555555"/>
                <w:sz w:val="19"/>
              </w:rPr>
              <w:t>○ Keep, don't oversell</w:t>
            </w:r>
          </w:p>
        </w:tc>
        <w:tc>
          <w:tcPr>
            <w:tcW w:type="dxa" w:w="5040"/>
          </w:tcPr>
          <w:p>
            <w:pPr>
              <w:jc w:val="center"/>
            </w:pPr>
            <w:r/>
            <w:r>
              <w:rPr>
                <w:b w:val="0"/>
                <w:sz w:val="19"/>
              </w:rPr>
              <w:t>Same caveat as M3: daytime fleet isn't long-stay. Value is overnight storage (unmeasured) + system maturation.</w:t>
            </w:r>
          </w:p>
        </w:tc>
      </w:tr>
      <w:tr>
        <w:tc>
          <w:tcPr>
            <w:tcW w:type="dxa" w:w="2448"/>
          </w:tcPr>
          <w:p>
            <w:pPr>
              <w:jc w:val="left"/>
            </w:pPr>
            <w:r/>
            <w:r>
              <w:rPr>
                <w:b w:val="0"/>
                <w:sz w:val="19"/>
              </w:rPr>
              <w:t>M10 Revenue earmarking</w:t>
            </w:r>
          </w:p>
        </w:tc>
        <w:tc>
          <w:tcPr>
            <w:tcW w:type="dxa" w:w="2160"/>
          </w:tcPr>
          <w:p>
            <w:pPr>
              <w:jc w:val="center"/>
            </w:pPr>
            <w:r/>
            <w:r>
              <w:rPr>
                <w:b/>
                <w:color w:val="555555"/>
                <w:sz w:val="19"/>
              </w:rPr>
              <w:t>— Out of scope</w:t>
            </w:r>
          </w:p>
        </w:tc>
        <w:tc>
          <w:tcPr>
            <w:tcW w:type="dxa" w:w="5040"/>
          </w:tcPr>
          <w:p>
            <w:pPr>
              <w:jc w:val="center"/>
            </w:pPr>
            <w:r/>
            <w:r>
              <w:rPr>
                <w:b w:val="0"/>
                <w:sz w:val="19"/>
              </w:rPr>
              <w:t>Political-legitimacy measure; survey neither supports nor refutes. Keep.</w:t>
            </w:r>
          </w:p>
        </w:tc>
      </w:tr>
      <w:tr>
        <w:tc>
          <w:tcPr>
            <w:tcW w:type="dxa" w:w="2448"/>
          </w:tcPr>
          <w:p>
            <w:pPr>
              <w:jc w:val="left"/>
            </w:pPr>
            <w:r/>
            <w:r>
              <w:rPr>
                <w:b w:val="0"/>
                <w:sz w:val="19"/>
              </w:rPr>
              <w:t>M11 Phase out annual permit</w:t>
            </w:r>
          </w:p>
        </w:tc>
        <w:tc>
          <w:tcPr>
            <w:tcW w:type="dxa" w:w="2160"/>
          </w:tcPr>
          <w:p>
            <w:pPr>
              <w:jc w:val="center"/>
            </w:pPr>
            <w:r/>
            <w:r>
              <w:rPr>
                <w:b/>
                <w:color w:val="B86B00"/>
                <w:sz w:val="19"/>
              </w:rPr>
              <w:t>◆ New — adopt</w:t>
            </w:r>
          </w:p>
        </w:tc>
        <w:tc>
          <w:tcPr>
            <w:tcW w:type="dxa" w:w="5040"/>
          </w:tcPr>
          <w:p>
            <w:pPr>
              <w:jc w:val="center"/>
            </w:pPr>
            <w:r/>
            <w:r>
              <w:rPr>
                <w:b w:val="0"/>
                <w:sz w:val="19"/>
              </w:rPr>
              <w:t>A flat annual fee removes the marginal cost of dwell time and directly suppresses turnover — the one lever the data shows is binding (≤1h ~63%; turnover 5–11/day depends on a live price signal). Cancel medium-to-long term and replace with occupancy-based pricing; same logic as unwinding free resident parking (Tbilisi).</w:t>
            </w:r>
          </w:p>
        </w:tc>
      </w:tr>
      <w:tr>
        <w:tc>
          <w:tcPr>
            <w:tcW w:type="dxa" w:w="2448"/>
          </w:tcPr>
          <w:p>
            <w:pPr>
              <w:jc w:val="left"/>
            </w:pPr>
            <w:r/>
            <w:r>
              <w:rPr>
                <w:b w:val="0"/>
                <w:sz w:val="19"/>
              </w:rPr>
              <w:t>Phasing</w:t>
            </w:r>
          </w:p>
        </w:tc>
        <w:tc>
          <w:tcPr>
            <w:tcW w:type="dxa" w:w="2160"/>
          </w:tcPr>
          <w:p>
            <w:pPr>
              <w:jc w:val="center"/>
            </w:pPr>
            <w:r/>
            <w:r>
              <w:rPr>
                <w:b/>
                <w:color w:val="2E7D32"/>
                <w:sz w:val="19"/>
              </w:rPr>
              <w:t>✓ Reinforced</w:t>
            </w:r>
          </w:p>
        </w:tc>
        <w:tc>
          <w:tcPr>
            <w:tcW w:type="dxa" w:w="5040"/>
          </w:tcPr>
          <w:p>
            <w:pPr>
              <w:jc w:val="center"/>
            </w:pPr>
            <w:r/>
            <w:r>
              <w:rPr>
                <w:b w:val="0"/>
                <w:sz w:val="19"/>
              </w:rPr>
              <w:t>“Mitigation before removal” matters more given the off-street dependency — the gated yards (M7) must be opened and the pricing in place before the kerb goes.</w:t>
            </w:r>
          </w:p>
        </w:tc>
      </w:tr>
    </w:tbl>
    <w:p>
      <w:pPr>
        <w:spacing w:before="240"/>
      </w:pPr>
      <w:r>
        <w:rPr>
          <w:b/>
          <w:color w:val="142A4A"/>
          <w:sz w:val="30"/>
        </w:rPr>
        <w:t>5.  Gaps the survey revealed</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fill="142A4A"/>
          </w:tcPr>
          <w:p>
            <w:pPr>
              <w:jc w:val="left"/>
            </w:pPr>
            <w:r/>
            <w:r>
              <w:rPr>
                <w:b/>
                <w:color w:val="FFFFFF"/>
                <w:sz w:val="19"/>
              </w:rPr>
              <w:t>Gap</w:t>
            </w:r>
          </w:p>
        </w:tc>
        <w:tc>
          <w:tcPr>
            <w:tcW w:type="dxa" w:w="4752"/>
            <w:shd w:val="clear" w:fill="142A4A"/>
          </w:tcPr>
          <w:p>
            <w:pPr>
              <w:jc w:val="center"/>
            </w:pPr>
            <w:r/>
            <w:r>
              <w:rPr>
                <w:b/>
                <w:color w:val="FFFFFF"/>
                <w:sz w:val="19"/>
              </w:rPr>
              <w:t>Why it's only visible now</w:t>
            </w:r>
          </w:p>
        </w:tc>
        <w:tc>
          <w:tcPr>
            <w:tcW w:type="dxa" w:w="1872"/>
            <w:shd w:val="clear" w:fill="142A4A"/>
          </w:tcPr>
          <w:p>
            <w:pPr>
              <w:jc w:val="center"/>
            </w:pPr>
            <w:r/>
            <w:r>
              <w:rPr>
                <w:b/>
                <w:color w:val="FFFFFF"/>
                <w:sz w:val="19"/>
              </w:rPr>
              <w:t>In current set?</w:t>
            </w:r>
          </w:p>
        </w:tc>
      </w:tr>
      <w:tr>
        <w:tc>
          <w:tcPr>
            <w:tcW w:type="dxa" w:w="3024"/>
          </w:tcPr>
          <w:p>
            <w:pPr>
              <w:jc w:val="left"/>
            </w:pPr>
            <w:r/>
            <w:r>
              <w:rPr>
                <w:b/>
                <w:sz w:val="19"/>
              </w:rPr>
              <w:t>G1 — Absorption hinges on opening gated yards (M7)</w:t>
            </w:r>
          </w:p>
        </w:tc>
        <w:tc>
          <w:tcPr>
            <w:tcW w:type="dxa" w:w="4752"/>
          </w:tcPr>
          <w:p>
            <w:pPr>
              <w:jc w:val="center"/>
            </w:pPr>
            <w:r/>
            <w:r>
              <w:rPr>
                <w:b w:val="0"/>
                <w:sz w:val="19"/>
              </w:rPr>
              <w:t>92% of the off-street capacity that closes the gap is gated residential yards, counted at gross capacity as if already open; on-street alone covers 43% (14%/0% in core). The ~100% headline is conditional on M7, which O10 treats as optional.</w:t>
            </w:r>
          </w:p>
        </w:tc>
        <w:tc>
          <w:tcPr>
            <w:tcW w:type="dxa" w:w="1872"/>
          </w:tcPr>
          <w:p>
            <w:pPr>
              <w:jc w:val="center"/>
            </w:pPr>
            <w:r/>
            <w:r>
              <w:rPr>
                <w:b/>
                <w:color w:val="B86B00"/>
                <w:sz w:val="19"/>
              </w:rPr>
              <w:t>Re-scope M7 — commit it</w:t>
            </w:r>
          </w:p>
        </w:tc>
      </w:tr>
      <w:tr>
        <w:tc>
          <w:tcPr>
            <w:tcW w:type="dxa" w:w="3024"/>
          </w:tcPr>
          <w:p>
            <w:pPr>
              <w:jc w:val="left"/>
            </w:pPr>
            <w:r/>
            <w:r>
              <w:rPr>
                <w:b/>
                <w:sz w:val="19"/>
              </w:rPr>
              <w:t>G2 — Gai Avenue local shortfall</w:t>
            </w:r>
          </w:p>
        </w:tc>
        <w:tc>
          <w:tcPr>
            <w:tcW w:type="dxa" w:w="4752"/>
          </w:tcPr>
          <w:p>
            <w:pPr>
              <w:jc w:val="center"/>
            </w:pPr>
            <w:r/>
            <w:r>
              <w:rPr>
                <w:b w:val="0"/>
                <w:sz w:val="19"/>
              </w:rPr>
              <w:t>Only area where gross best-case capacity (89%) &lt; peak demand. Gai isn't in O10's zone lists.</w:t>
            </w:r>
          </w:p>
        </w:tc>
        <w:tc>
          <w:tcPr>
            <w:tcW w:type="dxa" w:w="1872"/>
          </w:tcPr>
          <w:p>
            <w:pPr>
              <w:jc w:val="center"/>
            </w:pPr>
            <w:r/>
            <w:r>
              <w:rPr>
                <w:b/>
                <w:color w:val="C02A2A"/>
                <w:sz w:val="19"/>
              </w:rPr>
              <w:t>No — targeted</w:t>
            </w:r>
          </w:p>
        </w:tc>
      </w:tr>
      <w:tr>
        <w:tc>
          <w:tcPr>
            <w:tcW w:type="dxa" w:w="3024"/>
          </w:tcPr>
          <w:p>
            <w:pPr>
              <w:jc w:val="left"/>
            </w:pPr>
            <w:r/>
            <w:r>
              <w:rPr>
                <w:b/>
                <w:sz w:val="19"/>
              </w:rPr>
              <w:t>G3 — All-day, zone-wide saturation in core</w:t>
            </w:r>
          </w:p>
        </w:tc>
        <w:tc>
          <w:tcPr>
            <w:tcW w:type="dxa" w:w="4752"/>
          </w:tcPr>
          <w:p>
            <w:pPr>
              <w:jc w:val="center"/>
            </w:pPr>
            <w:r/>
            <w:r>
              <w:rPr>
                <w:b w:val="0"/>
                <w:sz w:val="19"/>
              </w:rPr>
              <w:t>Kentron: 89% of zones &gt;85%, high all working day (peak hour 21:00).</w:t>
            </w:r>
          </w:p>
        </w:tc>
        <w:tc>
          <w:tcPr>
            <w:tcW w:type="dxa" w:w="1872"/>
          </w:tcPr>
          <w:p>
            <w:pPr>
              <w:jc w:val="center"/>
            </w:pPr>
            <w:r/>
            <w:r>
              <w:rPr>
                <w:b w:val="0"/>
                <w:color w:val="B86B00"/>
                <w:sz w:val="19"/>
              </w:rPr>
              <w:t>Partial — scope</w:t>
            </w:r>
          </w:p>
        </w:tc>
      </w:tr>
      <w:tr>
        <w:tc>
          <w:tcPr>
            <w:tcW w:type="dxa" w:w="3024"/>
          </w:tcPr>
          <w:p>
            <w:pPr>
              <w:jc w:val="left"/>
            </w:pPr>
            <w:r/>
            <w:r>
              <w:rPr>
                <w:b/>
                <w:sz w:val="19"/>
              </w:rPr>
              <w:t>G4 — Evening occupancy peak under-captured</w:t>
            </w:r>
          </w:p>
        </w:tc>
        <w:tc>
          <w:tcPr>
            <w:tcW w:type="dxa" w:w="4752"/>
          </w:tcPr>
          <w:p>
            <w:pPr>
              <w:jc w:val="center"/>
            </w:pPr>
            <w:r/>
            <w:r>
              <w:rPr>
                <w:b w:val="0"/>
                <w:sz w:val="19"/>
              </w:rPr>
              <w:t>Kentron's 21:00 / Malatia's 18:00 occupancy peaks are driven by retained residential streets the daytime window only partly sees. (Displaced demand itself peaks midday — yard timing is fine.)</w:t>
            </w:r>
          </w:p>
        </w:tc>
        <w:tc>
          <w:tcPr>
            <w:tcW w:type="dxa" w:w="1872"/>
          </w:tcPr>
          <w:p>
            <w:pPr>
              <w:jc w:val="center"/>
            </w:pPr>
            <w:r/>
            <w:r>
              <w:rPr>
                <w:b w:val="0"/>
                <w:color w:val="B86B00"/>
                <w:sz w:val="19"/>
              </w:rPr>
              <w:t>Partial — informs M4</w:t>
            </w:r>
          </w:p>
        </w:tc>
      </w:tr>
      <w:tr>
        <w:tc>
          <w:tcPr>
            <w:tcW w:type="dxa" w:w="3024"/>
          </w:tcPr>
          <w:p>
            <w:pPr>
              <w:jc w:val="left"/>
            </w:pPr>
            <w:r/>
            <w:r>
              <w:rPr>
                <w:b/>
                <w:sz w:val="19"/>
              </w:rPr>
              <w:t>G5 — Worst informal layout is in the core</w:t>
            </w:r>
          </w:p>
        </w:tc>
        <w:tc>
          <w:tcPr>
            <w:tcW w:type="dxa" w:w="4752"/>
          </w:tcPr>
          <w:p>
            <w:pPr>
              <w:jc w:val="center"/>
            </w:pPr>
            <w:r/>
            <w:r>
              <w:rPr>
                <w:b w:val="0"/>
                <w:sz w:val="19"/>
              </w:rPr>
              <w:t>Kentron kerb ~60% angled/informal. M5 (organise) is assigned only to lower zones.</w:t>
            </w:r>
          </w:p>
        </w:tc>
        <w:tc>
          <w:tcPr>
            <w:tcW w:type="dxa" w:w="1872"/>
          </w:tcPr>
          <w:p>
            <w:pPr>
              <w:jc w:val="center"/>
            </w:pPr>
            <w:r/>
            <w:r>
              <w:rPr>
                <w:b w:val="0"/>
                <w:color w:val="B86B00"/>
                <w:sz w:val="19"/>
              </w:rPr>
              <w:t>Mis-assigned</w:t>
            </w:r>
          </w:p>
        </w:tc>
      </w:tr>
      <w:tr>
        <w:tc>
          <w:tcPr>
            <w:tcW w:type="dxa" w:w="3024"/>
          </w:tcPr>
          <w:p>
            <w:pPr>
              <w:jc w:val="left"/>
            </w:pPr>
            <w:r/>
            <w:r>
              <w:rPr>
                <w:b/>
                <w:sz w:val="19"/>
              </w:rPr>
              <w:t>G6 — Komitas mis-classed Medium</w:t>
            </w:r>
          </w:p>
        </w:tc>
        <w:tc>
          <w:tcPr>
            <w:tcW w:type="dxa" w:w="4752"/>
          </w:tcPr>
          <w:p>
            <w:pPr>
              <w:jc w:val="center"/>
            </w:pPr>
            <w:r/>
            <w:r>
              <w:rPr>
                <w:b w:val="0"/>
                <w:sz w:val="19"/>
              </w:rPr>
              <w:t>123% peak, 0% on-street absorption — behaves like High; Medium package won't fit.</w:t>
            </w:r>
          </w:p>
        </w:tc>
        <w:tc>
          <w:tcPr>
            <w:tcW w:type="dxa" w:w="1872"/>
          </w:tcPr>
          <w:p>
            <w:pPr>
              <w:jc w:val="center"/>
            </w:pPr>
            <w:r/>
            <w:r>
              <w:rPr>
                <w:b/>
                <w:color w:val="C02A2A"/>
                <w:sz w:val="19"/>
              </w:rPr>
              <w:t>No — re-class</w:t>
            </w:r>
          </w:p>
        </w:tc>
      </w:tr>
    </w:tbl>
    <w:p>
      <w:pPr>
        <w:spacing w:before="240"/>
      </w:pPr>
      <w:r>
        <w:rPr>
          <w:b/>
          <w:color w:val="142A4A"/>
          <w:sz w:val="30"/>
        </w:rPr>
        <w:t>6.  Field parameters — what every collected variable proves</w:t>
      </w:r>
    </w:p>
    <w:p>
      <w:pPr>
        <w:spacing w:after="80"/>
      </w:pPr>
      <w:r>
        <w:rPr>
          <w:b w:val="0"/>
          <w:i w:val="0"/>
          <w:color w:val="555555"/>
          <w:sz w:val="20"/>
        </w:rPr>
        <w:t>The survey logged six attributes for every vehicle — time, zone, plate, vehicle type, kerb location, parking method, legality — across ~24,950 observations. Occupancy and duration carry the headline; the other attributes were collected to test specific failure modes. Several return a near-null result, which is itself a finding: it positively rules a problem out and narrows where the measures must act. Nothing was collected without a purpose.</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fill="142A4A"/>
          </w:tcPr>
          <w:p>
            <w:pPr>
              <w:jc w:val="left"/>
            </w:pPr>
            <w:r/>
            <w:r>
              <w:rPr>
                <w:b/>
                <w:color w:val="FFFFFF"/>
                <w:sz w:val="19"/>
              </w:rPr>
              <w:t>Parameter (why collected)</w:t>
            </w:r>
          </w:p>
        </w:tc>
        <w:tc>
          <w:tcPr>
            <w:tcW w:type="dxa" w:w="3744"/>
            <w:shd w:val="clear" w:fill="142A4A"/>
          </w:tcPr>
          <w:p>
            <w:pPr>
              <w:jc w:val="center"/>
            </w:pPr>
            <w:r/>
            <w:r>
              <w:rPr>
                <w:b/>
                <w:color w:val="FFFFFF"/>
                <w:sz w:val="19"/>
              </w:rPr>
              <w:t>What the data shows</w:t>
            </w:r>
          </w:p>
        </w:tc>
        <w:tc>
          <w:tcPr>
            <w:tcW w:type="dxa" w:w="3888"/>
            <w:shd w:val="clear" w:fill="142A4A"/>
          </w:tcPr>
          <w:p>
            <w:pPr>
              <w:jc w:val="center"/>
            </w:pPr>
            <w:r/>
            <w:r>
              <w:rPr>
                <w:b/>
                <w:color w:val="FFFFFF"/>
                <w:sz w:val="19"/>
              </w:rPr>
              <w:t>So what</w:t>
            </w:r>
          </w:p>
        </w:tc>
      </w:tr>
      <w:tr>
        <w:tc>
          <w:tcPr>
            <w:tcW w:type="dxa" w:w="3456"/>
          </w:tcPr>
          <w:p>
            <w:pPr>
              <w:jc w:val="left"/>
            </w:pPr>
            <w:r/>
            <w:r>
              <w:rPr>
                <w:b/>
                <w:sz w:val="19"/>
              </w:rPr>
              <w:t>Legality — L / I.</w:t>
            </w:r>
            <w:r>
              <w:rPr>
                <w:b w:val="0"/>
                <w:sz w:val="19"/>
              </w:rPr>
              <w:t xml:space="preserve"> To size the illegal-parking problem and test whether enforcement is the binding gap.</w:t>
            </w:r>
          </w:p>
        </w:tc>
        <w:tc>
          <w:tcPr>
            <w:tcW w:type="dxa" w:w="3744"/>
          </w:tcPr>
          <w:p>
            <w:pPr>
              <w:jc w:val="center"/>
            </w:pPr>
            <w:r/>
            <w:r>
              <w:rPr>
                <w:b w:val="0"/>
                <w:sz w:val="19"/>
              </w:rPr>
              <w:t>~99.8% legal; only ~0.2% flagged illegal (max 0.9%, Komitas).</w:t>
            </w:r>
          </w:p>
        </w:tc>
        <w:tc>
          <w:tcPr>
            <w:tcW w:type="dxa" w:w="3888"/>
          </w:tcPr>
          <w:p>
            <w:pPr>
              <w:jc w:val="center"/>
            </w:pPr>
            <w:r/>
            <w:r>
              <w:rPr>
                <w:b w:val="0"/>
                <w:sz w:val="19"/>
              </w:rPr>
              <w:t>Near-null — and that is the point: ticketed illegality is not the problem. The disorder is saturation and tolerated informality, not law-breaking, so the lever is pricing/turnover and organisation (M1/M5), not punitive enforcement.</w:t>
            </w:r>
          </w:p>
        </w:tc>
      </w:tr>
      <w:tr>
        <w:tc>
          <w:tcPr>
            <w:tcW w:type="dxa" w:w="3456"/>
          </w:tcPr>
          <w:p>
            <w:pPr>
              <w:jc w:val="left"/>
            </w:pPr>
            <w:r/>
            <w:r>
              <w:rPr>
                <w:b/>
                <w:sz w:val="19"/>
              </w:rPr>
              <w:t>Kerb location — OS / FP / SB.</w:t>
            </w:r>
            <w:r>
              <w:rPr>
                <w:b w:val="0"/>
                <w:sz w:val="19"/>
              </w:rPr>
              <w:t xml:space="preserve"> To quantify off-carriageway encroachment (footpath, setback) vs proper kerb use.</w:t>
            </w:r>
          </w:p>
        </w:tc>
        <w:tc>
          <w:tcPr>
            <w:tcW w:type="dxa" w:w="3744"/>
          </w:tcPr>
          <w:p>
            <w:pPr>
              <w:jc w:val="center"/>
            </w:pPr>
            <w:r/>
            <w:r>
              <w:rPr>
                <w:b w:val="0"/>
                <w:sz w:val="19"/>
              </w:rPr>
              <w:t>75.5% on-street; 24.5% informal (13.0% footpath, 11.5% setback). Worst: Komitas 35%, Garegin 32%, Shiraz 31%; lowest Kentron 13%.</w:t>
            </w:r>
          </w:p>
        </w:tc>
        <w:tc>
          <w:tcPr>
            <w:tcW w:type="dxa" w:w="3888"/>
          </w:tcPr>
          <w:p>
            <w:pPr>
              <w:jc w:val="center"/>
            </w:pPr>
            <w:r/>
            <w:r>
              <w:rPr>
                <w:b w:val="0"/>
                <w:sz w:val="19"/>
              </w:rPr>
              <w:t>A quarter of parking sits off the carriageway — informal but tolerated (hence the ~0% illegal flag). This is the latent disorder M5 (organise free parking) targets, and it is not confined to the lower zones — Komitas is the worst — so M5's remit must widen.</w:t>
            </w:r>
          </w:p>
        </w:tc>
      </w:tr>
      <w:tr>
        <w:tc>
          <w:tcPr>
            <w:tcW w:type="dxa" w:w="3456"/>
          </w:tcPr>
          <w:p>
            <w:pPr>
              <w:jc w:val="left"/>
            </w:pPr>
            <w:r/>
            <w:r>
              <w:rPr>
                <w:b/>
                <w:sz w:val="19"/>
              </w:rPr>
              <w:t>Parking method — PA / 45° / PP.</w:t>
            </w:r>
            <w:r>
              <w:rPr>
                <w:b w:val="0"/>
                <w:sz w:val="19"/>
              </w:rPr>
              <w:t xml:space="preserve"> To assess layout efficiency and order.</w:t>
            </w:r>
          </w:p>
        </w:tc>
        <w:tc>
          <w:tcPr>
            <w:tcW w:type="dxa" w:w="3744"/>
          </w:tcPr>
          <w:p>
            <w:pPr>
              <w:jc w:val="center"/>
            </w:pPr>
            <w:r/>
            <w:r>
              <w:rPr>
                <w:b w:val="0"/>
                <w:sz w:val="19"/>
              </w:rPr>
              <w:t>By vehicle: 55% parallel / 26% at 45° / 19% perpendicular. By zone (space-weighted dominant method): Kentron 60% angled vs ≤4% everywhere else.</w:t>
            </w:r>
          </w:p>
        </w:tc>
        <w:tc>
          <w:tcPr>
            <w:tcW w:type="dxa" w:w="3888"/>
          </w:tcPr>
          <w:p>
            <w:pPr>
              <w:jc w:val="center"/>
            </w:pPr>
            <w:r/>
            <w:r>
              <w:rPr>
                <w:b w:val="0"/>
                <w:sz w:val="19"/>
              </w:rPr>
              <w:t>Space-hungry, disorder-prone angled layout is concentrated in the highest-pressure core (Kentron) — reinforcing G5: the M5 organisation effort belongs first in the core, where both layout and pressure are worst.</w:t>
            </w:r>
          </w:p>
        </w:tc>
      </w:tr>
      <w:tr>
        <w:tc>
          <w:tcPr>
            <w:tcW w:type="dxa" w:w="3456"/>
          </w:tcPr>
          <w:p>
            <w:pPr>
              <w:jc w:val="left"/>
            </w:pPr>
            <w:r/>
            <w:r>
              <w:rPr>
                <w:b/>
                <w:sz w:val="19"/>
              </w:rPr>
              <w:t>Vehicle type — C / T / M.</w:t>
            </w:r>
            <w:r>
              <w:rPr>
                <w:b w:val="0"/>
                <w:sz w:val="19"/>
              </w:rPr>
              <w:t xml:space="preserve"> To size freight/servicing and two-wheeler demand.</w:t>
            </w:r>
          </w:p>
        </w:tc>
        <w:tc>
          <w:tcPr>
            <w:tcW w:type="dxa" w:w="3744"/>
          </w:tcPr>
          <w:p>
            <w:pPr>
              <w:jc w:val="center"/>
            </w:pPr>
            <w:r/>
            <w:r>
              <w:rPr>
                <w:b w:val="0"/>
                <w:sz w:val="19"/>
              </w:rPr>
              <w:t>94.8% sedan, 4.9% truck, 0.3% motorcycle. Truck share elevated in Malatia (12.6%) and Shiraz (8.0%).</w:t>
            </w:r>
          </w:p>
        </w:tc>
        <w:tc>
          <w:tcPr>
            <w:tcW w:type="dxa" w:w="3888"/>
          </w:tcPr>
          <w:p>
            <w:pPr>
              <w:jc w:val="center"/>
            </w:pPr>
            <w:r/>
            <w:r>
              <w:rPr>
                <w:b w:val="0"/>
                <w:sz w:val="19"/>
              </w:rPr>
              <w:t>Heavy-vehicle demand is low overall but locally concentrated: delivery-bay provision (M2) should be sized to the Malatia/Shiraz pockets, not applied uniformly. Motorcycle share is negligible — no dedicated two-wheeler measure is warranted (a ruled-out option).</w:t>
            </w:r>
          </w:p>
        </w:tc>
      </w:tr>
    </w:tbl>
    <w:p>
      <w:pPr>
        <w:spacing w:after="40"/>
      </w:pPr>
      <w:r>
        <w:rPr>
          <w:b w:val="0"/>
          <w:i/>
          <w:color w:val="555555"/>
          <w:sz w:val="18"/>
        </w:rPr>
        <w:t>Two attributes return a deliberately reassuring null — illegality (~0.2%) and motorcycles (0.3%). Collecting them lets the study state positively that neither is a material problem, rather than leaving them as untested assumptions — which is exactly why they were measured.</w:t>
      </w:r>
    </w:p>
    <w:p>
      <w:pPr>
        <w:spacing w:before="240"/>
      </w:pPr>
      <w:r>
        <w:rPr>
          <w:b/>
          <w:color w:val="142A4A"/>
          <w:sz w:val="30"/>
        </w:rPr>
        <w:t>7.  Fact → measure mapping</w:t>
      </w:r>
    </w:p>
    <w:p>
      <w:pPr>
        <w:spacing w:after="80"/>
      </w:pPr>
      <w:r>
        <w:rPr>
          <w:b w:val="0"/>
          <w:i w:val="0"/>
          <w:color w:val="555555"/>
          <w:sz w:val="20"/>
        </w:rPr>
        <w:t>Hard, data-driven justifications for the retained / correct measures — a sourcing map for later wiring into the reports.</w:t>
      </w:r>
    </w:p>
    <w:tbl>
      <w:tblPr>
        <w:tblStyle w:val="TableGrid"/>
        <w:tblW w:type="auto" w:w="0"/>
        <w:jc w:val="center"/>
        <w:tblLook w:firstColumn="1" w:firstRow="1" w:lastColumn="0" w:lastRow="0" w:noHBand="0" w:noVBand="1" w:val="04A0"/>
      </w:tblPr>
      <w:tblGrid>
        <w:gridCol w:w="4320"/>
        <w:gridCol w:w="4320"/>
      </w:tblGrid>
      <w:tr>
        <w:tc>
          <w:tcPr>
            <w:tcW w:type="dxa" w:w="5472"/>
            <w:shd w:val="clear" w:fill="142A4A"/>
          </w:tcPr>
          <w:p>
            <w:pPr>
              <w:jc w:val="left"/>
            </w:pPr>
            <w:r/>
            <w:r>
              <w:rPr>
                <w:b/>
                <w:color w:val="FFFFFF"/>
                <w:sz w:val="19"/>
              </w:rPr>
              <w:t>Survey fact (measured)</w:t>
            </w:r>
          </w:p>
        </w:tc>
        <w:tc>
          <w:tcPr>
            <w:tcW w:type="dxa" w:w="4176"/>
            <w:shd w:val="clear" w:fill="142A4A"/>
          </w:tcPr>
          <w:p>
            <w:pPr>
              <w:jc w:val="center"/>
            </w:pPr>
            <w:r/>
            <w:r>
              <w:rPr>
                <w:b/>
                <w:color w:val="FFFFFF"/>
                <w:sz w:val="19"/>
              </w:rPr>
              <w:t>Justifies</w:t>
            </w:r>
          </w:p>
        </w:tc>
      </w:tr>
      <w:tr>
        <w:tc>
          <w:tcPr>
            <w:tcW w:type="dxa" w:w="5472"/>
          </w:tcPr>
          <w:p>
            <w:pPr>
              <w:jc w:val="left"/>
            </w:pPr>
            <w:r/>
            <w:r>
              <w:rPr>
                <w:b w:val="0"/>
                <w:sz w:val="19"/>
              </w:rPr>
              <w:t>Peak displaced demand 908 vs 1,643 removed (55%)</w:t>
            </w:r>
          </w:p>
        </w:tc>
        <w:tc>
          <w:tcPr>
            <w:tcW w:type="dxa" w:w="4176"/>
          </w:tcPr>
          <w:p>
            <w:pPr>
              <w:jc w:val="center"/>
            </w:pPr>
            <w:r/>
            <w:r>
              <w:rPr>
                <w:b w:val="0"/>
                <w:sz w:val="19"/>
              </w:rPr>
              <w:t>M0; “no 1:1 replacement”; O8 quantification; O10 court-defensibility</w:t>
            </w:r>
          </w:p>
        </w:tc>
      </w:tr>
      <w:tr>
        <w:tc>
          <w:tcPr>
            <w:tcW w:type="dxa" w:w="5472"/>
          </w:tcPr>
          <w:p>
            <w:pPr>
              <w:jc w:val="left"/>
            </w:pPr>
            <w:r/>
            <w:r>
              <w:rPr>
                <w:b w:val="0"/>
                <w:sz w:val="19"/>
              </w:rPr>
              <w:t>Avg 43% vs peak 93% occupancy citywide</w:t>
            </w:r>
          </w:p>
        </w:tc>
        <w:tc>
          <w:tcPr>
            <w:tcW w:type="dxa" w:w="4176"/>
          </w:tcPr>
          <w:p>
            <w:pPr>
              <w:jc w:val="center"/>
            </w:pPr>
            <w:r/>
            <w:r>
              <w:rPr>
                <w:b w:val="0"/>
                <w:sz w:val="19"/>
              </w:rPr>
              <w:t>M1/M3 framed as peak-demand management, not supply expansion</w:t>
            </w:r>
          </w:p>
        </w:tc>
      </w:tr>
      <w:tr>
        <w:tc>
          <w:tcPr>
            <w:tcW w:type="dxa" w:w="5472"/>
          </w:tcPr>
          <w:p>
            <w:pPr>
              <w:jc w:val="left"/>
            </w:pPr>
            <w:r/>
            <w:r>
              <w:rPr>
                <w:b w:val="0"/>
                <w:sz w:val="19"/>
              </w:rPr>
              <w:t>~90% of kerb unpriced (2,654 white vs 276 blue); 87.6% unmarked</w:t>
            </w:r>
          </w:p>
        </w:tc>
        <w:tc>
          <w:tcPr>
            <w:tcW w:type="dxa" w:w="4176"/>
          </w:tcPr>
          <w:p>
            <w:pPr>
              <w:jc w:val="center"/>
            </w:pPr>
            <w:r/>
            <w:r>
              <w:rPr>
                <w:b w:val="0"/>
                <w:sz w:val="19"/>
              </w:rPr>
              <w:t>M5 organise free; M1 extend paid</w:t>
            </w:r>
          </w:p>
        </w:tc>
      </w:tr>
      <w:tr>
        <w:tc>
          <w:tcPr>
            <w:tcW w:type="dxa" w:w="5472"/>
          </w:tcPr>
          <w:p>
            <w:pPr>
              <w:jc w:val="left"/>
            </w:pPr>
            <w:r/>
            <w:r>
              <w:rPr>
                <w:b w:val="0"/>
                <w:sz w:val="19"/>
              </w:rPr>
              <w:t>Kentron peak 138% / on-street absorption 14%; Komitas 123% / 0%</w:t>
            </w:r>
          </w:p>
        </w:tc>
        <w:tc>
          <w:tcPr>
            <w:tcW w:type="dxa" w:w="4176"/>
          </w:tcPr>
          <w:p>
            <w:pPr>
              <w:jc w:val="center"/>
            </w:pPr>
            <w:r/>
            <w:r>
              <w:rPr>
                <w:b w:val="0"/>
                <w:sz w:val="19"/>
              </w:rPr>
              <w:t>High-zone package must be off-street-led, not curb-led</w:t>
            </w:r>
          </w:p>
        </w:tc>
      </w:tr>
      <w:tr>
        <w:tc>
          <w:tcPr>
            <w:tcW w:type="dxa" w:w="5472"/>
          </w:tcPr>
          <w:p>
            <w:pPr>
              <w:jc w:val="left"/>
            </w:pPr>
            <w:r/>
            <w:r>
              <w:rPr>
                <w:b w:val="0"/>
                <w:sz w:val="19"/>
              </w:rPr>
              <w:t>92% of off-street absorption is gated residential yards (1,778 / 1,935 spaces)</w:t>
            </w:r>
          </w:p>
        </w:tc>
        <w:tc>
          <w:tcPr>
            <w:tcW w:type="dxa" w:w="4176"/>
          </w:tcPr>
          <w:p>
            <w:pPr>
              <w:jc w:val="center"/>
            </w:pPr>
            <w:r/>
            <w:r>
              <w:rPr>
                <w:b w:val="0"/>
                <w:sz w:val="19"/>
              </w:rPr>
              <w:t>M7 is the load-bearing precondition — elevate &amp; commit; the ~100% headline depends on it</w:t>
            </w:r>
          </w:p>
        </w:tc>
      </w:tr>
      <w:tr>
        <w:tc>
          <w:tcPr>
            <w:tcW w:type="dxa" w:w="5472"/>
          </w:tcPr>
          <w:p>
            <w:pPr>
              <w:jc w:val="left"/>
            </w:pPr>
            <w:r/>
            <w:r>
              <w:rPr>
                <w:b w:val="0"/>
                <w:sz w:val="19"/>
              </w:rPr>
              <w:t>Off-street carries 86% of Kentron's absorption, 100% of Komitas's (on-street 14% / 0%)</w:t>
            </w:r>
          </w:p>
        </w:tc>
        <w:tc>
          <w:tcPr>
            <w:tcW w:type="dxa" w:w="4176"/>
          </w:tcPr>
          <w:p>
            <w:pPr>
              <w:jc w:val="center"/>
            </w:pPr>
            <w:r/>
            <w:r>
              <w:rPr>
                <w:b w:val="0"/>
                <w:sz w:val="19"/>
              </w:rPr>
              <w:t>M7 most critical in the core — re-allocate it up from the lower zones</w:t>
            </w:r>
          </w:p>
        </w:tc>
      </w:tr>
      <w:tr>
        <w:tc>
          <w:tcPr>
            <w:tcW w:type="dxa" w:w="5472"/>
          </w:tcPr>
          <w:p>
            <w:pPr>
              <w:jc w:val="left"/>
            </w:pPr>
            <w:r/>
            <w:r>
              <w:rPr>
                <w:b w:val="0"/>
                <w:sz w:val="19"/>
              </w:rPr>
              <w:t>Displaced demand peaks midday (10:00–15:00) in every area, incl. Kentron/Malatia</w:t>
            </w:r>
          </w:p>
        </w:tc>
        <w:tc>
          <w:tcPr>
            <w:tcW w:type="dxa" w:w="4176"/>
          </w:tcPr>
          <w:p>
            <w:pPr>
              <w:jc w:val="center"/>
            </w:pPr>
            <w:r/>
            <w:r>
              <w:rPr>
                <w:b w:val="0"/>
                <w:sz w:val="19"/>
              </w:rPr>
              <w:t>Daytime yard availability aligns with the displaced peak — supports M7 timing</w:t>
            </w:r>
          </w:p>
        </w:tc>
      </w:tr>
      <w:tr>
        <w:tc>
          <w:tcPr>
            <w:tcW w:type="dxa" w:w="5472"/>
          </w:tcPr>
          <w:p>
            <w:pPr>
              <w:jc w:val="left"/>
            </w:pPr>
            <w:r/>
            <w:r>
              <w:rPr>
                <w:b w:val="0"/>
                <w:sz w:val="19"/>
              </w:rPr>
              <w:t>Stay mix ~63% ≤1h / ~77% ≤2h / ~7% overnight 8h+ (1h-rule); turnover 5–11/day</w:t>
            </w:r>
          </w:p>
        </w:tc>
        <w:tc>
          <w:tcPr>
            <w:tcW w:type="dxa" w:w="4176"/>
          </w:tcPr>
          <w:p>
            <w:pPr>
              <w:jc w:val="center"/>
            </w:pPr>
            <w:r/>
            <w:r>
              <w:rPr>
                <w:b w:val="0"/>
                <w:sz w:val="19"/>
              </w:rPr>
              <w:t>Pricing-for-turnover (M1) as headline; M3 caps demoted to targeted</w:t>
            </w:r>
          </w:p>
        </w:tc>
      </w:tr>
      <w:tr>
        <w:tc>
          <w:tcPr>
            <w:tcW w:type="dxa" w:w="5472"/>
          </w:tcPr>
          <w:p>
            <w:pPr>
              <w:jc w:val="left"/>
            </w:pPr>
            <w:r/>
            <w:r>
              <w:rPr>
                <w:b w:val="0"/>
                <w:sz w:val="19"/>
              </w:rPr>
              <w:t>Gai Avenue total absorption 89% (&lt;100%); no nearby residential yards to open</w:t>
            </w:r>
          </w:p>
        </w:tc>
        <w:tc>
          <w:tcPr>
            <w:tcW w:type="dxa" w:w="4176"/>
          </w:tcPr>
          <w:p>
            <w:pPr>
              <w:jc w:val="center"/>
            </w:pPr>
            <w:r/>
            <w:r>
              <w:rPr>
                <w:b w:val="0"/>
                <w:sz w:val="19"/>
              </w:rPr>
              <w:t>G2 targeted provision at Gai — M7 cannot rescue it</w:t>
            </w:r>
          </w:p>
        </w:tc>
      </w:tr>
      <w:tr>
        <w:tc>
          <w:tcPr>
            <w:tcW w:type="dxa" w:w="5472"/>
          </w:tcPr>
          <w:p>
            <w:pPr>
              <w:jc w:val="left"/>
            </w:pPr>
            <w:r/>
            <w:r>
              <w:rPr>
                <w:b w:val="0"/>
                <w:sz w:val="19"/>
              </w:rPr>
              <w:t>Kentron 89% of zones &gt;85%, all-day</w:t>
            </w:r>
          </w:p>
        </w:tc>
        <w:tc>
          <w:tcPr>
            <w:tcW w:type="dxa" w:w="4176"/>
          </w:tcPr>
          <w:p>
            <w:pPr>
              <w:jc w:val="center"/>
            </w:pPr>
            <w:r/>
            <w:r>
              <w:rPr>
                <w:b w:val="0"/>
                <w:sz w:val="19"/>
              </w:rPr>
              <w:t>All-day, zone-wide enforcement hours (G3)</w:t>
            </w:r>
          </w:p>
        </w:tc>
      </w:tr>
      <w:tr>
        <w:tc>
          <w:tcPr>
            <w:tcW w:type="dxa" w:w="5472"/>
          </w:tcPr>
          <w:p>
            <w:pPr>
              <w:jc w:val="left"/>
            </w:pPr>
            <w:r/>
            <w:r>
              <w:rPr>
                <w:b w:val="0"/>
                <w:sz w:val="19"/>
              </w:rPr>
              <w:t>Kentron / Malatia evening occupancy peak (retained residential)</w:t>
            </w:r>
          </w:p>
        </w:tc>
        <w:tc>
          <w:tcPr>
            <w:tcW w:type="dxa" w:w="4176"/>
          </w:tcPr>
          <w:p>
            <w:pPr>
              <w:jc w:val="center"/>
            </w:pPr>
            <w:r/>
            <w:r>
              <w:rPr>
                <w:b w:val="0"/>
                <w:sz w:val="19"/>
              </w:rPr>
              <w:t>M4 resident permits; review paid-hours window (G4)</w:t>
            </w:r>
          </w:p>
        </w:tc>
      </w:tr>
      <w:tr>
        <w:tc>
          <w:tcPr>
            <w:tcW w:type="dxa" w:w="5472"/>
          </w:tcPr>
          <w:p>
            <w:pPr>
              <w:jc w:val="left"/>
            </w:pPr>
            <w:r/>
            <w:r>
              <w:rPr>
                <w:b w:val="0"/>
                <w:sz w:val="19"/>
              </w:rPr>
              <w:t>Malatia 54% peak / 97% absorption; Shiraz 75% / 69%</w:t>
            </w:r>
          </w:p>
        </w:tc>
        <w:tc>
          <w:tcPr>
            <w:tcW w:type="dxa" w:w="4176"/>
          </w:tcPr>
          <w:p>
            <w:pPr>
              <w:jc w:val="center"/>
            </w:pPr>
            <w:r/>
            <w:r>
              <w:rPr>
                <w:b w:val="0"/>
                <w:sz w:val="19"/>
              </w:rPr>
              <w:t>Light-touch (M5/M7) confirmed for genuine lower-sensitivity areas</w:t>
            </w:r>
          </w:p>
        </w:tc>
      </w:tr>
      <w:tr>
        <w:tc>
          <w:tcPr>
            <w:tcW w:type="dxa" w:w="5472"/>
          </w:tcPr>
          <w:p>
            <w:pPr>
              <w:jc w:val="left"/>
            </w:pPr>
            <w:r/>
            <w:r>
              <w:rPr>
                <w:b w:val="0"/>
                <w:sz w:val="19"/>
              </w:rPr>
              <w:t>~99.8% legal / 0.2% illegal across ~24,950 observations</w:t>
            </w:r>
          </w:p>
        </w:tc>
        <w:tc>
          <w:tcPr>
            <w:tcW w:type="dxa" w:w="4176"/>
          </w:tcPr>
          <w:p>
            <w:pPr>
              <w:jc w:val="center"/>
            </w:pPr>
            <w:r/>
            <w:r>
              <w:rPr>
                <w:b w:val="0"/>
                <w:sz w:val="19"/>
              </w:rPr>
              <w:t>Enforcement is not the binding gap — lead with M1 pricing + M5 organisation, not penalties</w:t>
            </w:r>
          </w:p>
        </w:tc>
      </w:tr>
      <w:tr>
        <w:tc>
          <w:tcPr>
            <w:tcW w:type="dxa" w:w="5472"/>
          </w:tcPr>
          <w:p>
            <w:pPr>
              <w:jc w:val="left"/>
            </w:pPr>
            <w:r/>
            <w:r>
              <w:rPr>
                <w:b w:val="0"/>
                <w:sz w:val="19"/>
              </w:rPr>
              <w:t>24.5% of parking off-carriageway (footpath + setback); worst Komitas 35%</w:t>
            </w:r>
          </w:p>
        </w:tc>
        <w:tc>
          <w:tcPr>
            <w:tcW w:type="dxa" w:w="4176"/>
          </w:tcPr>
          <w:p>
            <w:pPr>
              <w:jc w:val="center"/>
            </w:pPr>
            <w:r/>
            <w:r>
              <w:rPr>
                <w:b w:val="0"/>
                <w:sz w:val="19"/>
              </w:rPr>
              <w:t>M5 organise free parking — widen beyond the lower zones</w:t>
            </w:r>
          </w:p>
        </w:tc>
      </w:tr>
      <w:tr>
        <w:tc>
          <w:tcPr>
            <w:tcW w:type="dxa" w:w="5472"/>
          </w:tcPr>
          <w:p>
            <w:pPr>
              <w:jc w:val="left"/>
            </w:pPr>
            <w:r/>
            <w:r>
              <w:rPr>
                <w:b w:val="0"/>
                <w:sz w:val="19"/>
              </w:rPr>
              <w:t>Kentron 60% angled layout (space-weighted) vs ≤4% elsewhere</w:t>
            </w:r>
          </w:p>
        </w:tc>
        <w:tc>
          <w:tcPr>
            <w:tcW w:type="dxa" w:w="4176"/>
          </w:tcPr>
          <w:p>
            <w:pPr>
              <w:jc w:val="center"/>
            </w:pPr>
            <w:r/>
            <w:r>
              <w:rPr>
                <w:b w:val="0"/>
                <w:sz w:val="19"/>
              </w:rPr>
              <w:t>M5 layout/organisation belongs first in the core (G5)</w:t>
            </w:r>
          </w:p>
        </w:tc>
      </w:tr>
      <w:tr>
        <w:tc>
          <w:tcPr>
            <w:tcW w:type="dxa" w:w="5472"/>
          </w:tcPr>
          <w:p>
            <w:pPr>
              <w:jc w:val="left"/>
            </w:pPr>
            <w:r/>
            <w:r>
              <w:rPr>
                <w:b w:val="0"/>
                <w:sz w:val="19"/>
              </w:rPr>
              <w:t>Truck share 4.9% overall but 12.6% Malatia / 8.0% Shiraz</w:t>
            </w:r>
          </w:p>
        </w:tc>
        <w:tc>
          <w:tcPr>
            <w:tcW w:type="dxa" w:w="4176"/>
          </w:tcPr>
          <w:p>
            <w:pPr>
              <w:jc w:val="center"/>
            </w:pPr>
            <w:r/>
            <w:r>
              <w:rPr>
                <w:b w:val="0"/>
                <w:sz w:val="19"/>
              </w:rPr>
              <w:t>M2 delivery bays sized to local freight pockets, not uniform</w:t>
            </w:r>
          </w:p>
        </w:tc>
      </w:tr>
      <w:tr>
        <w:tc>
          <w:tcPr>
            <w:tcW w:type="dxa" w:w="5472"/>
          </w:tcPr>
          <w:p>
            <w:pPr>
              <w:jc w:val="left"/>
            </w:pPr>
            <w:r/>
            <w:r>
              <w:rPr>
                <w:b w:val="0"/>
                <w:sz w:val="19"/>
              </w:rPr>
              <w:t>Flat annual permit removes the marginal cost of dwell time</w:t>
            </w:r>
          </w:p>
        </w:tc>
        <w:tc>
          <w:tcPr>
            <w:tcW w:type="dxa" w:w="4176"/>
          </w:tcPr>
          <w:p>
            <w:pPr>
              <w:jc w:val="center"/>
            </w:pPr>
            <w:r/>
            <w:r>
              <w:rPr>
                <w:b w:val="0"/>
                <w:sz w:val="19"/>
              </w:rPr>
              <w:t>M11 phase out the annual permit; M4 resident permits priced/limited (Tbilisi)</w:t>
            </w:r>
          </w:p>
        </w:tc>
      </w:tr>
    </w:tbl>
    <w:p>
      <w:r>
        <w:br w:type="page"/>
      </w:r>
    </w:p>
    <w:p>
      <w:pPr>
        <w:spacing w:before="240"/>
      </w:pPr>
      <w:r>
        <w:rPr>
          <w:b/>
          <w:color w:val="142A4A"/>
          <w:sz w:val="30"/>
        </w:rPr>
        <w:t>8.  Critique of the user grouping</w:t>
      </w:r>
    </w:p>
    <w:p>
      <w:pPr>
        <w:spacing w:after="80"/>
      </w:pPr>
      <w:r>
        <w:rPr>
          <w:b/>
          <w:i w:val="0"/>
          <w:sz w:val="22"/>
        </w:rPr>
        <w:t xml:space="preserve">Current grouping </w:t>
      </w:r>
      <w:r>
        <w:rPr>
          <w:b w:val="0"/>
          <w:i w:val="0"/>
          <w:sz w:val="22"/>
        </w:rPr>
        <w:t>(your directive, in compute_field_survey_metrics.mjs → STAY_BIN, shown in StoryStep.svelte): duration-of-stay, three ways — Visitor &lt;2h / Commuter 2–8h / Long &gt;8h, where “duration” = number of distinct hours a plate is seen.</w:t>
      </w:r>
    </w:p>
    <w:p>
      <w:pPr>
        <w:spacing w:after="40"/>
      </w:pPr>
      <w:r>
        <w:rPr>
          <w:b/>
          <w:i w:val="0"/>
          <w:sz w:val="22"/>
        </w:rPr>
        <w:t xml:space="preserve">What the data looks like </w:t>
      </w:r>
      <w:r>
        <w:rPr>
          <w:b w:val="0"/>
          <w:i w:val="0"/>
          <w:sz w:val="22"/>
        </w:rPr>
        <w:t>(11,394 on-street stays, with the approved 1-hour overnight correction applied — see §A):</w:t>
      </w:r>
    </w:p>
    <w:p>
      <w:pPr>
        <w:spacing w:after="0" w:before="0"/>
      </w:pPr>
      <w:r>
        <w:rPr>
          <w:rFonts w:ascii="Consolas" w:hAnsi="Consolas"/>
          <w:sz w:val="18"/>
        </w:rPr>
        <w:t xml:space="preserve">1h               62.8%  </w:t>
      </w:r>
      <w:r>
        <w:rPr>
          <w:color w:val="006D77"/>
          <w:sz w:val="18"/>
        </w:rPr>
        <w:t>█████████████████████████████████████████████</w:t>
      </w:r>
    </w:p>
    <w:p>
      <w:pPr>
        <w:spacing w:after="0" w:before="0"/>
      </w:pPr>
      <w:r>
        <w:rPr>
          <w:rFonts w:ascii="Consolas" w:hAnsi="Consolas"/>
          <w:sz w:val="18"/>
        </w:rPr>
        <w:t xml:space="preserve">2h               14.4%  </w:t>
      </w:r>
      <w:r>
        <w:rPr>
          <w:color w:val="006D77"/>
          <w:sz w:val="18"/>
        </w:rPr>
        <w:t>██████████</w:t>
      </w:r>
    </w:p>
    <w:p>
      <w:pPr>
        <w:spacing w:after="0" w:before="0"/>
      </w:pPr>
      <w:r>
        <w:rPr>
          <w:rFonts w:ascii="Consolas" w:hAnsi="Consolas"/>
          <w:sz w:val="18"/>
        </w:rPr>
        <w:t xml:space="preserve">3h                6.5%  </w:t>
      </w:r>
      <w:r>
        <w:rPr>
          <w:color w:val="006D77"/>
          <w:sz w:val="18"/>
        </w:rPr>
        <w:t>█████</w:t>
      </w:r>
    </w:p>
    <w:p>
      <w:pPr>
        <w:spacing w:after="0" w:before="0"/>
      </w:pPr>
      <w:r>
        <w:rPr>
          <w:rFonts w:ascii="Consolas" w:hAnsi="Consolas"/>
          <w:sz w:val="18"/>
        </w:rPr>
        <w:t xml:space="preserve">4h                3.5%  </w:t>
      </w:r>
      <w:r>
        <w:rPr>
          <w:color w:val="006D77"/>
          <w:sz w:val="18"/>
        </w:rPr>
        <w:t>██</w:t>
      </w:r>
    </w:p>
    <w:p>
      <w:pPr>
        <w:spacing w:after="0" w:before="0"/>
      </w:pPr>
      <w:r>
        <w:rPr>
          <w:rFonts w:ascii="Consolas" w:hAnsi="Consolas"/>
          <w:sz w:val="18"/>
        </w:rPr>
        <w:t xml:space="preserve">5h                2.2%  </w:t>
      </w:r>
      <w:r>
        <w:rPr>
          <w:color w:val="006D77"/>
          <w:sz w:val="18"/>
        </w:rPr>
        <w:t>██</w:t>
      </w:r>
    </w:p>
    <w:p>
      <w:pPr>
        <w:spacing w:after="0" w:before="0"/>
      </w:pPr>
      <w:r>
        <w:rPr>
          <w:rFonts w:ascii="Consolas" w:hAnsi="Consolas"/>
          <w:sz w:val="18"/>
        </w:rPr>
        <w:t xml:space="preserve">6h                1.6%  </w:t>
      </w:r>
      <w:r>
        <w:rPr>
          <w:color w:val="006D77"/>
          <w:sz w:val="18"/>
        </w:rPr>
        <w:t>█</w:t>
      </w:r>
    </w:p>
    <w:p>
      <w:pPr>
        <w:spacing w:after="0" w:before="0"/>
      </w:pPr>
      <w:r>
        <w:rPr>
          <w:rFonts w:ascii="Consolas" w:hAnsi="Consolas"/>
          <w:sz w:val="18"/>
        </w:rPr>
        <w:t xml:space="preserve">7h                1.2%  </w:t>
      </w:r>
      <w:r>
        <w:rPr>
          <w:color w:val="006D77"/>
          <w:sz w:val="18"/>
        </w:rPr>
        <w:t>█</w:t>
      </w:r>
    </w:p>
    <w:p>
      <w:pPr>
        <w:spacing w:after="0" w:before="0"/>
      </w:pPr>
      <w:r>
        <w:rPr>
          <w:rFonts w:ascii="Consolas" w:hAnsi="Consolas"/>
          <w:sz w:val="18"/>
        </w:rPr>
        <w:t xml:space="preserve">8h                0.9%  </w:t>
      </w:r>
      <w:r>
        <w:rPr>
          <w:color w:val="006D77"/>
          <w:sz w:val="18"/>
        </w:rPr>
        <w:t>█</w:t>
      </w:r>
    </w:p>
    <w:p>
      <w:pPr>
        <w:spacing w:after="0" w:before="0"/>
      </w:pPr>
      <w:r>
        <w:rPr>
          <w:rFonts w:ascii="Consolas" w:hAnsi="Consolas"/>
          <w:sz w:val="18"/>
        </w:rPr>
        <w:t xml:space="preserve">8h+ / overnight   6.9%  </w:t>
      </w:r>
      <w:r>
        <w:rPr>
          <w:color w:val="006D77"/>
          <w:sz w:val="18"/>
        </w:rPr>
        <w:t>█████</w:t>
      </w:r>
    </w:p>
    <w:p>
      <w:pPr>
        <w:spacing w:after="120"/>
      </w:pPr>
      <w:r>
        <w:rPr>
          <w:b w:val="0"/>
          <w:i/>
          <w:color w:val="555555"/>
          <w:sz w:val="18"/>
        </w:rPr>
        <w:t>The 1h–8h bars are a smooth decay with no natural breakpoint; the overnight bucket holds the edge-only stays reclassified by the approved rule.</w:t>
      </w:r>
    </w:p>
    <w:p>
      <w:pPr>
        <w:spacing w:after="40"/>
      </w:pPr>
      <w:r>
        <w:rPr>
          <w:b/>
          <w:i w:val="0"/>
          <w:sz w:val="22"/>
        </w:rPr>
        <w:t>Findings:</w:t>
      </w:r>
    </w:p>
    <w:p>
      <w:pPr>
        <w:pStyle w:val="ListBullet"/>
      </w:pPr>
      <w:r>
        <w:rPr>
          <w:b/>
        </w:rPr>
        <w:t xml:space="preserve">The distribution is a smooth decay — any boundary is arbitrary. </w:t>
      </w:r>
      <w:r>
        <w:rPr>
          <w:b w:val="0"/>
        </w:rPr>
        <w:t>The split was a label imposed on continuous data, not derived from it.</w:t>
      </w:r>
    </w:p>
    <w:p>
      <w:pPr>
        <w:pStyle w:val="ListBullet"/>
      </w:pPr>
      <w:r>
        <w:rPr>
          <w:b/>
        </w:rPr>
        <w:t xml:space="preserve">“Visitor &lt;2h” is really “seen in a single hourly sweep.” </w:t>
      </w:r>
      <w:r>
        <w:rPr>
          <w:b w:val="0"/>
        </w:rPr>
        <w:t>Integer-hour resolution: &lt;2h = exactly 1h = ~63%. It can't tell a 5-minute drop-off from a 55-minute stay.</w:t>
      </w:r>
    </w:p>
    <w:p>
      <w:pPr>
        <w:pStyle w:val="ListBullet"/>
      </w:pPr>
      <w:r>
        <w:rPr>
          <w:b/>
        </w:rPr>
        <w:t xml:space="preserve">“Commuter 2–8h” conflates two behaviours: </w:t>
      </w:r>
      <w:r>
        <w:rPr>
          <w:b w:val="0"/>
        </w:rPr>
        <w:t>the 2–4h errand/shopper (~24%) and the 5–8h worker (~6%) — opposite policy responses (turnover pricing vs. interception).</w:t>
      </w:r>
    </w:p>
    <w:p>
      <w:pPr>
        <w:pStyle w:val="ListBullet"/>
      </w:pPr>
      <w:r>
        <w:rPr>
          <w:b/>
        </w:rPr>
        <w:t xml:space="preserve">The overnight band is now modelled, not an artifact. </w:t>
      </w:r>
      <w:r>
        <w:rPr>
          <w:b w:val="0"/>
        </w:rPr>
        <w:t>The approved 1-hour rule lifts the 8h+ band from an observed 1.7% to ~6.9% by reclassifying edge-only stays as overnight. Even so it stays a floor — the daytime window (07:00–24:00) still cannot see genuine overnight storage, so it must not be used to weaken the resident-permit case.</w:t>
      </w:r>
    </w:p>
    <w:p>
      <w:pPr>
        <w:pStyle w:val="ListBullet"/>
      </w:pPr>
      <w:r>
        <w:rPr>
          <w:b/>
        </w:rPr>
        <w:t xml:space="preserve">It doesn't match the deliverables' own user groups. </w:t>
      </w:r>
      <w:r>
        <w:rPr>
          <w:b w:val="0"/>
        </w:rPr>
        <w:t>Output 10's “Impacts on Specific User Groups” is purpose-based — residents, customers, commuters, delivery, taxi, persons with disabilities — which is what the measures actually serve.</w:t>
      </w:r>
    </w:p>
    <w:p>
      <w:pPr>
        <w:spacing w:before="160"/>
      </w:pPr>
      <w:r>
        <w:rPr>
          <w:b/>
          <w:color w:val="006D77"/>
          <w:sz w:val="25"/>
        </w:rPr>
        <w:t>Recommendation — adopted approach</w:t>
      </w:r>
    </w:p>
    <w:p>
      <w:pPr>
        <w:pStyle w:val="ListBullet"/>
      </w:pPr>
      <w:r>
        <w:rPr>
          <w:b/>
        </w:rPr>
        <w:t xml:space="preserve">Keep the three-way duration split, with the overnight band populated by the approved 1-hour boundary rule. </w:t>
      </w:r>
      <w:r>
        <w:rPr>
          <w:b w:val="0"/>
        </w:rPr>
        <w:t xml:space="preserve">This resolves the worst problem — the previously empty, mislabelled long band now carries a measured overnight share. Working basis: </w:t>
      </w:r>
      <w:r>
        <w:rPr>
          <w:b/>
          <w:color w:val="006D77"/>
        </w:rPr>
        <w:t>~63% visitor (&lt;2h) / ~30% commuter (2–8h) / ~7% overnight (8h+).</w:t>
      </w:r>
    </w:p>
    <w:p>
      <w:pPr>
        <w:pStyle w:val="ListBullet"/>
      </w:pPr>
      <w:r>
        <w:rPr>
          <w:b/>
        </w:rPr>
        <w:t xml:space="preserve">Two residual cautions. </w:t>
      </w:r>
      <w:r>
        <w:rPr>
          <w:b w:val="0"/>
        </w:rPr>
        <w:t>(a) The visitor/commuter boundary still sits on a smooth decay with no natural gap, so treat the split as descriptive, not categorical. (b) For the mitigation mapping, anchor measures to purpose-based user groups (Resident, Visitor/Customer, Commuter/Worker, Delivery, Taxi, PwD) and use the duration data as evidence of population size, not as the grouping itself.</w:t>
      </w:r>
    </w:p>
    <w:p>
      <w:pPr>
        <w:spacing w:before="240"/>
      </w:pPr>
      <w:r>
        <w:rPr>
          <w:b/>
          <w:color w:val="142A4A"/>
          <w:sz w:val="30"/>
        </w:rPr>
        <w:t>9.  Measures → groups (recommended grouping)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42A4A"/>
          </w:tcPr>
          <w:p>
            <w:pPr>
              <w:jc w:val="left"/>
            </w:pPr>
            <w:r/>
            <w:r>
              <w:rPr>
                <w:b/>
                <w:color w:val="FFFFFF"/>
                <w:sz w:val="19"/>
              </w:rPr>
              <w:t>User group (purpose-based)</w:t>
            </w:r>
          </w:p>
        </w:tc>
        <w:tc>
          <w:tcPr>
            <w:tcW w:type="dxa" w:w="2736"/>
            <w:shd w:val="clear" w:fill="142A4A"/>
          </w:tcPr>
          <w:p>
            <w:pPr>
              <w:jc w:val="center"/>
            </w:pPr>
            <w:r/>
            <w:r>
              <w:rPr>
                <w:b/>
                <w:color w:val="FFFFFF"/>
                <w:sz w:val="19"/>
              </w:rPr>
              <w:t>Survey signal</w:t>
            </w:r>
          </w:p>
        </w:tc>
        <w:tc>
          <w:tcPr>
            <w:tcW w:type="dxa" w:w="4032"/>
            <w:shd w:val="clear" w:fill="142A4A"/>
          </w:tcPr>
          <w:p>
            <w:pPr>
              <w:jc w:val="center"/>
            </w:pPr>
            <w:r/>
            <w:r>
              <w:rPr>
                <w:b/>
                <w:color w:val="FFFFFF"/>
                <w:sz w:val="19"/>
              </w:rPr>
              <w:t>Mitigation measure(s)</w:t>
            </w:r>
          </w:p>
        </w:tc>
      </w:tr>
      <w:tr>
        <w:tc>
          <w:tcPr>
            <w:tcW w:type="dxa" w:w="2880"/>
          </w:tcPr>
          <w:p>
            <w:pPr>
              <w:jc w:val="left"/>
            </w:pPr>
            <w:r/>
            <w:r>
              <w:rPr>
                <w:b/>
                <w:sz w:val="19"/>
              </w:rPr>
              <w:t>Visitors / customers</w:t>
            </w:r>
            <w:r>
              <w:rPr>
                <w:b w:val="0"/>
                <w:sz w:val="19"/>
              </w:rPr>
              <w:t xml:space="preserve"> (~77% ≤2h turnover demand)</w:t>
            </w:r>
          </w:p>
        </w:tc>
        <w:tc>
          <w:tcPr>
            <w:tcW w:type="dxa" w:w="2736"/>
          </w:tcPr>
          <w:p>
            <w:pPr>
              <w:jc w:val="center"/>
            </w:pPr>
            <w:r/>
            <w:r>
              <w:rPr>
                <w:b w:val="0"/>
                <w:sz w:val="19"/>
              </w:rPr>
              <w:t>~63% ≤1h; turnover 5–11/day</w:t>
            </w:r>
          </w:p>
        </w:tc>
        <w:tc>
          <w:tcPr>
            <w:tcW w:type="dxa" w:w="4032"/>
          </w:tcPr>
          <w:p>
            <w:pPr>
              <w:jc w:val="center"/>
            </w:pPr>
            <w:r/>
            <w:r>
              <w:rPr>
                <w:b w:val="0"/>
                <w:sz w:val="19"/>
              </w:rPr>
              <w:t>M1 pricing-for-turnover (headline); M5 organise free; M2 delivery bays</w:t>
            </w:r>
          </w:p>
        </w:tc>
      </w:tr>
      <w:tr>
        <w:tc>
          <w:tcPr>
            <w:tcW w:type="dxa" w:w="2880"/>
          </w:tcPr>
          <w:p>
            <w:pPr>
              <w:jc w:val="left"/>
            </w:pPr>
            <w:r/>
            <w:r>
              <w:rPr>
                <w:b/>
                <w:sz w:val="19"/>
              </w:rPr>
              <w:t>Commuters / workers</w:t>
            </w:r>
            <w:r>
              <w:rPr>
                <w:b w:val="0"/>
                <w:sz w:val="19"/>
              </w:rPr>
              <w:t xml:space="preserve"> (~6% daytime all-day)</w:t>
            </w:r>
          </w:p>
        </w:tc>
        <w:tc>
          <w:tcPr>
            <w:tcW w:type="dxa" w:w="2736"/>
          </w:tcPr>
          <w:p>
            <w:pPr>
              <w:jc w:val="center"/>
            </w:pPr>
            <w:r/>
            <w:r>
              <w:rPr>
                <w:b w:val="0"/>
                <w:sz w:val="19"/>
              </w:rPr>
              <w:t>5–8h stays; small but present</w:t>
            </w:r>
          </w:p>
        </w:tc>
        <w:tc>
          <w:tcPr>
            <w:tcW w:type="dxa" w:w="4032"/>
          </w:tcPr>
          <w:p>
            <w:pPr>
              <w:jc w:val="center"/>
            </w:pPr>
            <w:r/>
            <w:r>
              <w:rPr>
                <w:b w:val="0"/>
                <w:sz w:val="19"/>
              </w:rPr>
              <w:t>M6 park &amp; ride / BRT mode-shift (the real answer); M9 price differential. Fines/caps are not the lever — meet the need, don't penalise it</w:t>
            </w:r>
          </w:p>
        </w:tc>
      </w:tr>
      <w:tr>
        <w:tc>
          <w:tcPr>
            <w:tcW w:type="dxa" w:w="2880"/>
          </w:tcPr>
          <w:p>
            <w:pPr>
              <w:jc w:val="left"/>
            </w:pPr>
            <w:r/>
            <w:r>
              <w:rPr>
                <w:b/>
                <w:sz w:val="19"/>
              </w:rPr>
              <w:t>Residents</w:t>
            </w:r>
            <w:r>
              <w:rPr>
                <w:b w:val="0"/>
                <w:sz w:val="19"/>
              </w:rPr>
              <w:t xml:space="preserve"> (overnight ~7%, 1h-rule)</w:t>
            </w:r>
          </w:p>
        </w:tc>
        <w:tc>
          <w:tcPr>
            <w:tcW w:type="dxa" w:w="2736"/>
          </w:tcPr>
          <w:p>
            <w:pPr>
              <w:jc w:val="center"/>
            </w:pPr>
            <w:r/>
            <w:r>
              <w:rPr>
                <w:b w:val="0"/>
                <w:sz w:val="19"/>
              </w:rPr>
              <w:t>Daytime window undercounts; evening occupancy peaks</w:t>
            </w:r>
          </w:p>
        </w:tc>
        <w:tc>
          <w:tcPr>
            <w:tcW w:type="dxa" w:w="4032"/>
          </w:tcPr>
          <w:p>
            <w:pPr>
              <w:jc w:val="center"/>
            </w:pPr>
            <w:r/>
            <w:r>
              <w:rPr>
                <w:b w:val="0"/>
                <w:sz w:val="19"/>
              </w:rPr>
              <w:t>M4 resident permits (priced/limited, Tbilisi model); M7 open yards (load-bearing); phase out the flat annual permit (M11). Never M3 caps</w:t>
            </w:r>
          </w:p>
        </w:tc>
      </w:tr>
      <w:tr>
        <w:tc>
          <w:tcPr>
            <w:tcW w:type="dxa" w:w="2880"/>
          </w:tcPr>
          <w:p>
            <w:pPr>
              <w:jc w:val="left"/>
            </w:pPr>
            <w:r/>
            <w:r>
              <w:rPr>
                <w:b/>
                <w:sz w:val="19"/>
              </w:rPr>
              <w:t>Delivery / freight</w:t>
            </w:r>
          </w:p>
        </w:tc>
        <w:tc>
          <w:tcPr>
            <w:tcW w:type="dxa" w:w="2736"/>
          </w:tcPr>
          <w:p>
            <w:pPr>
              <w:jc w:val="center"/>
            </w:pPr>
            <w:r/>
            <w:r>
              <w:rPr>
                <w:b w:val="0"/>
                <w:sz w:val="19"/>
              </w:rPr>
              <w:t>Inferred (short-access + turnover)</w:t>
            </w:r>
          </w:p>
        </w:tc>
        <w:tc>
          <w:tcPr>
            <w:tcW w:type="dxa" w:w="4032"/>
          </w:tcPr>
          <w:p>
            <w:pPr>
              <w:jc w:val="center"/>
            </w:pPr>
            <w:r/>
            <w:r>
              <w:rPr>
                <w:b w:val="0"/>
                <w:sz w:val="19"/>
              </w:rPr>
              <w:t>M2 loading bays; grace period</w:t>
            </w:r>
          </w:p>
        </w:tc>
      </w:tr>
      <w:tr>
        <w:tc>
          <w:tcPr>
            <w:tcW w:type="dxa" w:w="2880"/>
          </w:tcPr>
          <w:p>
            <w:pPr>
              <w:jc w:val="left"/>
            </w:pPr>
            <w:r/>
            <w:r>
              <w:rPr>
                <w:b/>
                <w:sz w:val="19"/>
              </w:rPr>
              <w:t>Taxi</w:t>
            </w:r>
          </w:p>
        </w:tc>
        <w:tc>
          <w:tcPr>
            <w:tcW w:type="dxa" w:w="2736"/>
          </w:tcPr>
          <w:p>
            <w:pPr>
              <w:jc w:val="center"/>
            </w:pPr>
            <w:r/>
            <w:r>
              <w:rPr>
                <w:b w:val="0"/>
                <w:sz w:val="19"/>
              </w:rPr>
              <w:t>In inventory</w:t>
            </w:r>
          </w:p>
        </w:tc>
        <w:tc>
          <w:tcPr>
            <w:tcW w:type="dxa" w:w="4032"/>
          </w:tcPr>
          <w:p>
            <w:pPr>
              <w:jc w:val="center"/>
            </w:pPr>
            <w:r/>
            <w:r>
              <w:rPr>
                <w:b w:val="0"/>
                <w:sz w:val="19"/>
              </w:rPr>
              <w:t>Designated taxi stands (design)</w:t>
            </w:r>
          </w:p>
        </w:tc>
      </w:tr>
      <w:tr>
        <w:tc>
          <w:tcPr>
            <w:tcW w:type="dxa" w:w="2880"/>
          </w:tcPr>
          <w:p>
            <w:pPr>
              <w:jc w:val="left"/>
            </w:pPr>
            <w:r/>
            <w:r>
              <w:rPr>
                <w:b/>
                <w:sz w:val="19"/>
              </w:rPr>
              <w:t>Persons with disabilities</w:t>
            </w:r>
          </w:p>
        </w:tc>
        <w:tc>
          <w:tcPr>
            <w:tcW w:type="dxa" w:w="2736"/>
          </w:tcPr>
          <w:p>
            <w:pPr>
              <w:jc w:val="center"/>
            </w:pPr>
            <w:r/>
            <w:r>
              <w:rPr>
                <w:b w:val="0"/>
                <w:sz w:val="19"/>
              </w:rPr>
              <w:t>Statutory</w:t>
            </w:r>
          </w:p>
        </w:tc>
        <w:tc>
          <w:tcPr>
            <w:tcW w:type="dxa" w:w="4032"/>
          </w:tcPr>
          <w:p>
            <w:pPr>
              <w:jc w:val="center"/>
            </w:pPr>
            <w:r/>
            <w:r>
              <w:rPr>
                <w:b w:val="0"/>
                <w:sz w:val="19"/>
              </w:rPr>
              <w:t>Retained accessible bays (design)</w:t>
            </w:r>
          </w:p>
        </w:tc>
      </w:tr>
    </w:tbl>
    <w:p>
      <w:pPr>
        <w:spacing w:before="240"/>
      </w:pPr>
      <w:r>
        <w:rPr>
          <w:b/>
          <w:color w:val="142A4A"/>
          <w:sz w:val="30"/>
        </w:rPr>
        <w:t>10.  Caveats binding every conclusion</w:t>
      </w:r>
    </w:p>
    <w:p>
      <w:pPr>
        <w:pStyle w:val="ListBullet"/>
      </w:pPr>
      <w:r>
        <w:rPr>
          <w:b/>
        </w:rPr>
        <w:t xml:space="preserve">Daytime window (07:00–~24:00). </w:t>
      </w:r>
      <w:r>
        <w:rPr>
          <w:b w:val="0"/>
        </w:rPr>
        <w:t>Overnight residential storage is structurally invisible — resident permits, duration-based fines, and the “long-stay” band cannot be tested and must not be weakened on this data.</w:t>
      </w:r>
    </w:p>
    <w:p>
      <w:pPr>
        <w:pStyle w:val="ListBullet"/>
      </w:pPr>
      <w:r>
        <w:rPr>
          <w:b/>
        </w:rPr>
        <w:t xml:space="preserve">Six areas, not the full corridor. </w:t>
      </w:r>
      <w:r>
        <w:rPr>
          <w:b w:val="0"/>
        </w:rPr>
        <w:t>A demand overlay (208 segments, ~2,930 spaces), not the 8,862-space inventory. Absorption is gross best-case (every nearby space available, drivers willing to go off-street); real-world friction tightens every balance.</w:t>
      </w:r>
    </w:p>
    <w:p>
      <w:pPr>
        <w:pStyle w:val="ListBullet"/>
      </w:pPr>
      <w:r>
        <w:rPr>
          <w:b/>
        </w:rPr>
        <w:t xml:space="preserve">Duration = distinct hours observed, </w:t>
      </w:r>
      <w:r>
        <w:rPr>
          <w:b w:val="0"/>
        </w:rPr>
        <w:t>not continuous dwell or vehicle type — coarse, and silent on freight/taxi/PwD purpose.</w:t>
      </w:r>
    </w:p>
    <w:p>
      <w:pPr>
        <w:spacing w:after="40"/>
      </w:pPr>
      <w:r>
        <w:rPr>
          <w:b/>
          <w:i w:val="0"/>
          <w:color w:val="142A4A"/>
          <w:sz w:val="22"/>
        </w:rPr>
        <w:t xml:space="preserve">Bottom line. </w:t>
      </w:r>
      <w:r>
        <w:rPr>
          <w:b w:val="0"/>
          <w:i w:val="0"/>
          <w:sz w:val="22"/>
        </w:rPr>
        <w:t>The a-priori menu was sound; the survey doesn't break it, it re-aims it — no net-new displacement measure, plus one structural pricing reform. Elevate and commit M7 (open residential yards), the off-street measure the absorption headline silently depends on — carried with a resident-engagement and management plan so it doesn't backfire; demote max-stay caps in favour of pricing (keep, don't remove), and treat the residual commuters as a BRT mode-shift opportunity rather than a target for fines; phase out the flat annual permit, which actively suppresses the turnover the strategy needs, and design resident permits as priced/limited (the Tbilisi lesson); push the off-street and organisation measures up into the saturated core; and fix the Komitas (Medium→High) and Gai (unclassified→targeted) zone assignments. The grouping keeps its three-way duration split — now with the overnight band populated by the approved 1-hour rule — while the mitigation mapping is anchored to purpose-based user groups.</w:t>
      </w:r>
    </w:p>
    <w:p>
      <w:r>
        <w:br w:type="page"/>
      </w:r>
    </w:p>
    <w:p>
      <w:pPr>
        <w:spacing w:before="240"/>
      </w:pPr>
      <w:r>
        <w:rPr>
          <w:b/>
          <w:color w:val="142A4A"/>
          <w:sz w:val="30"/>
        </w:rPr>
        <w:t>Appendix — Stay-length histogram: provenance and alternative rule</w:t>
      </w:r>
    </w:p>
    <w:p>
      <w:pPr>
        <w:spacing w:after="80"/>
      </w:pPr>
      <w:r>
        <w:rPr>
          <w:b w:val="0"/>
          <w:i w:val="0"/>
          <w:color w:val="555555"/>
          <w:sz w:val="20"/>
        </w:rPr>
        <w:t>§8 adopts the approved 1-hour overnight correction: vehicles seen only at a survey edge — just the first hour (arrival unobserved) or just the last hour (departure unobserved) — are treated as overnight stays. For provenance, A1 below shows the raw observed distribution before any correction; A2 shows the alternative 2-hour rule that was considered. Same axis and scale throughout.</w:t>
      </w:r>
    </w:p>
    <w:p>
      <w:pPr>
        <w:spacing w:before="160"/>
      </w:pPr>
      <w:r>
        <w:rPr>
          <w:b/>
          <w:color w:val="006D77"/>
          <w:sz w:val="25"/>
        </w:rPr>
        <w:t>A1.  Raw observed distribution — no boundary correction (provenance)</w:t>
      </w:r>
    </w:p>
    <w:p>
      <w:pPr>
        <w:spacing w:after="80"/>
      </w:pPr>
      <w:r>
        <w:rPr>
          <w:b w:val="0"/>
          <w:i w:val="0"/>
          <w:sz w:val="20"/>
        </w:rPr>
        <w:t xml:space="preserve">Every stay binned purely by distinct hours observed, with no edge handling. This is the starting point; the adopted §8 figures move </w:t>
      </w:r>
      <w:r>
        <w:rPr>
          <w:b/>
          <w:i w:val="0"/>
          <w:sz w:val="20"/>
        </w:rPr>
        <w:t>600 edge-only stays (5.3%)</w:t>
      </w:r>
      <w:r>
        <w:rPr>
          <w:b w:val="0"/>
          <w:i w:val="0"/>
          <w:sz w:val="20"/>
        </w:rPr>
        <w:t xml:space="preserve"> from the 1h bin to overnight.</w:t>
      </w:r>
    </w:p>
    <w:p>
      <w:pPr>
        <w:spacing w:after="0" w:before="0"/>
      </w:pPr>
      <w:r>
        <w:rPr>
          <w:rFonts w:ascii="Consolas" w:hAnsi="Consolas"/>
          <w:sz w:val="18"/>
        </w:rPr>
        <w:t xml:space="preserve">1h               68.1%  </w:t>
      </w:r>
      <w:r>
        <w:rPr>
          <w:color w:val="006D77"/>
          <w:sz w:val="18"/>
        </w:rPr>
        <w:t>█████████████████████████████████████████████████</w:t>
      </w:r>
    </w:p>
    <w:p>
      <w:pPr>
        <w:spacing w:after="0" w:before="0"/>
      </w:pPr>
      <w:r>
        <w:rPr>
          <w:rFonts w:ascii="Consolas" w:hAnsi="Consolas"/>
          <w:sz w:val="18"/>
        </w:rPr>
        <w:t xml:space="preserve">2h               14.4%  </w:t>
      </w:r>
      <w:r>
        <w:rPr>
          <w:color w:val="006D77"/>
          <w:sz w:val="18"/>
        </w:rPr>
        <w:t>██████████</w:t>
      </w:r>
    </w:p>
    <w:p>
      <w:pPr>
        <w:spacing w:after="0" w:before="0"/>
      </w:pPr>
      <w:r>
        <w:rPr>
          <w:rFonts w:ascii="Consolas" w:hAnsi="Consolas"/>
          <w:sz w:val="18"/>
        </w:rPr>
        <w:t xml:space="preserve">3h                6.5%  </w:t>
      </w:r>
      <w:r>
        <w:rPr>
          <w:color w:val="006D77"/>
          <w:sz w:val="18"/>
        </w:rPr>
        <w:t>█████</w:t>
      </w:r>
    </w:p>
    <w:p>
      <w:pPr>
        <w:spacing w:after="0" w:before="0"/>
      </w:pPr>
      <w:r>
        <w:rPr>
          <w:rFonts w:ascii="Consolas" w:hAnsi="Consolas"/>
          <w:sz w:val="18"/>
        </w:rPr>
        <w:t xml:space="preserve">4h                3.5%  </w:t>
      </w:r>
      <w:r>
        <w:rPr>
          <w:color w:val="006D77"/>
          <w:sz w:val="18"/>
        </w:rPr>
        <w:t>██</w:t>
      </w:r>
    </w:p>
    <w:p>
      <w:pPr>
        <w:spacing w:after="0" w:before="0"/>
      </w:pPr>
      <w:r>
        <w:rPr>
          <w:rFonts w:ascii="Consolas" w:hAnsi="Consolas"/>
          <w:sz w:val="18"/>
        </w:rPr>
        <w:t xml:space="preserve">5h                2.2%  </w:t>
      </w:r>
      <w:r>
        <w:rPr>
          <w:color w:val="006D77"/>
          <w:sz w:val="18"/>
        </w:rPr>
        <w:t>██</w:t>
      </w:r>
    </w:p>
    <w:p>
      <w:pPr>
        <w:spacing w:after="0" w:before="0"/>
      </w:pPr>
      <w:r>
        <w:rPr>
          <w:rFonts w:ascii="Consolas" w:hAnsi="Consolas"/>
          <w:sz w:val="18"/>
        </w:rPr>
        <w:t xml:space="preserve">6h                1.6%  </w:t>
      </w:r>
      <w:r>
        <w:rPr>
          <w:color w:val="006D77"/>
          <w:sz w:val="18"/>
        </w:rPr>
        <w:t>█</w:t>
      </w:r>
    </w:p>
    <w:p>
      <w:pPr>
        <w:spacing w:after="0" w:before="0"/>
      </w:pPr>
      <w:r>
        <w:rPr>
          <w:rFonts w:ascii="Consolas" w:hAnsi="Consolas"/>
          <w:sz w:val="18"/>
        </w:rPr>
        <w:t xml:space="preserve">7h                1.2%  </w:t>
      </w:r>
      <w:r>
        <w:rPr>
          <w:color w:val="006D77"/>
          <w:sz w:val="18"/>
        </w:rPr>
        <w:t>█</w:t>
      </w:r>
    </w:p>
    <w:p>
      <w:pPr>
        <w:spacing w:after="0" w:before="0"/>
      </w:pPr>
      <w:r>
        <w:rPr>
          <w:rFonts w:ascii="Consolas" w:hAnsi="Consolas"/>
          <w:sz w:val="18"/>
        </w:rPr>
        <w:t xml:space="preserve">8h                0.9%  </w:t>
      </w:r>
      <w:r>
        <w:rPr>
          <w:color w:val="006D77"/>
          <w:sz w:val="18"/>
        </w:rPr>
        <w:t>█</w:t>
      </w:r>
    </w:p>
    <w:p>
      <w:pPr>
        <w:spacing w:after="0" w:before="0"/>
      </w:pPr>
      <w:r>
        <w:rPr>
          <w:rFonts w:ascii="Consolas" w:hAnsi="Consolas"/>
          <w:sz w:val="18"/>
        </w:rPr>
        <w:t xml:space="preserve">9h+               1.7%  </w:t>
      </w:r>
      <w:r>
        <w:rPr>
          <w:color w:val="006D77"/>
          <w:sz w:val="18"/>
        </w:rPr>
        <w:t>█</w:t>
      </w:r>
    </w:p>
    <w:p>
      <w:pPr>
        <w:spacing w:after="160"/>
      </w:pPr>
      <w:r>
        <w:rPr>
          <w:b/>
          <w:i w:val="0"/>
          <w:sz w:val="19"/>
        </w:rPr>
        <w:t xml:space="preserve">3-way split:  </w:t>
      </w:r>
      <w:r>
        <w:rPr>
          <w:b/>
          <w:i w:val="0"/>
          <w:color w:val="006D77"/>
          <w:sz w:val="19"/>
        </w:rPr>
        <w:t>visitor 68.1%  ·  commuter 30.3%  ·  long 1.7%</w:t>
      </w:r>
      <w:r>
        <w:rPr>
          <w:b w:val="0"/>
          <w:i w:val="0"/>
          <w:color w:val="555555"/>
          <w:sz w:val="19"/>
        </w:rPr>
        <w:t xml:space="preserve">   (→ adopted 1h rule: 62.8 / 30.3 / 6.9)</w:t>
      </w:r>
    </w:p>
    <w:p>
      <w:pPr>
        <w:spacing w:before="160"/>
      </w:pPr>
      <w:r>
        <w:rPr>
          <w:b/>
          <w:color w:val="006D77"/>
          <w:sz w:val="25"/>
        </w:rPr>
        <w:t>A2.  Alternative — 2-hour rule (not adopted)</w:t>
      </w:r>
    </w:p>
    <w:p>
      <w:pPr>
        <w:spacing w:after="80"/>
      </w:pPr>
      <w:r>
        <w:rPr>
          <w:b w:val="0"/>
          <w:i w:val="0"/>
          <w:sz w:val="20"/>
        </w:rPr>
        <w:t xml:space="preserve">Widens the buffer: reclassifies a vehicle present at the first hour that leaves within two hours, or one that arrives within the last two hours and is still present at the final hour. A vehicle seen at last−1 but absent at the last hour is NOT reclassified — its departure was observed. </w:t>
      </w:r>
      <w:r>
        <w:rPr>
          <w:b/>
          <w:i w:val="0"/>
          <w:sz w:val="20"/>
        </w:rPr>
        <w:t>736 stays (6.5%)</w:t>
      </w:r>
      <w:r>
        <w:rPr>
          <w:b w:val="0"/>
          <w:i w:val="0"/>
          <w:sz w:val="20"/>
        </w:rPr>
        <w:t xml:space="preserve"> move to overnight; the extra 136 vs the adopted 1h rule come from the 2h bin.</w:t>
      </w:r>
    </w:p>
    <w:p>
      <w:pPr>
        <w:spacing w:after="0" w:before="0"/>
      </w:pPr>
      <w:r>
        <w:rPr>
          <w:rFonts w:ascii="Consolas" w:hAnsi="Consolas"/>
          <w:sz w:val="18"/>
        </w:rPr>
        <w:t xml:space="preserve">1h               62.8%  </w:t>
      </w:r>
      <w:r>
        <w:rPr>
          <w:color w:val="006D77"/>
          <w:sz w:val="18"/>
        </w:rPr>
        <w:t>█████████████████████████████████████████████</w:t>
      </w:r>
    </w:p>
    <w:p>
      <w:pPr>
        <w:spacing w:after="0" w:before="0"/>
      </w:pPr>
      <w:r>
        <w:rPr>
          <w:rFonts w:ascii="Consolas" w:hAnsi="Consolas"/>
          <w:sz w:val="18"/>
        </w:rPr>
        <w:t xml:space="preserve">2h               13.2%  </w:t>
      </w:r>
      <w:r>
        <w:rPr>
          <w:color w:val="006D77"/>
          <w:sz w:val="18"/>
        </w:rPr>
        <w:t>█████████</w:t>
      </w:r>
    </w:p>
    <w:p>
      <w:pPr>
        <w:spacing w:after="0" w:before="0"/>
      </w:pPr>
      <w:r>
        <w:rPr>
          <w:rFonts w:ascii="Consolas" w:hAnsi="Consolas"/>
          <w:sz w:val="18"/>
        </w:rPr>
        <w:t xml:space="preserve">3h                6.5%  </w:t>
      </w:r>
      <w:r>
        <w:rPr>
          <w:color w:val="006D77"/>
          <w:sz w:val="18"/>
        </w:rPr>
        <w:t>█████</w:t>
      </w:r>
    </w:p>
    <w:p>
      <w:pPr>
        <w:spacing w:after="0" w:before="0"/>
      </w:pPr>
      <w:r>
        <w:rPr>
          <w:rFonts w:ascii="Consolas" w:hAnsi="Consolas"/>
          <w:sz w:val="18"/>
        </w:rPr>
        <w:t xml:space="preserve">4h                3.5%  </w:t>
      </w:r>
      <w:r>
        <w:rPr>
          <w:color w:val="006D77"/>
          <w:sz w:val="18"/>
        </w:rPr>
        <w:t>██</w:t>
      </w:r>
    </w:p>
    <w:p>
      <w:pPr>
        <w:spacing w:after="0" w:before="0"/>
      </w:pPr>
      <w:r>
        <w:rPr>
          <w:rFonts w:ascii="Consolas" w:hAnsi="Consolas"/>
          <w:sz w:val="18"/>
        </w:rPr>
        <w:t xml:space="preserve">5h                2.2%  </w:t>
      </w:r>
      <w:r>
        <w:rPr>
          <w:color w:val="006D77"/>
          <w:sz w:val="18"/>
        </w:rPr>
        <w:t>██</w:t>
      </w:r>
    </w:p>
    <w:p>
      <w:pPr>
        <w:spacing w:after="0" w:before="0"/>
      </w:pPr>
      <w:r>
        <w:rPr>
          <w:rFonts w:ascii="Consolas" w:hAnsi="Consolas"/>
          <w:sz w:val="18"/>
        </w:rPr>
        <w:t xml:space="preserve">6h                1.6%  </w:t>
      </w:r>
      <w:r>
        <w:rPr>
          <w:color w:val="006D77"/>
          <w:sz w:val="18"/>
        </w:rPr>
        <w:t>█</w:t>
      </w:r>
    </w:p>
    <w:p>
      <w:pPr>
        <w:spacing w:after="0" w:before="0"/>
      </w:pPr>
      <w:r>
        <w:rPr>
          <w:rFonts w:ascii="Consolas" w:hAnsi="Consolas"/>
          <w:sz w:val="18"/>
        </w:rPr>
        <w:t xml:space="preserve">7h                1.2%  </w:t>
      </w:r>
      <w:r>
        <w:rPr>
          <w:color w:val="006D77"/>
          <w:sz w:val="18"/>
        </w:rPr>
        <w:t>█</w:t>
      </w:r>
    </w:p>
    <w:p>
      <w:pPr>
        <w:spacing w:after="0" w:before="0"/>
      </w:pPr>
      <w:r>
        <w:rPr>
          <w:rFonts w:ascii="Consolas" w:hAnsi="Consolas"/>
          <w:sz w:val="18"/>
        </w:rPr>
        <w:t xml:space="preserve">8h                0.9%  </w:t>
      </w:r>
      <w:r>
        <w:rPr>
          <w:color w:val="006D77"/>
          <w:sz w:val="18"/>
        </w:rPr>
        <w:t>█</w:t>
      </w:r>
    </w:p>
    <w:p>
      <w:pPr>
        <w:spacing w:after="0" w:before="0"/>
      </w:pPr>
      <w:r>
        <w:rPr>
          <w:rFonts w:ascii="Consolas" w:hAnsi="Consolas"/>
          <w:sz w:val="18"/>
        </w:rPr>
        <w:t xml:space="preserve">8h+ / overnight   8.1%  </w:t>
      </w:r>
      <w:r>
        <w:rPr>
          <w:color w:val="006D77"/>
          <w:sz w:val="18"/>
        </w:rPr>
        <w:t>██████</w:t>
      </w:r>
    </w:p>
    <w:p>
      <w:pPr>
        <w:spacing w:after="160"/>
      </w:pPr>
      <w:r>
        <w:rPr>
          <w:b/>
          <w:i w:val="0"/>
          <w:sz w:val="19"/>
        </w:rPr>
        <w:t xml:space="preserve">3-way split:  </w:t>
      </w:r>
      <w:r>
        <w:rPr>
          <w:b/>
          <w:i w:val="0"/>
          <w:color w:val="006D77"/>
          <w:sz w:val="19"/>
        </w:rPr>
        <w:t>visitor 62.8%  ·  commuter 29.1%  ·  long/overnight 8.1%</w:t>
      </w:r>
      <w:r>
        <w:rPr>
          <w:b w:val="0"/>
          <w:i w:val="0"/>
          <w:color w:val="555555"/>
          <w:sz w:val="19"/>
        </w:rPr>
        <w:t xml:space="preserve">   (vs adopted 1h rule: 62.8 / 30.3 / 6.9)</w:t>
      </w:r>
    </w:p>
    <w:p>
      <w:pPr>
        <w:spacing w:after="80"/>
      </w:pPr>
      <w:r>
        <w:rPr>
          <w:b w:val="0"/>
          <w:i/>
          <w:color w:val="555555"/>
          <w:sz w:val="18"/>
        </w:rPr>
        <w:t>The adopted rule is a modelling assumption, not a measurement: it treats every edge-only vehicle as overnight, so the ~7% overnight share is an upper estimate for this correction and still a floor on true overnight demand, which the daytime window cannot capture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