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B3A8" w14:textId="77777777" w:rsidR="006E064D" w:rsidRDefault="00000000">
      <w:r>
        <w:rPr>
          <w:b/>
          <w:color w:val="555555"/>
        </w:rPr>
        <w:t>Yerevan Parking Study  •  Internal Review Memo</w:t>
      </w:r>
    </w:p>
    <w:p w14:paraId="1A8B20E8" w14:textId="77777777" w:rsidR="006E064D" w:rsidRDefault="00000000">
      <w:r>
        <w:rPr>
          <w:b/>
          <w:color w:val="142A4A"/>
          <w:sz w:val="40"/>
        </w:rPr>
        <w:t>Mitigation Measures — Audit &amp; Validation against the Field Survey</w:t>
      </w:r>
    </w:p>
    <w:p w14:paraId="667A14D5" w14:textId="77777777" w:rsidR="006E064D" w:rsidRDefault="00000000">
      <w:r>
        <w:rPr>
          <w:i/>
          <w:color w:val="555555"/>
        </w:rPr>
        <w:t>Pressure-testing the Output 8 and Output 10 mitigation measures — drafted a priori, before fieldwork — against the field-survey evidence.</w:t>
      </w:r>
    </w:p>
    <w:p w14:paraId="747E2430" w14:textId="77777777" w:rsidR="006E064D" w:rsidRDefault="006E064D">
      <w:pPr>
        <w:pBdr>
          <w:bottom w:val="single" w:sz="10" w:space="1" w:color="142A4A"/>
        </w:pBdr>
      </w:pPr>
    </w:p>
    <w:p w14:paraId="263F4C76" w14:textId="77777777" w:rsidR="006E064D" w:rsidRDefault="00000000">
      <w:pPr>
        <w:spacing w:after="80"/>
      </w:pPr>
      <w:r>
        <w:rPr>
          <w:b/>
          <w:color w:val="555555"/>
          <w:sz w:val="20"/>
        </w:rPr>
        <w:t xml:space="preserve">Scope. </w:t>
      </w:r>
      <w:r>
        <w:rPr>
          <w:color w:val="555555"/>
          <w:sz w:val="20"/>
        </w:rPr>
        <w:t>Re-derived independently from the source deliverables and the field-survey dataset; convergence and divergence with the report's existing “Implications” chapter are flagged. Figures are from the validated survey run (six areas; 208 on-street segments; ~2,930 marked spaces) and the raw stay-length histogram (11,394 on-street stays).</w:t>
      </w:r>
    </w:p>
    <w:p w14:paraId="65650AA1" w14:textId="77777777" w:rsidR="006E064D" w:rsidRDefault="00000000">
      <w:pPr>
        <w:spacing w:before="240"/>
      </w:pPr>
      <w:r>
        <w:rPr>
          <w:b/>
          <w:color w:val="142A4A"/>
          <w:sz w:val="30"/>
        </w:rPr>
        <w:t>1.  Decision</w:t>
      </w:r>
    </w:p>
    <w:p w14:paraId="7055B26E" w14:textId="77777777" w:rsidR="006E064D" w:rsidRDefault="00000000">
      <w:pPr>
        <w:spacing w:after="80"/>
      </w:pPr>
      <w:r>
        <w:t xml:space="preserve">The measure </w:t>
      </w:r>
      <w:r>
        <w:rPr>
          <w:i/>
        </w:rPr>
        <w:t>menu</w:t>
      </w:r>
      <w:r>
        <w:t xml:space="preserve"> holds up. The measure </w:t>
      </w:r>
      <w:r>
        <w:rPr>
          <w:i/>
        </w:rPr>
        <w:t>targeting</w:t>
      </w:r>
      <w:r>
        <w:t xml:space="preserve"> does not.</w:t>
      </w:r>
    </w:p>
    <w:p w14:paraId="22AB0E0A" w14:textId="77777777" w:rsidR="006E064D" w:rsidRDefault="00000000">
      <w:pPr>
        <w:spacing w:after="80"/>
      </w:pPr>
      <w:r>
        <w:t>Nothing in the survey justifies deleting a measure. But the survey overturns three things that were guessed before fieldwork:</w:t>
      </w:r>
    </w:p>
    <w:p w14:paraId="0DF8F805" w14:textId="77777777" w:rsidR="00362837" w:rsidRDefault="00362837">
      <w:pPr>
        <w:pStyle w:val="ListBullet"/>
      </w:pPr>
      <w:r>
        <w:rPr>
          <w:b/>
        </w:rPr>
        <w:t>ELEVATE &amp; COMMIT — the off-street measure (M7 — open residential yards).</w:t>
      </w:r>
      <w:r>
        <w:t xml:space="preserve"> The entire displacement case rests on off-street capacity: surviving on-street absorbs only 43% of peak displaced demand (14% in the Kentron core, 0% in Komitas), and 92% of the off-street capacity that closes the gap to ~100% is gated residential yards counted at gross capacity as if already open. So the “demand can be re-absorbed” headline is silently conditional on opening those yards — i.e. on M7. Yet O10 frames M7 as an optional pilot in the lower-sensitivity zones. It is the load-bearing measure of the whole strategy and must be made a committed precondition, led in the core. No net-new measure — M7 elevated.</w:t>
      </w:r>
    </w:p>
    <w:p w14:paraId="002A34EF" w14:textId="77777777" w:rsidR="006E064D" w:rsidRDefault="00000000">
      <w:pPr>
        <w:pStyle w:val="ListBullet"/>
      </w:pPr>
      <w:r>
        <w:rPr>
          <w:b/>
        </w:rPr>
        <w:t>RE-SCOPE (misdirected) — visitor caps / maximum-stay limits — but keep them.</w:t>
      </w:r>
      <w:r>
        <w:t xml:space="preserve"> Their logic (evict long-stay commuters) is contradicted by the data: ~63% of stays are ≤1h, ~77% ≤2h, the overnight (8h+) share is ~7% — and those are residents (permit-exempt), while genuine daytime all-day workers (5–8h) are only ~6%; turnover is already 5–11 vehicles/space/day. A 2-hour cap would mostly bite 3–4h errand visitors, not commuters. Do not remove — demote to a targeted contingency for specific low-turnover spots, and lead with pricing.</w:t>
      </w:r>
    </w:p>
    <w:p w14:paraId="6E3D5305" w14:textId="77777777" w:rsidR="006E064D" w:rsidRDefault="00000000">
      <w:pPr>
        <w:pStyle w:val="ListBullet"/>
      </w:pPr>
      <w:r>
        <w:rPr>
          <w:b/>
        </w:rPr>
        <w:t>RE-ALLOCATE — measures across the sensitivity zones.</w:t>
      </w:r>
      <w:r>
        <w:t xml:space="preserve"> The high-sensitivity (Kentron) package is curb-led, but the data shows curb cannot absorb there. Yard-opening (M7) — now assigned to lower-sensitivity zones — belongs first in the core (Kentron is 86% yard-dependent, Komitas 100%). Komitas, classed Medium, behaves like High (123% peak, 0% on-street absorption); Shiraz behaves like Lower (75% peak, 69% absorption). Targeting must follow measured behaviour, not a-priori geography.</w:t>
      </w:r>
    </w:p>
    <w:p w14:paraId="41A6C860" w14:textId="77777777" w:rsidR="006E064D" w:rsidRDefault="00000000">
      <w:pPr>
        <w:spacing w:after="80"/>
      </w:pPr>
      <w:r>
        <w:rPr>
          <w:b/>
        </w:rPr>
        <w:lastRenderedPageBreak/>
        <w:t xml:space="preserve">Net: </w:t>
      </w:r>
      <w:r>
        <w:t>sufficient as a toolkit — no net-new measure. Re-scope caps (demote, lead with pricing), elevate and commit M7 (the off-street measure the headline depends on), and re-allocate by zone. The “corridor itself = primary mitigation” premise is empirically confirmed — peak displaced demand is only 55% of spaces removed (908 cars vs 1,643 spaces).</w:t>
      </w:r>
    </w:p>
    <w:p w14:paraId="3661DFC5" w14:textId="77777777" w:rsidR="006E064D" w:rsidRDefault="00000000">
      <w:pPr>
        <w:spacing w:after="80"/>
      </w:pPr>
      <w:r>
        <w:rPr>
          <w:b/>
          <w:color w:val="006D77"/>
          <w:sz w:val="20"/>
        </w:rPr>
        <w:t xml:space="preserve">Independent corroboration. </w:t>
      </w:r>
      <w:r>
        <w:rPr>
          <w:color w:val="555555"/>
          <w:sz w:val="20"/>
        </w:rPr>
        <w:t>Setting the report's existing “Implications” chapter aside and re-deriving, I reach the same Kentron curb→off-street recalibration and the same Gai Avenue residual-risk flag. I go further on three points it does not make: the off-street headline is conditional on opening gated yards (M7) and must say so; visitor caps are misdirected on the measured data; and the displaced-demand peak is midday in every area (so daytime yard availability aligns). Neither contradicts the existing recommendations.</w:t>
      </w:r>
    </w:p>
    <w:p w14:paraId="63D25AB0" w14:textId="77777777" w:rsidR="006E064D" w:rsidRDefault="00000000">
      <w:pPr>
        <w:spacing w:before="240"/>
      </w:pPr>
      <w:r>
        <w:rPr>
          <w:b/>
          <w:color w:val="142A4A"/>
          <w:sz w:val="30"/>
        </w:rPr>
        <w:t>2.  Inventory of current measures</w:t>
      </w:r>
    </w:p>
    <w:p w14:paraId="17EDEEC7" w14:textId="77777777" w:rsidR="006E064D" w:rsidRDefault="00000000">
      <w:pPr>
        <w:spacing w:after="80"/>
      </w:pPr>
      <w:r>
        <w:rPr>
          <w:color w:val="555555"/>
          <w:sz w:val="20"/>
        </w:rPr>
        <w:t>Output 8 sets up the displacement frame (supply inventory, absorptive-capacity pools, sensitivity zones). The measures themselves live in Output 10.</w:t>
      </w:r>
    </w:p>
    <w:tbl>
      <w:tblPr>
        <w:tblStyle w:val="TableGrid"/>
        <w:tblW w:w="0" w:type="auto"/>
        <w:jc w:val="center"/>
        <w:tblLook w:val="04A0" w:firstRow="1" w:lastRow="0" w:firstColumn="1" w:lastColumn="0" w:noHBand="0" w:noVBand="1"/>
      </w:tblPr>
      <w:tblGrid>
        <w:gridCol w:w="576"/>
        <w:gridCol w:w="3228"/>
        <w:gridCol w:w="3638"/>
        <w:gridCol w:w="1414"/>
      </w:tblGrid>
      <w:tr w:rsidR="006E064D" w14:paraId="5601D47E" w14:textId="77777777">
        <w:trPr>
          <w:jc w:val="center"/>
        </w:trPr>
        <w:tc>
          <w:tcPr>
            <w:tcW w:w="576" w:type="dxa"/>
            <w:shd w:val="clear" w:color="auto" w:fill="142A4A"/>
          </w:tcPr>
          <w:p w14:paraId="1DEDFDCB" w14:textId="77777777" w:rsidR="006E064D" w:rsidRDefault="00000000">
            <w:r>
              <w:rPr>
                <w:b/>
                <w:color w:val="FFFFFF"/>
                <w:sz w:val="19"/>
              </w:rPr>
              <w:t>#</w:t>
            </w:r>
          </w:p>
        </w:tc>
        <w:tc>
          <w:tcPr>
            <w:tcW w:w="3312" w:type="dxa"/>
            <w:shd w:val="clear" w:color="auto" w:fill="142A4A"/>
          </w:tcPr>
          <w:p w14:paraId="4E2E22BF" w14:textId="77777777" w:rsidR="006E064D" w:rsidRDefault="00000000">
            <w:pPr>
              <w:jc w:val="center"/>
            </w:pPr>
            <w:r>
              <w:rPr>
                <w:b/>
                <w:color w:val="FFFFFF"/>
                <w:sz w:val="19"/>
              </w:rPr>
              <w:t>Measure</w:t>
            </w:r>
          </w:p>
        </w:tc>
        <w:tc>
          <w:tcPr>
            <w:tcW w:w="3744" w:type="dxa"/>
            <w:shd w:val="clear" w:color="auto" w:fill="142A4A"/>
          </w:tcPr>
          <w:p w14:paraId="5AF7D699" w14:textId="77777777" w:rsidR="006E064D" w:rsidRDefault="00000000">
            <w:pPr>
              <w:jc w:val="center"/>
            </w:pPr>
            <w:r>
              <w:rPr>
                <w:b/>
                <w:color w:val="FFFFFF"/>
                <w:sz w:val="19"/>
              </w:rPr>
              <w:t>Stated purpose</w:t>
            </w:r>
          </w:p>
        </w:tc>
        <w:tc>
          <w:tcPr>
            <w:tcW w:w="1440" w:type="dxa"/>
            <w:shd w:val="clear" w:color="auto" w:fill="142A4A"/>
          </w:tcPr>
          <w:p w14:paraId="70F083EB" w14:textId="77777777" w:rsidR="006E064D" w:rsidRDefault="00000000">
            <w:pPr>
              <w:jc w:val="center"/>
            </w:pPr>
            <w:r>
              <w:rPr>
                <w:b/>
                <w:color w:val="FFFFFF"/>
                <w:sz w:val="19"/>
              </w:rPr>
              <w:t>Zone(s)</w:t>
            </w:r>
          </w:p>
        </w:tc>
      </w:tr>
      <w:tr w:rsidR="006E064D" w14:paraId="70767B70" w14:textId="77777777">
        <w:trPr>
          <w:jc w:val="center"/>
        </w:trPr>
        <w:tc>
          <w:tcPr>
            <w:tcW w:w="576" w:type="dxa"/>
          </w:tcPr>
          <w:p w14:paraId="1F41C502" w14:textId="77777777" w:rsidR="006E064D" w:rsidRDefault="00000000">
            <w:r>
              <w:rPr>
                <w:sz w:val="19"/>
              </w:rPr>
              <w:t>M0</w:t>
            </w:r>
          </w:p>
        </w:tc>
        <w:tc>
          <w:tcPr>
            <w:tcW w:w="3312" w:type="dxa"/>
          </w:tcPr>
          <w:p w14:paraId="392FB265" w14:textId="77777777" w:rsidR="006E064D" w:rsidRDefault="00000000">
            <w:pPr>
              <w:jc w:val="center"/>
            </w:pPr>
            <w:r>
              <w:rPr>
                <w:b/>
                <w:sz w:val="19"/>
              </w:rPr>
              <w:t>The corridor itself</w:t>
            </w:r>
            <w:r>
              <w:rPr>
                <w:sz w:val="19"/>
              </w:rPr>
              <w:t xml:space="preserve"> (modal shift via BRT)</w:t>
            </w:r>
          </w:p>
        </w:tc>
        <w:tc>
          <w:tcPr>
            <w:tcW w:w="3744" w:type="dxa"/>
          </w:tcPr>
          <w:p w14:paraId="75DBB045" w14:textId="77777777" w:rsidR="006E064D" w:rsidRDefault="00000000">
            <w:pPr>
              <w:jc w:val="center"/>
            </w:pPr>
            <w:r>
              <w:rPr>
                <w:sz w:val="19"/>
              </w:rPr>
              <w:t>Primary mitigation</w:t>
            </w:r>
          </w:p>
        </w:tc>
        <w:tc>
          <w:tcPr>
            <w:tcW w:w="1440" w:type="dxa"/>
          </w:tcPr>
          <w:p w14:paraId="08063045" w14:textId="77777777" w:rsidR="006E064D" w:rsidRDefault="00000000">
            <w:pPr>
              <w:jc w:val="center"/>
            </w:pPr>
            <w:r>
              <w:rPr>
                <w:sz w:val="19"/>
              </w:rPr>
              <w:t>All</w:t>
            </w:r>
          </w:p>
        </w:tc>
      </w:tr>
      <w:tr w:rsidR="006E064D" w14:paraId="7DECFEB5" w14:textId="77777777">
        <w:trPr>
          <w:jc w:val="center"/>
        </w:trPr>
        <w:tc>
          <w:tcPr>
            <w:tcW w:w="576" w:type="dxa"/>
          </w:tcPr>
          <w:p w14:paraId="0C6A769F" w14:textId="77777777" w:rsidR="006E064D" w:rsidRDefault="00000000">
            <w:r>
              <w:rPr>
                <w:sz w:val="19"/>
              </w:rPr>
              <w:t>M1</w:t>
            </w:r>
          </w:p>
        </w:tc>
        <w:tc>
          <w:tcPr>
            <w:tcW w:w="3312" w:type="dxa"/>
          </w:tcPr>
          <w:p w14:paraId="6B5559D9" w14:textId="77777777" w:rsidR="006E064D" w:rsidRDefault="00000000">
            <w:pPr>
              <w:jc w:val="center"/>
            </w:pPr>
            <w:r>
              <w:rPr>
                <w:b/>
                <w:sz w:val="19"/>
              </w:rPr>
              <w:t>Extend paid zones</w:t>
            </w:r>
            <w:r>
              <w:rPr>
                <w:sz w:val="19"/>
              </w:rPr>
              <w:t xml:space="preserve"> (red/blue ≤100 m)</w:t>
            </w:r>
          </w:p>
        </w:tc>
        <w:tc>
          <w:tcPr>
            <w:tcW w:w="3744" w:type="dxa"/>
          </w:tcPr>
          <w:p w14:paraId="4464BA7D" w14:textId="77777777" w:rsidR="006E064D" w:rsidRDefault="00000000">
            <w:pPr>
              <w:jc w:val="center"/>
            </w:pPr>
            <w:r>
              <w:rPr>
                <w:sz w:val="19"/>
              </w:rPr>
              <w:t>Absorb spillover; manage demand</w:t>
            </w:r>
          </w:p>
        </w:tc>
        <w:tc>
          <w:tcPr>
            <w:tcW w:w="1440" w:type="dxa"/>
          </w:tcPr>
          <w:p w14:paraId="67533389" w14:textId="77777777" w:rsidR="006E064D" w:rsidRDefault="00000000">
            <w:pPr>
              <w:jc w:val="center"/>
            </w:pPr>
            <w:r>
              <w:rPr>
                <w:sz w:val="19"/>
              </w:rPr>
              <w:t>High + Med</w:t>
            </w:r>
          </w:p>
        </w:tc>
      </w:tr>
      <w:tr w:rsidR="006E064D" w14:paraId="13AD4708" w14:textId="77777777">
        <w:trPr>
          <w:jc w:val="center"/>
        </w:trPr>
        <w:tc>
          <w:tcPr>
            <w:tcW w:w="576" w:type="dxa"/>
          </w:tcPr>
          <w:p w14:paraId="07F47432" w14:textId="77777777" w:rsidR="006E064D" w:rsidRDefault="00000000">
            <w:r>
              <w:rPr>
                <w:sz w:val="19"/>
              </w:rPr>
              <w:t>M2</w:t>
            </w:r>
          </w:p>
        </w:tc>
        <w:tc>
          <w:tcPr>
            <w:tcW w:w="3312" w:type="dxa"/>
          </w:tcPr>
          <w:p w14:paraId="481A612E" w14:textId="77777777" w:rsidR="006E064D" w:rsidRDefault="00000000">
            <w:pPr>
              <w:jc w:val="center"/>
            </w:pPr>
            <w:r>
              <w:rPr>
                <w:b/>
                <w:sz w:val="19"/>
              </w:rPr>
              <w:t>Delivery / loading bays</w:t>
            </w:r>
          </w:p>
        </w:tc>
        <w:tc>
          <w:tcPr>
            <w:tcW w:w="3744" w:type="dxa"/>
          </w:tcPr>
          <w:p w14:paraId="370EF256" w14:textId="77777777" w:rsidR="006E064D" w:rsidRDefault="00000000">
            <w:pPr>
              <w:jc w:val="center"/>
            </w:pPr>
            <w:r>
              <w:rPr>
                <w:sz w:val="19"/>
              </w:rPr>
              <w:t>Protect commercial servicing</w:t>
            </w:r>
          </w:p>
        </w:tc>
        <w:tc>
          <w:tcPr>
            <w:tcW w:w="1440" w:type="dxa"/>
          </w:tcPr>
          <w:p w14:paraId="537391CD" w14:textId="77777777" w:rsidR="006E064D" w:rsidRDefault="00000000">
            <w:pPr>
              <w:jc w:val="center"/>
            </w:pPr>
            <w:r>
              <w:rPr>
                <w:sz w:val="19"/>
              </w:rPr>
              <w:t>High + Med</w:t>
            </w:r>
          </w:p>
        </w:tc>
      </w:tr>
      <w:tr w:rsidR="006E064D" w14:paraId="48C33D6E" w14:textId="77777777">
        <w:trPr>
          <w:jc w:val="center"/>
        </w:trPr>
        <w:tc>
          <w:tcPr>
            <w:tcW w:w="576" w:type="dxa"/>
          </w:tcPr>
          <w:p w14:paraId="798AC469" w14:textId="77777777" w:rsidR="006E064D" w:rsidRDefault="00000000">
            <w:r>
              <w:rPr>
                <w:sz w:val="19"/>
              </w:rPr>
              <w:t>M3</w:t>
            </w:r>
          </w:p>
        </w:tc>
        <w:tc>
          <w:tcPr>
            <w:tcW w:w="3312" w:type="dxa"/>
          </w:tcPr>
          <w:p w14:paraId="5B9DED6C" w14:textId="77777777" w:rsidR="006E064D" w:rsidRDefault="00000000">
            <w:pPr>
              <w:jc w:val="center"/>
            </w:pPr>
            <w:r>
              <w:rPr>
                <w:b/>
                <w:sz w:val="19"/>
              </w:rPr>
              <w:t>Visitor caps</w:t>
            </w:r>
            <w:r>
              <w:rPr>
                <w:sz w:val="19"/>
              </w:rPr>
              <w:t xml:space="preserve"> (max-stay)</w:t>
            </w:r>
          </w:p>
        </w:tc>
        <w:tc>
          <w:tcPr>
            <w:tcW w:w="3744" w:type="dxa"/>
          </w:tcPr>
          <w:p w14:paraId="54AA3D0C" w14:textId="77777777" w:rsidR="006E064D" w:rsidRDefault="00000000">
            <w:pPr>
              <w:jc w:val="center"/>
            </w:pPr>
            <w:r>
              <w:rPr>
                <w:sz w:val="19"/>
              </w:rPr>
              <w:t>Increase turnover</w:t>
            </w:r>
          </w:p>
        </w:tc>
        <w:tc>
          <w:tcPr>
            <w:tcW w:w="1440" w:type="dxa"/>
          </w:tcPr>
          <w:p w14:paraId="21F4D605" w14:textId="77777777" w:rsidR="006E064D" w:rsidRDefault="00000000">
            <w:pPr>
              <w:jc w:val="center"/>
            </w:pPr>
            <w:r>
              <w:rPr>
                <w:sz w:val="19"/>
              </w:rPr>
              <w:t>High</w:t>
            </w:r>
          </w:p>
        </w:tc>
      </w:tr>
      <w:tr w:rsidR="006E064D" w14:paraId="6EF4025B" w14:textId="77777777">
        <w:trPr>
          <w:jc w:val="center"/>
        </w:trPr>
        <w:tc>
          <w:tcPr>
            <w:tcW w:w="576" w:type="dxa"/>
          </w:tcPr>
          <w:p w14:paraId="051886F9" w14:textId="77777777" w:rsidR="006E064D" w:rsidRDefault="00000000">
            <w:r>
              <w:rPr>
                <w:sz w:val="19"/>
              </w:rPr>
              <w:t>M4</w:t>
            </w:r>
          </w:p>
        </w:tc>
        <w:tc>
          <w:tcPr>
            <w:tcW w:w="3312" w:type="dxa"/>
          </w:tcPr>
          <w:p w14:paraId="18FEA20D" w14:textId="77777777" w:rsidR="006E064D" w:rsidRDefault="00000000">
            <w:pPr>
              <w:jc w:val="center"/>
            </w:pPr>
            <w:r>
              <w:rPr>
                <w:b/>
                <w:sz w:val="19"/>
              </w:rPr>
              <w:t>Resident permits</w:t>
            </w:r>
            <w:r>
              <w:rPr>
                <w:sz w:val="19"/>
              </w:rPr>
              <w:t xml:space="preserve"> (transitional)</w:t>
            </w:r>
          </w:p>
        </w:tc>
        <w:tc>
          <w:tcPr>
            <w:tcW w:w="3744" w:type="dxa"/>
          </w:tcPr>
          <w:p w14:paraId="7B9B8AE9" w14:textId="77777777" w:rsidR="006E064D" w:rsidRDefault="00000000">
            <w:pPr>
              <w:jc w:val="center"/>
            </w:pPr>
            <w:r>
              <w:rPr>
                <w:sz w:val="19"/>
              </w:rPr>
              <w:t>Protect residents from spillover cost</w:t>
            </w:r>
          </w:p>
        </w:tc>
        <w:tc>
          <w:tcPr>
            <w:tcW w:w="1440" w:type="dxa"/>
          </w:tcPr>
          <w:p w14:paraId="192D03B5" w14:textId="77777777" w:rsidR="006E064D" w:rsidRDefault="00000000">
            <w:pPr>
              <w:jc w:val="center"/>
            </w:pPr>
            <w:r>
              <w:rPr>
                <w:sz w:val="19"/>
              </w:rPr>
              <w:t>High</w:t>
            </w:r>
          </w:p>
        </w:tc>
      </w:tr>
      <w:tr w:rsidR="006E064D" w14:paraId="74E9497F" w14:textId="77777777">
        <w:trPr>
          <w:jc w:val="center"/>
        </w:trPr>
        <w:tc>
          <w:tcPr>
            <w:tcW w:w="576" w:type="dxa"/>
          </w:tcPr>
          <w:p w14:paraId="220B4177" w14:textId="77777777" w:rsidR="006E064D" w:rsidRDefault="00000000">
            <w:r>
              <w:rPr>
                <w:sz w:val="19"/>
              </w:rPr>
              <w:t>M5</w:t>
            </w:r>
          </w:p>
        </w:tc>
        <w:tc>
          <w:tcPr>
            <w:tcW w:w="3312" w:type="dxa"/>
          </w:tcPr>
          <w:p w14:paraId="24DB34FE" w14:textId="77777777" w:rsidR="006E064D" w:rsidRDefault="00000000">
            <w:pPr>
              <w:jc w:val="center"/>
            </w:pPr>
            <w:r>
              <w:rPr>
                <w:b/>
                <w:sz w:val="19"/>
              </w:rPr>
              <w:t>Organise free parking</w:t>
            </w:r>
            <w:r>
              <w:rPr>
                <w:sz w:val="19"/>
              </w:rPr>
              <w:t xml:space="preserve"> (no pricing)</w:t>
            </w:r>
          </w:p>
        </w:tc>
        <w:tc>
          <w:tcPr>
            <w:tcW w:w="3744" w:type="dxa"/>
          </w:tcPr>
          <w:p w14:paraId="088CC80C" w14:textId="77777777" w:rsidR="006E064D" w:rsidRDefault="00000000">
            <w:pPr>
              <w:jc w:val="center"/>
            </w:pPr>
            <w:r>
              <w:rPr>
                <w:sz w:val="19"/>
              </w:rPr>
              <w:t>Structure chaotic free supply</w:t>
            </w:r>
          </w:p>
        </w:tc>
        <w:tc>
          <w:tcPr>
            <w:tcW w:w="1440" w:type="dxa"/>
          </w:tcPr>
          <w:p w14:paraId="1BE32AAF" w14:textId="77777777" w:rsidR="006E064D" w:rsidRDefault="00000000">
            <w:pPr>
              <w:jc w:val="center"/>
            </w:pPr>
            <w:r>
              <w:rPr>
                <w:sz w:val="19"/>
              </w:rPr>
              <w:t>Lower</w:t>
            </w:r>
          </w:p>
        </w:tc>
      </w:tr>
      <w:tr w:rsidR="006E064D" w14:paraId="77EEA237" w14:textId="77777777">
        <w:trPr>
          <w:jc w:val="center"/>
        </w:trPr>
        <w:tc>
          <w:tcPr>
            <w:tcW w:w="576" w:type="dxa"/>
          </w:tcPr>
          <w:p w14:paraId="34B589BE" w14:textId="77777777" w:rsidR="006E064D" w:rsidRDefault="00000000">
            <w:r>
              <w:rPr>
                <w:sz w:val="19"/>
              </w:rPr>
              <w:t>M6</w:t>
            </w:r>
          </w:p>
        </w:tc>
        <w:tc>
          <w:tcPr>
            <w:tcW w:w="3312" w:type="dxa"/>
          </w:tcPr>
          <w:p w14:paraId="33721A90" w14:textId="77777777" w:rsidR="006E064D" w:rsidRDefault="00000000">
            <w:pPr>
              <w:jc w:val="center"/>
            </w:pPr>
            <w:r>
              <w:rPr>
                <w:b/>
                <w:sz w:val="19"/>
              </w:rPr>
              <w:t>Park &amp; ride</w:t>
            </w:r>
          </w:p>
        </w:tc>
        <w:tc>
          <w:tcPr>
            <w:tcW w:w="3744" w:type="dxa"/>
          </w:tcPr>
          <w:p w14:paraId="3B71C64D" w14:textId="77777777" w:rsidR="006E064D" w:rsidRDefault="00000000">
            <w:pPr>
              <w:jc w:val="center"/>
            </w:pPr>
            <w:r>
              <w:rPr>
                <w:sz w:val="19"/>
              </w:rPr>
              <w:t>Intercept inbound commuters</w:t>
            </w:r>
          </w:p>
        </w:tc>
        <w:tc>
          <w:tcPr>
            <w:tcW w:w="1440" w:type="dxa"/>
          </w:tcPr>
          <w:p w14:paraId="16D15676" w14:textId="77777777" w:rsidR="006E064D" w:rsidRDefault="00000000">
            <w:pPr>
              <w:jc w:val="center"/>
            </w:pPr>
            <w:r>
              <w:rPr>
                <w:sz w:val="19"/>
              </w:rPr>
              <w:t>Med + Lower</w:t>
            </w:r>
          </w:p>
        </w:tc>
      </w:tr>
      <w:tr w:rsidR="006E064D" w14:paraId="0C1FDF57" w14:textId="77777777">
        <w:trPr>
          <w:jc w:val="center"/>
        </w:trPr>
        <w:tc>
          <w:tcPr>
            <w:tcW w:w="576" w:type="dxa"/>
          </w:tcPr>
          <w:p w14:paraId="18D1FE69" w14:textId="77777777" w:rsidR="006E064D" w:rsidRDefault="00000000">
            <w:r>
              <w:rPr>
                <w:sz w:val="19"/>
              </w:rPr>
              <w:t>M7</w:t>
            </w:r>
          </w:p>
        </w:tc>
        <w:tc>
          <w:tcPr>
            <w:tcW w:w="3312" w:type="dxa"/>
          </w:tcPr>
          <w:p w14:paraId="4B19C14F" w14:textId="77777777" w:rsidR="006E064D" w:rsidRDefault="00000000">
            <w:pPr>
              <w:jc w:val="center"/>
            </w:pPr>
            <w:r>
              <w:rPr>
                <w:b/>
                <w:sz w:val="19"/>
              </w:rPr>
              <w:t>Open residential yards</w:t>
            </w:r>
          </w:p>
        </w:tc>
        <w:tc>
          <w:tcPr>
            <w:tcW w:w="3744" w:type="dxa"/>
          </w:tcPr>
          <w:p w14:paraId="3619D242" w14:textId="77777777" w:rsidR="006E064D" w:rsidRDefault="00000000">
            <w:pPr>
              <w:jc w:val="center"/>
            </w:pPr>
            <w:r>
              <w:rPr>
                <w:sz w:val="19"/>
              </w:rPr>
              <w:t>Create off-street supply</w:t>
            </w:r>
          </w:p>
        </w:tc>
        <w:tc>
          <w:tcPr>
            <w:tcW w:w="1440" w:type="dxa"/>
          </w:tcPr>
          <w:p w14:paraId="17A410A9" w14:textId="77777777" w:rsidR="006E064D" w:rsidRDefault="00000000">
            <w:pPr>
              <w:jc w:val="center"/>
            </w:pPr>
            <w:r>
              <w:rPr>
                <w:sz w:val="19"/>
              </w:rPr>
              <w:t>Lower</w:t>
            </w:r>
          </w:p>
        </w:tc>
      </w:tr>
      <w:tr w:rsidR="006E064D" w14:paraId="18572DE2" w14:textId="77777777">
        <w:trPr>
          <w:jc w:val="center"/>
        </w:trPr>
        <w:tc>
          <w:tcPr>
            <w:tcW w:w="576" w:type="dxa"/>
          </w:tcPr>
          <w:p w14:paraId="3DC7CC12" w14:textId="77777777" w:rsidR="006E064D" w:rsidRDefault="00000000">
            <w:r>
              <w:rPr>
                <w:sz w:val="19"/>
              </w:rPr>
              <w:t>M8</w:t>
            </w:r>
          </w:p>
        </w:tc>
        <w:tc>
          <w:tcPr>
            <w:tcW w:w="3312" w:type="dxa"/>
          </w:tcPr>
          <w:p w14:paraId="34ECA29C" w14:textId="77777777" w:rsidR="006E064D" w:rsidRDefault="00000000">
            <w:pPr>
              <w:jc w:val="center"/>
            </w:pPr>
            <w:r>
              <w:rPr>
                <w:b/>
                <w:sz w:val="19"/>
              </w:rPr>
              <w:t>ANPR enforcement</w:t>
            </w:r>
            <w:r>
              <w:rPr>
                <w:sz w:val="19"/>
              </w:rPr>
              <w:t xml:space="preserve"> extension</w:t>
            </w:r>
          </w:p>
        </w:tc>
        <w:tc>
          <w:tcPr>
            <w:tcW w:w="3744" w:type="dxa"/>
          </w:tcPr>
          <w:p w14:paraId="75270CDE" w14:textId="77777777" w:rsidR="006E064D" w:rsidRDefault="00000000">
            <w:pPr>
              <w:jc w:val="center"/>
            </w:pPr>
            <w:r>
              <w:rPr>
                <w:sz w:val="19"/>
              </w:rPr>
              <w:t>Enabling</w:t>
            </w:r>
          </w:p>
        </w:tc>
        <w:tc>
          <w:tcPr>
            <w:tcW w:w="1440" w:type="dxa"/>
          </w:tcPr>
          <w:p w14:paraId="76258473" w14:textId="77777777" w:rsidR="006E064D" w:rsidRDefault="00000000">
            <w:pPr>
              <w:jc w:val="center"/>
            </w:pPr>
            <w:r>
              <w:rPr>
                <w:sz w:val="19"/>
              </w:rPr>
              <w:t>Cross-cutting</w:t>
            </w:r>
          </w:p>
        </w:tc>
      </w:tr>
      <w:tr w:rsidR="006E064D" w14:paraId="605E1A3C" w14:textId="77777777">
        <w:trPr>
          <w:jc w:val="center"/>
        </w:trPr>
        <w:tc>
          <w:tcPr>
            <w:tcW w:w="576" w:type="dxa"/>
          </w:tcPr>
          <w:p w14:paraId="6388058D" w14:textId="77777777" w:rsidR="006E064D" w:rsidRDefault="00000000">
            <w:r>
              <w:rPr>
                <w:sz w:val="19"/>
              </w:rPr>
              <w:t>M9</w:t>
            </w:r>
          </w:p>
        </w:tc>
        <w:tc>
          <w:tcPr>
            <w:tcW w:w="3312" w:type="dxa"/>
          </w:tcPr>
          <w:p w14:paraId="7449D2E1" w14:textId="77777777" w:rsidR="006E064D" w:rsidRDefault="00000000">
            <w:pPr>
              <w:jc w:val="center"/>
            </w:pPr>
            <w:r>
              <w:rPr>
                <w:b/>
                <w:sz w:val="19"/>
              </w:rPr>
              <w:t>Duration-based fines</w:t>
            </w:r>
          </w:p>
        </w:tc>
        <w:tc>
          <w:tcPr>
            <w:tcW w:w="3744" w:type="dxa"/>
          </w:tcPr>
          <w:p w14:paraId="4F2BE7B7" w14:textId="77777777" w:rsidR="006E064D" w:rsidRDefault="00000000">
            <w:pPr>
              <w:jc w:val="center"/>
            </w:pPr>
            <w:r>
              <w:rPr>
                <w:sz w:val="19"/>
              </w:rPr>
              <w:t>Deter long storage</w:t>
            </w:r>
          </w:p>
        </w:tc>
        <w:tc>
          <w:tcPr>
            <w:tcW w:w="1440" w:type="dxa"/>
          </w:tcPr>
          <w:p w14:paraId="6265398F" w14:textId="77777777" w:rsidR="006E064D" w:rsidRDefault="00000000">
            <w:pPr>
              <w:jc w:val="center"/>
            </w:pPr>
            <w:r>
              <w:rPr>
                <w:sz w:val="19"/>
              </w:rPr>
              <w:t>Cross-cutting</w:t>
            </w:r>
          </w:p>
        </w:tc>
      </w:tr>
      <w:tr w:rsidR="006E064D" w14:paraId="5A4C0A3E" w14:textId="77777777">
        <w:trPr>
          <w:jc w:val="center"/>
        </w:trPr>
        <w:tc>
          <w:tcPr>
            <w:tcW w:w="576" w:type="dxa"/>
          </w:tcPr>
          <w:p w14:paraId="1521503C" w14:textId="77777777" w:rsidR="006E064D" w:rsidRDefault="00000000">
            <w:r>
              <w:rPr>
                <w:sz w:val="19"/>
              </w:rPr>
              <w:t>M10</w:t>
            </w:r>
          </w:p>
        </w:tc>
        <w:tc>
          <w:tcPr>
            <w:tcW w:w="3312" w:type="dxa"/>
          </w:tcPr>
          <w:p w14:paraId="3A0FB882" w14:textId="77777777" w:rsidR="006E064D" w:rsidRDefault="00000000">
            <w:pPr>
              <w:jc w:val="center"/>
            </w:pPr>
            <w:r>
              <w:rPr>
                <w:b/>
                <w:sz w:val="19"/>
              </w:rPr>
              <w:t>Revenue earmarking</w:t>
            </w:r>
          </w:p>
        </w:tc>
        <w:tc>
          <w:tcPr>
            <w:tcW w:w="3744" w:type="dxa"/>
          </w:tcPr>
          <w:p w14:paraId="08261B3D" w14:textId="77777777" w:rsidR="006E064D" w:rsidRDefault="00000000">
            <w:pPr>
              <w:jc w:val="center"/>
            </w:pPr>
            <w:r>
              <w:rPr>
                <w:sz w:val="19"/>
              </w:rPr>
              <w:t>Public legitimacy</w:t>
            </w:r>
          </w:p>
        </w:tc>
        <w:tc>
          <w:tcPr>
            <w:tcW w:w="1440" w:type="dxa"/>
          </w:tcPr>
          <w:p w14:paraId="38EF95A1" w14:textId="77777777" w:rsidR="006E064D" w:rsidRDefault="00000000">
            <w:pPr>
              <w:jc w:val="center"/>
            </w:pPr>
            <w:r>
              <w:rPr>
                <w:sz w:val="19"/>
              </w:rPr>
              <w:t>Cross-cutting</w:t>
            </w:r>
          </w:p>
        </w:tc>
      </w:tr>
      <w:tr w:rsidR="006E064D" w14:paraId="45E75B1A" w14:textId="77777777">
        <w:trPr>
          <w:jc w:val="center"/>
        </w:trPr>
        <w:tc>
          <w:tcPr>
            <w:tcW w:w="576" w:type="dxa"/>
          </w:tcPr>
          <w:p w14:paraId="3231D4AD" w14:textId="77777777" w:rsidR="006E064D" w:rsidRDefault="00000000">
            <w:r>
              <w:rPr>
                <w:sz w:val="19"/>
              </w:rPr>
              <w:t>—</w:t>
            </w:r>
          </w:p>
        </w:tc>
        <w:tc>
          <w:tcPr>
            <w:tcW w:w="3312" w:type="dxa"/>
          </w:tcPr>
          <w:p w14:paraId="3CB8B6C2" w14:textId="77777777" w:rsidR="006E064D" w:rsidRDefault="00000000">
            <w:pPr>
              <w:jc w:val="center"/>
            </w:pPr>
            <w:r>
              <w:rPr>
                <w:b/>
                <w:sz w:val="19"/>
              </w:rPr>
              <w:t>Phasing + monitoring</w:t>
            </w:r>
          </w:p>
        </w:tc>
        <w:tc>
          <w:tcPr>
            <w:tcW w:w="3744" w:type="dxa"/>
          </w:tcPr>
          <w:p w14:paraId="1547F603" w14:textId="77777777" w:rsidR="006E064D" w:rsidRDefault="00000000">
            <w:pPr>
              <w:jc w:val="center"/>
            </w:pPr>
            <w:r>
              <w:rPr>
                <w:sz w:val="19"/>
              </w:rPr>
              <w:t>Sequencing (before removal)</w:t>
            </w:r>
          </w:p>
        </w:tc>
        <w:tc>
          <w:tcPr>
            <w:tcW w:w="1440" w:type="dxa"/>
          </w:tcPr>
          <w:p w14:paraId="04B59A26" w14:textId="77777777" w:rsidR="006E064D" w:rsidRDefault="00000000">
            <w:pPr>
              <w:jc w:val="center"/>
            </w:pPr>
            <w:r>
              <w:rPr>
                <w:sz w:val="19"/>
              </w:rPr>
              <w:t>All</w:t>
            </w:r>
          </w:p>
        </w:tc>
      </w:tr>
    </w:tbl>
    <w:p w14:paraId="579ED03B" w14:textId="77777777" w:rsidR="006E064D" w:rsidRDefault="00000000">
      <w:pPr>
        <w:spacing w:before="240"/>
      </w:pPr>
      <w:r>
        <w:rPr>
          <w:b/>
          <w:color w:val="142A4A"/>
          <w:sz w:val="30"/>
        </w:rPr>
        <w:t>3.  Validation against the survey</w:t>
      </w:r>
    </w:p>
    <w:p w14:paraId="02A754D5" w14:textId="77777777" w:rsidR="006E064D" w:rsidRDefault="00000000">
      <w:pPr>
        <w:spacing w:after="80"/>
      </w:pPr>
      <w:r>
        <w:rPr>
          <w:sz w:val="20"/>
        </w:rPr>
        <w:t xml:space="preserve">Verdicts: </w:t>
      </w:r>
      <w:r>
        <w:rPr>
          <w:b/>
          <w:color w:val="2E7D32"/>
          <w:sz w:val="20"/>
        </w:rPr>
        <w:t>✓ confirmed</w:t>
      </w:r>
      <w:r>
        <w:rPr>
          <w:sz w:val="20"/>
        </w:rPr>
        <w:t xml:space="preserve">  ·  </w:t>
      </w:r>
      <w:r>
        <w:rPr>
          <w:b/>
          <w:color w:val="B86B00"/>
          <w:sz w:val="20"/>
        </w:rPr>
        <w:t>◆ re-scope</w:t>
      </w:r>
      <w:r>
        <w:rPr>
          <w:sz w:val="20"/>
        </w:rPr>
        <w:t xml:space="preserve">  ·  </w:t>
      </w:r>
      <w:r>
        <w:rPr>
          <w:b/>
          <w:color w:val="555555"/>
          <w:sz w:val="20"/>
        </w:rPr>
        <w:t>○ cannot test (keep on precaution)</w:t>
      </w:r>
      <w:r>
        <w:rPr>
          <w:sz w:val="20"/>
        </w:rPr>
        <w:t>.</w:t>
      </w:r>
    </w:p>
    <w:tbl>
      <w:tblPr>
        <w:tblStyle w:val="TableGrid"/>
        <w:tblW w:w="0" w:type="auto"/>
        <w:jc w:val="center"/>
        <w:tblLook w:val="04A0" w:firstRow="1" w:lastRow="0" w:firstColumn="1" w:lastColumn="0" w:noHBand="0" w:noVBand="1"/>
      </w:tblPr>
      <w:tblGrid>
        <w:gridCol w:w="2275"/>
        <w:gridCol w:w="2009"/>
        <w:gridCol w:w="4572"/>
      </w:tblGrid>
      <w:tr w:rsidR="006E064D" w14:paraId="3751CE74" w14:textId="77777777">
        <w:trPr>
          <w:jc w:val="center"/>
        </w:trPr>
        <w:tc>
          <w:tcPr>
            <w:tcW w:w="2448" w:type="dxa"/>
            <w:shd w:val="clear" w:color="auto" w:fill="142A4A"/>
          </w:tcPr>
          <w:p w14:paraId="686E2A58" w14:textId="77777777" w:rsidR="006E064D" w:rsidRDefault="00000000">
            <w:r>
              <w:rPr>
                <w:b/>
                <w:color w:val="FFFFFF"/>
                <w:sz w:val="19"/>
              </w:rPr>
              <w:t>Measure</w:t>
            </w:r>
          </w:p>
        </w:tc>
        <w:tc>
          <w:tcPr>
            <w:tcW w:w="2160" w:type="dxa"/>
            <w:shd w:val="clear" w:color="auto" w:fill="142A4A"/>
          </w:tcPr>
          <w:p w14:paraId="655B704C" w14:textId="77777777" w:rsidR="006E064D" w:rsidRDefault="00000000">
            <w:pPr>
              <w:jc w:val="center"/>
            </w:pPr>
            <w:r>
              <w:rPr>
                <w:b/>
                <w:color w:val="FFFFFF"/>
                <w:sz w:val="19"/>
              </w:rPr>
              <w:t>Verdict</w:t>
            </w:r>
          </w:p>
        </w:tc>
        <w:tc>
          <w:tcPr>
            <w:tcW w:w="5040" w:type="dxa"/>
            <w:shd w:val="clear" w:color="auto" w:fill="142A4A"/>
          </w:tcPr>
          <w:p w14:paraId="7FF00DE4" w14:textId="77777777" w:rsidR="006E064D" w:rsidRDefault="00000000">
            <w:pPr>
              <w:jc w:val="center"/>
            </w:pPr>
            <w:r>
              <w:rPr>
                <w:b/>
                <w:color w:val="FFFFFF"/>
                <w:sz w:val="19"/>
              </w:rPr>
              <w:t>What the data says</w:t>
            </w:r>
          </w:p>
        </w:tc>
      </w:tr>
      <w:tr w:rsidR="006E064D" w14:paraId="1048B73D" w14:textId="77777777">
        <w:trPr>
          <w:jc w:val="center"/>
        </w:trPr>
        <w:tc>
          <w:tcPr>
            <w:tcW w:w="2448" w:type="dxa"/>
          </w:tcPr>
          <w:p w14:paraId="5869FDE6" w14:textId="77777777" w:rsidR="006E064D" w:rsidRDefault="00000000">
            <w:r>
              <w:rPr>
                <w:sz w:val="19"/>
              </w:rPr>
              <w:t>M0 Corridor / modal shift</w:t>
            </w:r>
          </w:p>
        </w:tc>
        <w:tc>
          <w:tcPr>
            <w:tcW w:w="2160" w:type="dxa"/>
          </w:tcPr>
          <w:p w14:paraId="753E3E83" w14:textId="77777777" w:rsidR="006E064D" w:rsidRDefault="00000000">
            <w:pPr>
              <w:jc w:val="center"/>
            </w:pPr>
            <w:r>
              <w:rPr>
                <w:b/>
                <w:color w:val="2E7D32"/>
                <w:sz w:val="19"/>
              </w:rPr>
              <w:t>✓ Confirmed</w:t>
            </w:r>
          </w:p>
        </w:tc>
        <w:tc>
          <w:tcPr>
            <w:tcW w:w="5040" w:type="dxa"/>
          </w:tcPr>
          <w:p w14:paraId="6FF11F3F" w14:textId="77777777" w:rsidR="006E064D" w:rsidRDefault="00000000">
            <w:pPr>
              <w:jc w:val="center"/>
            </w:pPr>
            <w:r>
              <w:rPr>
                <w:sz w:val="19"/>
              </w:rPr>
              <w:t>Peak displaced demand 908 vs 1,643 removed = 55%. The “displaced &lt; removed” principle is now locally measured (was European precedent only). Avg 43% vs peak 93% → don't replace 1:1.</w:t>
            </w:r>
          </w:p>
        </w:tc>
      </w:tr>
      <w:tr w:rsidR="006E064D" w14:paraId="7C343C2C" w14:textId="77777777">
        <w:trPr>
          <w:jc w:val="center"/>
        </w:trPr>
        <w:tc>
          <w:tcPr>
            <w:tcW w:w="2448" w:type="dxa"/>
          </w:tcPr>
          <w:p w14:paraId="50AA62AB" w14:textId="77777777" w:rsidR="006E064D" w:rsidRDefault="00000000">
            <w:r>
              <w:rPr>
                <w:sz w:val="19"/>
              </w:rPr>
              <w:t>M1 Extend paid zones</w:t>
            </w:r>
          </w:p>
        </w:tc>
        <w:tc>
          <w:tcPr>
            <w:tcW w:w="2160" w:type="dxa"/>
          </w:tcPr>
          <w:p w14:paraId="33982D36" w14:textId="77777777" w:rsidR="006E064D" w:rsidRDefault="00000000">
            <w:pPr>
              <w:jc w:val="center"/>
            </w:pPr>
            <w:r>
              <w:rPr>
                <w:b/>
                <w:color w:val="B86B00"/>
                <w:sz w:val="19"/>
              </w:rPr>
              <w:t>◆ Re-scope</w:t>
            </w:r>
          </w:p>
        </w:tc>
        <w:tc>
          <w:tcPr>
            <w:tcW w:w="5040" w:type="dxa"/>
          </w:tcPr>
          <w:p w14:paraId="700B4A74" w14:textId="77777777" w:rsidR="006E064D" w:rsidRDefault="00000000">
            <w:pPr>
              <w:jc w:val="center"/>
            </w:pPr>
            <w:r>
              <w:rPr>
                <w:sz w:val="19"/>
              </w:rPr>
              <w:t>Right lever (90% of kerb unpriced; peaks 93–138%). But its O10 purpose is “absorb on side streets” — and the core has no spare side-street capacity (Kentron 14%, Komitas 0%). In the core it is a demand-rationing tool, not absorption.</w:t>
            </w:r>
          </w:p>
        </w:tc>
      </w:tr>
      <w:tr w:rsidR="006E064D" w14:paraId="27E5B97D" w14:textId="77777777">
        <w:trPr>
          <w:jc w:val="center"/>
        </w:trPr>
        <w:tc>
          <w:tcPr>
            <w:tcW w:w="2448" w:type="dxa"/>
          </w:tcPr>
          <w:p w14:paraId="7AF563E2" w14:textId="77777777" w:rsidR="006E064D" w:rsidRDefault="00000000">
            <w:r>
              <w:rPr>
                <w:sz w:val="19"/>
              </w:rPr>
              <w:t>M2 Delivery bays</w:t>
            </w:r>
          </w:p>
        </w:tc>
        <w:tc>
          <w:tcPr>
            <w:tcW w:w="2160" w:type="dxa"/>
          </w:tcPr>
          <w:p w14:paraId="3305D7B4" w14:textId="77777777" w:rsidR="006E064D" w:rsidRDefault="00000000">
            <w:pPr>
              <w:jc w:val="center"/>
            </w:pPr>
            <w:r>
              <w:rPr>
                <w:b/>
                <w:color w:val="2E7D32"/>
                <w:sz w:val="19"/>
              </w:rPr>
              <w:t>✓ (inferred)</w:t>
            </w:r>
          </w:p>
        </w:tc>
        <w:tc>
          <w:tcPr>
            <w:tcW w:w="5040" w:type="dxa"/>
          </w:tcPr>
          <w:p w14:paraId="0230DEF3" w14:textId="77777777" w:rsidR="006E064D" w:rsidRDefault="00000000">
            <w:pPr>
              <w:jc w:val="center"/>
            </w:pPr>
            <w:r>
              <w:rPr>
                <w:sz w:val="19"/>
              </w:rPr>
              <w:t>No direct freight count, but ≤1h dominance (~63%) + very high turnover implies heavy short-access. Keep; rests on inference, not measurement.</w:t>
            </w:r>
          </w:p>
        </w:tc>
      </w:tr>
      <w:tr w:rsidR="006E064D" w14:paraId="47A98125" w14:textId="77777777">
        <w:trPr>
          <w:jc w:val="center"/>
        </w:trPr>
        <w:tc>
          <w:tcPr>
            <w:tcW w:w="2448" w:type="dxa"/>
          </w:tcPr>
          <w:p w14:paraId="3309C682" w14:textId="77777777" w:rsidR="006E064D" w:rsidRDefault="00000000">
            <w:r>
              <w:rPr>
                <w:sz w:val="19"/>
              </w:rPr>
              <w:t>M3 Visitor caps / max-stay</w:t>
            </w:r>
          </w:p>
        </w:tc>
        <w:tc>
          <w:tcPr>
            <w:tcW w:w="2160" w:type="dxa"/>
          </w:tcPr>
          <w:p w14:paraId="19112865" w14:textId="77777777" w:rsidR="006E064D" w:rsidRDefault="00000000">
            <w:pPr>
              <w:jc w:val="center"/>
            </w:pPr>
            <w:r>
              <w:rPr>
                <w:b/>
                <w:color w:val="B86B00"/>
                <w:sz w:val="19"/>
              </w:rPr>
              <w:t>◆ Re-scope, not remove</w:t>
            </w:r>
          </w:p>
        </w:tc>
        <w:tc>
          <w:tcPr>
            <w:tcW w:w="5040" w:type="dxa"/>
          </w:tcPr>
          <w:p w14:paraId="424762E3" w14:textId="77777777" w:rsidR="006E064D" w:rsidRDefault="00000000">
            <w:pPr>
              <w:jc w:val="center"/>
            </w:pPr>
            <w:r>
              <w:rPr>
                <w:sz w:val="19"/>
              </w:rPr>
              <w:t xml:space="preserve">Overnight ~7% (1h-rule; residents, permit-exempt); daytime all-day (5–8h) only ~6%; ≤1h ~63%; turnover already 5–11/day. A 2h cap mostly bites 3–4h errand </w:t>
            </w:r>
            <w:r>
              <w:rPr>
                <w:sz w:val="19"/>
              </w:rPr>
              <w:lastRenderedPageBreak/>
              <w:t>visitors, not commuters. KEEP but demote to a targeted contingency for low-turnover spots; lead with pricing.</w:t>
            </w:r>
          </w:p>
        </w:tc>
      </w:tr>
      <w:tr w:rsidR="006E064D" w14:paraId="5FFA2DEB" w14:textId="77777777">
        <w:trPr>
          <w:jc w:val="center"/>
        </w:trPr>
        <w:tc>
          <w:tcPr>
            <w:tcW w:w="2448" w:type="dxa"/>
          </w:tcPr>
          <w:p w14:paraId="4CCC4ABF" w14:textId="77777777" w:rsidR="006E064D" w:rsidRDefault="00000000">
            <w:r>
              <w:rPr>
                <w:sz w:val="19"/>
              </w:rPr>
              <w:lastRenderedPageBreak/>
              <w:t>M4 Resident permits</w:t>
            </w:r>
          </w:p>
        </w:tc>
        <w:tc>
          <w:tcPr>
            <w:tcW w:w="2160" w:type="dxa"/>
          </w:tcPr>
          <w:p w14:paraId="545C6737" w14:textId="77777777" w:rsidR="006E064D" w:rsidRDefault="00000000">
            <w:pPr>
              <w:jc w:val="center"/>
            </w:pPr>
            <w:r>
              <w:rPr>
                <w:b/>
                <w:color w:val="555555"/>
                <w:sz w:val="19"/>
              </w:rPr>
              <w:t>○ Cannot test — keep</w:t>
            </w:r>
          </w:p>
        </w:tc>
        <w:tc>
          <w:tcPr>
            <w:tcW w:w="5040" w:type="dxa"/>
          </w:tcPr>
          <w:p w14:paraId="77F07D0C" w14:textId="77777777" w:rsidR="006E064D" w:rsidRDefault="00000000">
            <w:pPr>
              <w:jc w:val="center"/>
            </w:pPr>
            <w:r>
              <w:rPr>
                <w:sz w:val="19"/>
              </w:rPr>
              <w:t>Daytime window still misses true overnight storage; the overnight band (now ~7% via the 1h rule) is a floor and must NOT be used to weaken this. Keep, justified by land-use, not survey data.</w:t>
            </w:r>
          </w:p>
        </w:tc>
      </w:tr>
      <w:tr w:rsidR="006E064D" w14:paraId="005D79D4" w14:textId="77777777">
        <w:trPr>
          <w:jc w:val="center"/>
        </w:trPr>
        <w:tc>
          <w:tcPr>
            <w:tcW w:w="2448" w:type="dxa"/>
          </w:tcPr>
          <w:p w14:paraId="1BC07441" w14:textId="77777777" w:rsidR="006E064D" w:rsidRDefault="00000000">
            <w:r>
              <w:rPr>
                <w:sz w:val="19"/>
              </w:rPr>
              <w:t>M5 Organise free parking</w:t>
            </w:r>
          </w:p>
        </w:tc>
        <w:tc>
          <w:tcPr>
            <w:tcW w:w="2160" w:type="dxa"/>
          </w:tcPr>
          <w:p w14:paraId="413899F6" w14:textId="77777777" w:rsidR="006E064D" w:rsidRDefault="00000000">
            <w:pPr>
              <w:jc w:val="center"/>
            </w:pPr>
            <w:r>
              <w:rPr>
                <w:b/>
                <w:color w:val="2E7D32"/>
                <w:sz w:val="19"/>
              </w:rPr>
              <w:t>✓ Confirmed</w:t>
            </w:r>
          </w:p>
        </w:tc>
        <w:tc>
          <w:tcPr>
            <w:tcW w:w="5040" w:type="dxa"/>
          </w:tcPr>
          <w:p w14:paraId="33773C9F" w14:textId="77777777" w:rsidR="006E064D" w:rsidRDefault="00000000">
            <w:pPr>
              <w:jc w:val="center"/>
            </w:pPr>
            <w:r>
              <w:rPr>
                <w:sz w:val="19"/>
              </w:rPr>
              <w:t>O8: 87.6% unmarked, 79.9% unsigned; ~90% of kerb free. Lower-pressure areas (Malatia 54%, Shiraz 75% peak) have headroom — structure before pricing. (Also needed in Kentron — see G5.)</w:t>
            </w:r>
          </w:p>
        </w:tc>
      </w:tr>
      <w:tr w:rsidR="006E064D" w14:paraId="0EDBF8B4" w14:textId="77777777">
        <w:trPr>
          <w:jc w:val="center"/>
        </w:trPr>
        <w:tc>
          <w:tcPr>
            <w:tcW w:w="2448" w:type="dxa"/>
          </w:tcPr>
          <w:p w14:paraId="1D177A3B" w14:textId="77777777" w:rsidR="006E064D" w:rsidRDefault="00000000">
            <w:r>
              <w:rPr>
                <w:sz w:val="19"/>
              </w:rPr>
              <w:t>M6 Park &amp; ride</w:t>
            </w:r>
          </w:p>
        </w:tc>
        <w:tc>
          <w:tcPr>
            <w:tcW w:w="2160" w:type="dxa"/>
          </w:tcPr>
          <w:p w14:paraId="28B8F677" w14:textId="77777777" w:rsidR="006E064D" w:rsidRDefault="00000000">
            <w:pPr>
              <w:jc w:val="center"/>
            </w:pPr>
            <w:r>
              <w:rPr>
                <w:b/>
                <w:color w:val="B86B00"/>
                <w:sz w:val="19"/>
              </w:rPr>
              <w:t>◆ Weak support</w:t>
            </w:r>
          </w:p>
        </w:tc>
        <w:tc>
          <w:tcPr>
            <w:tcW w:w="5040" w:type="dxa"/>
          </w:tcPr>
          <w:p w14:paraId="5AD3EA9A" w14:textId="77777777" w:rsidR="006E064D" w:rsidRDefault="00000000">
            <w:pPr>
              <w:jc w:val="center"/>
            </w:pPr>
            <w:r>
              <w:rPr>
                <w:sz w:val="19"/>
              </w:rPr>
              <w:t>Premise = intercept commuters, but the daytime fleet is overwhelmingly short-stay, weakening the “many commuters to intercept” assumption within these areas. Keep as a study item; don't oversell.</w:t>
            </w:r>
          </w:p>
        </w:tc>
      </w:tr>
      <w:tr w:rsidR="006E064D" w14:paraId="09C10DC9" w14:textId="77777777">
        <w:trPr>
          <w:jc w:val="center"/>
        </w:trPr>
        <w:tc>
          <w:tcPr>
            <w:tcW w:w="2448" w:type="dxa"/>
          </w:tcPr>
          <w:p w14:paraId="27E0D44E" w14:textId="77777777" w:rsidR="006E064D" w:rsidRDefault="00000000">
            <w:commentRangeStart w:id="0"/>
            <w:r>
              <w:rPr>
                <w:sz w:val="19"/>
              </w:rPr>
              <w:t>M7 Open residential yards</w:t>
            </w:r>
          </w:p>
        </w:tc>
        <w:tc>
          <w:tcPr>
            <w:tcW w:w="2160" w:type="dxa"/>
          </w:tcPr>
          <w:p w14:paraId="773D6FAD" w14:textId="77777777" w:rsidR="006E064D" w:rsidRDefault="00000000">
            <w:pPr>
              <w:jc w:val="center"/>
            </w:pPr>
            <w:r>
              <w:rPr>
                <w:b/>
                <w:color w:val="2E7D32"/>
                <w:sz w:val="19"/>
              </w:rPr>
              <w:t>✓ Load-bearing + under-committed</w:t>
            </w:r>
          </w:p>
        </w:tc>
        <w:tc>
          <w:tcPr>
            <w:tcW w:w="5040" w:type="dxa"/>
          </w:tcPr>
          <w:p w14:paraId="0AF23AA9" w14:textId="77777777" w:rsidR="006E064D" w:rsidRDefault="00000000">
            <w:pPr>
              <w:jc w:val="center"/>
            </w:pPr>
            <w:r>
              <w:rPr>
                <w:sz w:val="19"/>
              </w:rPr>
              <w:t>92% of off-street absorption is gated residential yards (1,778 of 1,935 spaces); the ~100% headline is conditional on opening them. M7 is load-bearing (Kentron 86% yard-dependent, Komitas 100%), yet O10 makes it an optional lower-zone pilot. Elevate to a committed core precondition.</w:t>
            </w:r>
            <w:commentRangeEnd w:id="0"/>
            <w:r w:rsidR="009A2FC7">
              <w:rPr>
                <w:rStyle w:val="CommentReference"/>
                <w:sz w:val="22"/>
                <w:szCs w:val="22"/>
              </w:rPr>
              <w:commentReference w:id="0"/>
            </w:r>
          </w:p>
        </w:tc>
      </w:tr>
      <w:tr w:rsidR="006E064D" w14:paraId="665ED325" w14:textId="77777777">
        <w:trPr>
          <w:jc w:val="center"/>
        </w:trPr>
        <w:tc>
          <w:tcPr>
            <w:tcW w:w="2448" w:type="dxa"/>
          </w:tcPr>
          <w:p w14:paraId="4E3A87D3" w14:textId="77777777" w:rsidR="006E064D" w:rsidRDefault="00000000">
            <w:r>
              <w:rPr>
                <w:sz w:val="19"/>
              </w:rPr>
              <w:t>M8 ANPR enforcement</w:t>
            </w:r>
          </w:p>
        </w:tc>
        <w:tc>
          <w:tcPr>
            <w:tcW w:w="2160" w:type="dxa"/>
          </w:tcPr>
          <w:p w14:paraId="36797F25" w14:textId="77777777" w:rsidR="006E064D" w:rsidRDefault="00000000">
            <w:pPr>
              <w:jc w:val="center"/>
            </w:pPr>
            <w:r>
              <w:rPr>
                <w:b/>
                <w:color w:val="2E7D32"/>
                <w:sz w:val="19"/>
              </w:rPr>
              <w:t>✓ Enabling</w:t>
            </w:r>
          </w:p>
        </w:tc>
        <w:tc>
          <w:tcPr>
            <w:tcW w:w="5040" w:type="dxa"/>
          </w:tcPr>
          <w:p w14:paraId="6E0F91F2" w14:textId="77777777" w:rsidR="006E064D" w:rsidRDefault="00000000">
            <w:pPr>
              <w:jc w:val="center"/>
            </w:pPr>
            <w:r>
              <w:rPr>
                <w:sz w:val="19"/>
              </w:rPr>
              <w:t>Necessary for every priced measure. Keep.</w:t>
            </w:r>
          </w:p>
        </w:tc>
      </w:tr>
      <w:tr w:rsidR="006E064D" w14:paraId="119606DF" w14:textId="77777777">
        <w:trPr>
          <w:jc w:val="center"/>
        </w:trPr>
        <w:tc>
          <w:tcPr>
            <w:tcW w:w="2448" w:type="dxa"/>
          </w:tcPr>
          <w:p w14:paraId="5ED71160" w14:textId="77777777" w:rsidR="006E064D" w:rsidRDefault="00000000">
            <w:r>
              <w:rPr>
                <w:sz w:val="19"/>
              </w:rPr>
              <w:t>M9 Duration-based fines</w:t>
            </w:r>
          </w:p>
        </w:tc>
        <w:tc>
          <w:tcPr>
            <w:tcW w:w="2160" w:type="dxa"/>
          </w:tcPr>
          <w:p w14:paraId="7BC26F08" w14:textId="77777777" w:rsidR="006E064D" w:rsidRDefault="00000000">
            <w:pPr>
              <w:jc w:val="center"/>
            </w:pPr>
            <w:r>
              <w:rPr>
                <w:b/>
                <w:color w:val="555555"/>
                <w:sz w:val="19"/>
              </w:rPr>
              <w:t>○ Keep, don't oversell</w:t>
            </w:r>
          </w:p>
        </w:tc>
        <w:tc>
          <w:tcPr>
            <w:tcW w:w="5040" w:type="dxa"/>
          </w:tcPr>
          <w:p w14:paraId="6D2A79F8" w14:textId="77777777" w:rsidR="006E064D" w:rsidRDefault="00000000">
            <w:pPr>
              <w:jc w:val="center"/>
            </w:pPr>
            <w:r>
              <w:rPr>
                <w:sz w:val="19"/>
              </w:rPr>
              <w:t>Same caveat as M3: daytime fleet isn't long-stay. Value is overnight storage (unmeasured) + system maturation.</w:t>
            </w:r>
          </w:p>
        </w:tc>
      </w:tr>
      <w:tr w:rsidR="006E064D" w14:paraId="24757DA8" w14:textId="77777777">
        <w:trPr>
          <w:jc w:val="center"/>
        </w:trPr>
        <w:tc>
          <w:tcPr>
            <w:tcW w:w="2448" w:type="dxa"/>
          </w:tcPr>
          <w:p w14:paraId="43926284" w14:textId="77777777" w:rsidR="006E064D" w:rsidRDefault="00000000">
            <w:r>
              <w:rPr>
                <w:sz w:val="19"/>
              </w:rPr>
              <w:t>M10 Revenue earmarking</w:t>
            </w:r>
          </w:p>
        </w:tc>
        <w:tc>
          <w:tcPr>
            <w:tcW w:w="2160" w:type="dxa"/>
          </w:tcPr>
          <w:p w14:paraId="61DA430F" w14:textId="77777777" w:rsidR="006E064D" w:rsidRDefault="00000000">
            <w:pPr>
              <w:jc w:val="center"/>
            </w:pPr>
            <w:r>
              <w:rPr>
                <w:b/>
                <w:color w:val="555555"/>
                <w:sz w:val="19"/>
              </w:rPr>
              <w:t>— Out of scope</w:t>
            </w:r>
          </w:p>
        </w:tc>
        <w:tc>
          <w:tcPr>
            <w:tcW w:w="5040" w:type="dxa"/>
          </w:tcPr>
          <w:p w14:paraId="0D4B7FE0" w14:textId="77777777" w:rsidR="006E064D" w:rsidRDefault="00000000">
            <w:pPr>
              <w:jc w:val="center"/>
            </w:pPr>
            <w:r>
              <w:rPr>
                <w:sz w:val="19"/>
              </w:rPr>
              <w:t>Political-legitimacy measure; survey neither supports nor refutes. Keep.</w:t>
            </w:r>
          </w:p>
        </w:tc>
      </w:tr>
      <w:tr w:rsidR="006E064D" w14:paraId="020B9E0E" w14:textId="77777777">
        <w:trPr>
          <w:jc w:val="center"/>
        </w:trPr>
        <w:tc>
          <w:tcPr>
            <w:tcW w:w="2448" w:type="dxa"/>
          </w:tcPr>
          <w:p w14:paraId="4A62623C" w14:textId="77777777" w:rsidR="006E064D" w:rsidRDefault="00000000">
            <w:r>
              <w:rPr>
                <w:sz w:val="19"/>
              </w:rPr>
              <w:t>Phasing</w:t>
            </w:r>
          </w:p>
        </w:tc>
        <w:tc>
          <w:tcPr>
            <w:tcW w:w="2160" w:type="dxa"/>
          </w:tcPr>
          <w:p w14:paraId="3B5F6739" w14:textId="77777777" w:rsidR="006E064D" w:rsidRDefault="00000000">
            <w:pPr>
              <w:jc w:val="center"/>
            </w:pPr>
            <w:r>
              <w:rPr>
                <w:b/>
                <w:color w:val="2E7D32"/>
                <w:sz w:val="19"/>
              </w:rPr>
              <w:t>✓ Reinforced</w:t>
            </w:r>
          </w:p>
        </w:tc>
        <w:tc>
          <w:tcPr>
            <w:tcW w:w="5040" w:type="dxa"/>
          </w:tcPr>
          <w:p w14:paraId="5607BDDD" w14:textId="77777777" w:rsidR="006E064D" w:rsidRDefault="00000000">
            <w:pPr>
              <w:jc w:val="center"/>
            </w:pPr>
            <w:r>
              <w:rPr>
                <w:sz w:val="19"/>
              </w:rPr>
              <w:t>“Mitigation before removal” matters more given the off-street dependency — the gated yards (M7) must be opened and the pricing in place before the kerb goes.</w:t>
            </w:r>
          </w:p>
        </w:tc>
      </w:tr>
    </w:tbl>
    <w:p w14:paraId="12BB3F9A" w14:textId="77777777" w:rsidR="006E064D" w:rsidRDefault="00000000">
      <w:pPr>
        <w:spacing w:before="240"/>
      </w:pPr>
      <w:r>
        <w:rPr>
          <w:b/>
          <w:color w:val="142A4A"/>
          <w:sz w:val="30"/>
        </w:rPr>
        <w:t>4.  Gaps the survey revealed</w:t>
      </w:r>
    </w:p>
    <w:tbl>
      <w:tblPr>
        <w:tblStyle w:val="TableGrid"/>
        <w:tblW w:w="0" w:type="auto"/>
        <w:jc w:val="center"/>
        <w:tblLook w:val="04A0" w:firstRow="1" w:lastRow="0" w:firstColumn="1" w:lastColumn="0" w:noHBand="0" w:noVBand="1"/>
      </w:tblPr>
      <w:tblGrid>
        <w:gridCol w:w="2776"/>
        <w:gridCol w:w="4334"/>
        <w:gridCol w:w="1746"/>
      </w:tblGrid>
      <w:tr w:rsidR="006E064D" w14:paraId="1643E4E7" w14:textId="77777777">
        <w:trPr>
          <w:jc w:val="center"/>
        </w:trPr>
        <w:tc>
          <w:tcPr>
            <w:tcW w:w="3024" w:type="dxa"/>
            <w:shd w:val="clear" w:color="auto" w:fill="142A4A"/>
          </w:tcPr>
          <w:p w14:paraId="3483B97C" w14:textId="77777777" w:rsidR="006E064D" w:rsidRDefault="00000000">
            <w:r>
              <w:rPr>
                <w:b/>
                <w:color w:val="FFFFFF"/>
                <w:sz w:val="19"/>
              </w:rPr>
              <w:t>Gap</w:t>
            </w:r>
          </w:p>
        </w:tc>
        <w:tc>
          <w:tcPr>
            <w:tcW w:w="4752" w:type="dxa"/>
            <w:shd w:val="clear" w:color="auto" w:fill="142A4A"/>
          </w:tcPr>
          <w:p w14:paraId="3C6F9FEA" w14:textId="77777777" w:rsidR="006E064D" w:rsidRDefault="00000000">
            <w:pPr>
              <w:jc w:val="center"/>
            </w:pPr>
            <w:r>
              <w:rPr>
                <w:b/>
                <w:color w:val="FFFFFF"/>
                <w:sz w:val="19"/>
              </w:rPr>
              <w:t>Why it's only visible now</w:t>
            </w:r>
          </w:p>
        </w:tc>
        <w:tc>
          <w:tcPr>
            <w:tcW w:w="1872" w:type="dxa"/>
            <w:shd w:val="clear" w:color="auto" w:fill="142A4A"/>
          </w:tcPr>
          <w:p w14:paraId="2156B3FE" w14:textId="77777777" w:rsidR="006E064D" w:rsidRDefault="00000000">
            <w:pPr>
              <w:jc w:val="center"/>
            </w:pPr>
            <w:r>
              <w:rPr>
                <w:b/>
                <w:color w:val="FFFFFF"/>
                <w:sz w:val="19"/>
              </w:rPr>
              <w:t>In current set?</w:t>
            </w:r>
          </w:p>
        </w:tc>
      </w:tr>
      <w:tr w:rsidR="006E064D" w14:paraId="5585B13A" w14:textId="77777777">
        <w:trPr>
          <w:jc w:val="center"/>
        </w:trPr>
        <w:tc>
          <w:tcPr>
            <w:tcW w:w="3024" w:type="dxa"/>
          </w:tcPr>
          <w:p w14:paraId="45B12C49" w14:textId="77777777" w:rsidR="006E064D" w:rsidRDefault="00000000">
            <w:r>
              <w:rPr>
                <w:b/>
                <w:sz w:val="19"/>
              </w:rPr>
              <w:t>G1 — Absorption hinges on opening gated yards (M7)</w:t>
            </w:r>
          </w:p>
        </w:tc>
        <w:tc>
          <w:tcPr>
            <w:tcW w:w="4752" w:type="dxa"/>
          </w:tcPr>
          <w:p w14:paraId="38FCD977" w14:textId="77777777" w:rsidR="006E064D" w:rsidRDefault="00000000">
            <w:pPr>
              <w:jc w:val="center"/>
            </w:pPr>
            <w:r>
              <w:rPr>
                <w:sz w:val="19"/>
              </w:rPr>
              <w:t>92% of the off-street capacity that closes the gap is gated residential yards, counted at gross capacity as if already open; on-street alone covers 43% (14%/0% in core). The ~100% headline is conditional on M7, which O10 treats as optional.</w:t>
            </w:r>
          </w:p>
        </w:tc>
        <w:tc>
          <w:tcPr>
            <w:tcW w:w="1872" w:type="dxa"/>
          </w:tcPr>
          <w:p w14:paraId="572F881D" w14:textId="77777777" w:rsidR="006E064D" w:rsidRDefault="00000000">
            <w:pPr>
              <w:jc w:val="center"/>
            </w:pPr>
            <w:r>
              <w:rPr>
                <w:b/>
                <w:color w:val="B86B00"/>
                <w:sz w:val="19"/>
              </w:rPr>
              <w:t>Re-scope M7 — commit it</w:t>
            </w:r>
          </w:p>
        </w:tc>
      </w:tr>
      <w:tr w:rsidR="006E064D" w14:paraId="15248E9F" w14:textId="77777777">
        <w:trPr>
          <w:jc w:val="center"/>
        </w:trPr>
        <w:tc>
          <w:tcPr>
            <w:tcW w:w="3024" w:type="dxa"/>
          </w:tcPr>
          <w:p w14:paraId="04ECDF1B" w14:textId="77777777" w:rsidR="006E064D" w:rsidRDefault="00000000">
            <w:r>
              <w:rPr>
                <w:b/>
                <w:sz w:val="19"/>
              </w:rPr>
              <w:t>G2 — Gai Avenue local shortfall</w:t>
            </w:r>
          </w:p>
        </w:tc>
        <w:tc>
          <w:tcPr>
            <w:tcW w:w="4752" w:type="dxa"/>
          </w:tcPr>
          <w:p w14:paraId="0E37CAE8" w14:textId="77777777" w:rsidR="006E064D" w:rsidRDefault="00000000">
            <w:pPr>
              <w:jc w:val="center"/>
            </w:pPr>
            <w:r>
              <w:rPr>
                <w:sz w:val="19"/>
              </w:rPr>
              <w:t>Only area where gross best-case capacity (89%) &lt; peak demand. Gai isn't in O10's zone lists.</w:t>
            </w:r>
          </w:p>
        </w:tc>
        <w:tc>
          <w:tcPr>
            <w:tcW w:w="1872" w:type="dxa"/>
          </w:tcPr>
          <w:p w14:paraId="0D6FCD53" w14:textId="77777777" w:rsidR="006E064D" w:rsidRDefault="00000000">
            <w:pPr>
              <w:jc w:val="center"/>
            </w:pPr>
            <w:r>
              <w:rPr>
                <w:b/>
                <w:color w:val="C02A2A"/>
                <w:sz w:val="19"/>
              </w:rPr>
              <w:t>No — targeted</w:t>
            </w:r>
          </w:p>
        </w:tc>
      </w:tr>
      <w:tr w:rsidR="006E064D" w14:paraId="435FA336" w14:textId="77777777">
        <w:trPr>
          <w:jc w:val="center"/>
        </w:trPr>
        <w:tc>
          <w:tcPr>
            <w:tcW w:w="3024" w:type="dxa"/>
          </w:tcPr>
          <w:p w14:paraId="36801658" w14:textId="77777777" w:rsidR="006E064D" w:rsidRDefault="00000000">
            <w:r>
              <w:rPr>
                <w:b/>
                <w:sz w:val="19"/>
              </w:rPr>
              <w:t>G3 — All-day, zone-wide saturation in core</w:t>
            </w:r>
          </w:p>
        </w:tc>
        <w:tc>
          <w:tcPr>
            <w:tcW w:w="4752" w:type="dxa"/>
          </w:tcPr>
          <w:p w14:paraId="6AE60ABA" w14:textId="77777777" w:rsidR="006E064D" w:rsidRDefault="00000000">
            <w:pPr>
              <w:jc w:val="center"/>
            </w:pPr>
            <w:r>
              <w:rPr>
                <w:sz w:val="19"/>
              </w:rPr>
              <w:t>Kentron: 89% of zones &gt;85%, high all working day (peak hour 21:00).</w:t>
            </w:r>
          </w:p>
        </w:tc>
        <w:tc>
          <w:tcPr>
            <w:tcW w:w="1872" w:type="dxa"/>
          </w:tcPr>
          <w:p w14:paraId="16367CD5" w14:textId="77777777" w:rsidR="006E064D" w:rsidRDefault="00000000">
            <w:pPr>
              <w:jc w:val="center"/>
            </w:pPr>
            <w:r>
              <w:rPr>
                <w:color w:val="B86B00"/>
                <w:sz w:val="19"/>
              </w:rPr>
              <w:t>Partial — scope</w:t>
            </w:r>
          </w:p>
        </w:tc>
      </w:tr>
      <w:tr w:rsidR="006E064D" w14:paraId="4BF718DA" w14:textId="77777777">
        <w:trPr>
          <w:jc w:val="center"/>
        </w:trPr>
        <w:tc>
          <w:tcPr>
            <w:tcW w:w="3024" w:type="dxa"/>
          </w:tcPr>
          <w:p w14:paraId="4705326C" w14:textId="77777777" w:rsidR="006E064D" w:rsidRDefault="00000000">
            <w:r>
              <w:rPr>
                <w:b/>
                <w:sz w:val="19"/>
              </w:rPr>
              <w:t>G4 — Evening occupancy peak under-captured</w:t>
            </w:r>
          </w:p>
        </w:tc>
        <w:tc>
          <w:tcPr>
            <w:tcW w:w="4752" w:type="dxa"/>
          </w:tcPr>
          <w:p w14:paraId="2D6C30FA" w14:textId="77777777" w:rsidR="006E064D" w:rsidRDefault="00000000">
            <w:pPr>
              <w:jc w:val="center"/>
            </w:pPr>
            <w:r>
              <w:rPr>
                <w:sz w:val="19"/>
              </w:rPr>
              <w:t>Kentron's 21:00 / Malatia's 18:00 occupancy peaks are driven by retained residential streets the daytime window only partly sees. (Displaced demand itself peaks midday — yard timing is fine.)</w:t>
            </w:r>
          </w:p>
        </w:tc>
        <w:tc>
          <w:tcPr>
            <w:tcW w:w="1872" w:type="dxa"/>
          </w:tcPr>
          <w:p w14:paraId="2A9FB532" w14:textId="77777777" w:rsidR="006E064D" w:rsidRDefault="00000000">
            <w:pPr>
              <w:jc w:val="center"/>
            </w:pPr>
            <w:r>
              <w:rPr>
                <w:color w:val="B86B00"/>
                <w:sz w:val="19"/>
              </w:rPr>
              <w:t>Partial — informs M4</w:t>
            </w:r>
          </w:p>
        </w:tc>
      </w:tr>
      <w:tr w:rsidR="006E064D" w14:paraId="3B7D70C7" w14:textId="77777777">
        <w:trPr>
          <w:jc w:val="center"/>
        </w:trPr>
        <w:tc>
          <w:tcPr>
            <w:tcW w:w="3024" w:type="dxa"/>
          </w:tcPr>
          <w:p w14:paraId="61814D4B" w14:textId="77777777" w:rsidR="006E064D" w:rsidRDefault="00000000">
            <w:r>
              <w:rPr>
                <w:b/>
                <w:sz w:val="19"/>
              </w:rPr>
              <w:t>G5 — Worst informal layout is in the core</w:t>
            </w:r>
          </w:p>
        </w:tc>
        <w:tc>
          <w:tcPr>
            <w:tcW w:w="4752" w:type="dxa"/>
          </w:tcPr>
          <w:p w14:paraId="387F17E1" w14:textId="77777777" w:rsidR="006E064D" w:rsidRDefault="00000000">
            <w:pPr>
              <w:jc w:val="center"/>
            </w:pPr>
            <w:r>
              <w:rPr>
                <w:sz w:val="19"/>
              </w:rPr>
              <w:t>Kentron kerb ~60% angled/informal. M5 (organise) is assigned only to lower zones.</w:t>
            </w:r>
          </w:p>
        </w:tc>
        <w:tc>
          <w:tcPr>
            <w:tcW w:w="1872" w:type="dxa"/>
          </w:tcPr>
          <w:p w14:paraId="7EC3E036" w14:textId="77777777" w:rsidR="006E064D" w:rsidRDefault="00000000">
            <w:pPr>
              <w:jc w:val="center"/>
            </w:pPr>
            <w:r>
              <w:rPr>
                <w:color w:val="B86B00"/>
                <w:sz w:val="19"/>
              </w:rPr>
              <w:t>Mis-assigned</w:t>
            </w:r>
          </w:p>
        </w:tc>
      </w:tr>
      <w:tr w:rsidR="006E064D" w14:paraId="5475DAA9" w14:textId="77777777">
        <w:trPr>
          <w:jc w:val="center"/>
        </w:trPr>
        <w:tc>
          <w:tcPr>
            <w:tcW w:w="3024" w:type="dxa"/>
          </w:tcPr>
          <w:p w14:paraId="565C5131" w14:textId="77777777" w:rsidR="006E064D" w:rsidRDefault="00000000">
            <w:r>
              <w:rPr>
                <w:b/>
                <w:sz w:val="19"/>
              </w:rPr>
              <w:t>G6 — Komitas mis-classed Medium</w:t>
            </w:r>
          </w:p>
        </w:tc>
        <w:tc>
          <w:tcPr>
            <w:tcW w:w="4752" w:type="dxa"/>
          </w:tcPr>
          <w:p w14:paraId="2EA3A8E8" w14:textId="77777777" w:rsidR="006E064D" w:rsidRDefault="00000000">
            <w:pPr>
              <w:jc w:val="center"/>
            </w:pPr>
            <w:r>
              <w:rPr>
                <w:sz w:val="19"/>
              </w:rPr>
              <w:t>123% peak, 0% on-street absorption — behaves like High; Medium package won't fit.</w:t>
            </w:r>
          </w:p>
        </w:tc>
        <w:tc>
          <w:tcPr>
            <w:tcW w:w="1872" w:type="dxa"/>
          </w:tcPr>
          <w:p w14:paraId="57939988" w14:textId="77777777" w:rsidR="006E064D" w:rsidRDefault="00000000">
            <w:pPr>
              <w:jc w:val="center"/>
            </w:pPr>
            <w:r>
              <w:rPr>
                <w:b/>
                <w:color w:val="C02A2A"/>
                <w:sz w:val="19"/>
              </w:rPr>
              <w:t>No — re-class</w:t>
            </w:r>
          </w:p>
        </w:tc>
      </w:tr>
    </w:tbl>
    <w:p w14:paraId="48526095" w14:textId="77777777" w:rsidR="006E064D" w:rsidRDefault="00000000">
      <w:pPr>
        <w:spacing w:before="240"/>
      </w:pPr>
      <w:r>
        <w:rPr>
          <w:b/>
          <w:color w:val="142A4A"/>
          <w:sz w:val="30"/>
        </w:rPr>
        <w:t>5.  Fact → measure mapping</w:t>
      </w:r>
    </w:p>
    <w:p w14:paraId="1B501025" w14:textId="77777777" w:rsidR="006E064D" w:rsidRDefault="00000000">
      <w:pPr>
        <w:spacing w:after="80"/>
      </w:pPr>
      <w:r>
        <w:rPr>
          <w:color w:val="555555"/>
          <w:sz w:val="20"/>
        </w:rPr>
        <w:lastRenderedPageBreak/>
        <w:t>Hard, data-driven justifications for the retained / correct measures — a sourcing map for later wiring into the reports.</w:t>
      </w:r>
    </w:p>
    <w:tbl>
      <w:tblPr>
        <w:tblStyle w:val="TableGrid"/>
        <w:tblW w:w="0" w:type="auto"/>
        <w:jc w:val="center"/>
        <w:tblLook w:val="04A0" w:firstRow="1" w:lastRow="0" w:firstColumn="1" w:lastColumn="0" w:noHBand="0" w:noVBand="1"/>
      </w:tblPr>
      <w:tblGrid>
        <w:gridCol w:w="5010"/>
        <w:gridCol w:w="3846"/>
      </w:tblGrid>
      <w:tr w:rsidR="006E064D" w14:paraId="6CB45752" w14:textId="77777777">
        <w:trPr>
          <w:jc w:val="center"/>
        </w:trPr>
        <w:tc>
          <w:tcPr>
            <w:tcW w:w="5472" w:type="dxa"/>
            <w:shd w:val="clear" w:color="auto" w:fill="142A4A"/>
          </w:tcPr>
          <w:p w14:paraId="69881103" w14:textId="77777777" w:rsidR="006E064D" w:rsidRDefault="00000000">
            <w:r>
              <w:rPr>
                <w:b/>
                <w:color w:val="FFFFFF"/>
                <w:sz w:val="19"/>
              </w:rPr>
              <w:t>Survey fact (measured)</w:t>
            </w:r>
          </w:p>
        </w:tc>
        <w:tc>
          <w:tcPr>
            <w:tcW w:w="4176" w:type="dxa"/>
            <w:shd w:val="clear" w:color="auto" w:fill="142A4A"/>
          </w:tcPr>
          <w:p w14:paraId="24019B6D" w14:textId="77777777" w:rsidR="006E064D" w:rsidRDefault="00000000">
            <w:pPr>
              <w:jc w:val="center"/>
            </w:pPr>
            <w:r>
              <w:rPr>
                <w:b/>
                <w:color w:val="FFFFFF"/>
                <w:sz w:val="19"/>
              </w:rPr>
              <w:t>Justifies</w:t>
            </w:r>
          </w:p>
        </w:tc>
      </w:tr>
      <w:tr w:rsidR="006E064D" w14:paraId="352FA9F2" w14:textId="77777777">
        <w:trPr>
          <w:jc w:val="center"/>
        </w:trPr>
        <w:tc>
          <w:tcPr>
            <w:tcW w:w="5472" w:type="dxa"/>
          </w:tcPr>
          <w:p w14:paraId="5D86E3DE" w14:textId="77777777" w:rsidR="006E064D" w:rsidRDefault="00000000">
            <w:r>
              <w:rPr>
                <w:sz w:val="19"/>
              </w:rPr>
              <w:t>Peak displaced demand 908 vs 1,643 removed (55%)</w:t>
            </w:r>
          </w:p>
        </w:tc>
        <w:tc>
          <w:tcPr>
            <w:tcW w:w="4176" w:type="dxa"/>
          </w:tcPr>
          <w:p w14:paraId="1AE097E3" w14:textId="77777777" w:rsidR="006E064D" w:rsidRDefault="00000000">
            <w:pPr>
              <w:jc w:val="center"/>
            </w:pPr>
            <w:r>
              <w:rPr>
                <w:sz w:val="19"/>
              </w:rPr>
              <w:t>M0; “no 1:1 replacement”; O8 quantification; O10 court-defensibility</w:t>
            </w:r>
          </w:p>
        </w:tc>
      </w:tr>
      <w:tr w:rsidR="006E064D" w14:paraId="680E908E" w14:textId="77777777">
        <w:trPr>
          <w:jc w:val="center"/>
        </w:trPr>
        <w:tc>
          <w:tcPr>
            <w:tcW w:w="5472" w:type="dxa"/>
          </w:tcPr>
          <w:p w14:paraId="00977186" w14:textId="77777777" w:rsidR="006E064D" w:rsidRDefault="00000000">
            <w:r>
              <w:rPr>
                <w:sz w:val="19"/>
              </w:rPr>
              <w:t>Avg 43% vs peak 93% occupancy citywide</w:t>
            </w:r>
          </w:p>
        </w:tc>
        <w:tc>
          <w:tcPr>
            <w:tcW w:w="4176" w:type="dxa"/>
          </w:tcPr>
          <w:p w14:paraId="4CEAD588" w14:textId="77777777" w:rsidR="006E064D" w:rsidRDefault="00000000">
            <w:pPr>
              <w:jc w:val="center"/>
            </w:pPr>
            <w:r>
              <w:rPr>
                <w:sz w:val="19"/>
              </w:rPr>
              <w:t>M1/M3 framed as peak-demand management, not supply expansion</w:t>
            </w:r>
          </w:p>
        </w:tc>
      </w:tr>
      <w:tr w:rsidR="006E064D" w14:paraId="6A08EA78" w14:textId="77777777">
        <w:trPr>
          <w:jc w:val="center"/>
        </w:trPr>
        <w:tc>
          <w:tcPr>
            <w:tcW w:w="5472" w:type="dxa"/>
          </w:tcPr>
          <w:p w14:paraId="11CC8E33" w14:textId="77777777" w:rsidR="006E064D" w:rsidRDefault="00000000">
            <w:r>
              <w:rPr>
                <w:sz w:val="19"/>
              </w:rPr>
              <w:t>~90% of kerb unpriced (2,654 white vs 276 blue); 87.6% unmarked</w:t>
            </w:r>
          </w:p>
        </w:tc>
        <w:tc>
          <w:tcPr>
            <w:tcW w:w="4176" w:type="dxa"/>
          </w:tcPr>
          <w:p w14:paraId="6F78029B" w14:textId="77777777" w:rsidR="006E064D" w:rsidRDefault="00000000">
            <w:pPr>
              <w:jc w:val="center"/>
            </w:pPr>
            <w:r>
              <w:rPr>
                <w:sz w:val="19"/>
              </w:rPr>
              <w:t>M5 organise free; M1 extend paid</w:t>
            </w:r>
          </w:p>
        </w:tc>
      </w:tr>
      <w:tr w:rsidR="006E064D" w14:paraId="47ADC8E1" w14:textId="77777777">
        <w:trPr>
          <w:jc w:val="center"/>
        </w:trPr>
        <w:tc>
          <w:tcPr>
            <w:tcW w:w="5472" w:type="dxa"/>
          </w:tcPr>
          <w:p w14:paraId="7317E8AA" w14:textId="77777777" w:rsidR="006E064D" w:rsidRDefault="00000000">
            <w:r>
              <w:rPr>
                <w:sz w:val="19"/>
              </w:rPr>
              <w:t>Kentron peak 138% / on-street absorption 14%; Komitas 123% / 0%</w:t>
            </w:r>
          </w:p>
        </w:tc>
        <w:tc>
          <w:tcPr>
            <w:tcW w:w="4176" w:type="dxa"/>
          </w:tcPr>
          <w:p w14:paraId="7745B140" w14:textId="77777777" w:rsidR="006E064D" w:rsidRDefault="00000000">
            <w:pPr>
              <w:jc w:val="center"/>
            </w:pPr>
            <w:r>
              <w:rPr>
                <w:sz w:val="19"/>
              </w:rPr>
              <w:t>High-zone package must be off-street-led, not curb-led</w:t>
            </w:r>
          </w:p>
        </w:tc>
      </w:tr>
      <w:tr w:rsidR="006E064D" w14:paraId="033C714B" w14:textId="77777777">
        <w:trPr>
          <w:jc w:val="center"/>
        </w:trPr>
        <w:tc>
          <w:tcPr>
            <w:tcW w:w="5472" w:type="dxa"/>
          </w:tcPr>
          <w:p w14:paraId="7100377A" w14:textId="77777777" w:rsidR="006E064D" w:rsidRDefault="00000000">
            <w:r>
              <w:rPr>
                <w:sz w:val="19"/>
              </w:rPr>
              <w:t>92% of off-street absorption is gated residential yards (1,778 / 1,935 spaces)</w:t>
            </w:r>
          </w:p>
        </w:tc>
        <w:tc>
          <w:tcPr>
            <w:tcW w:w="4176" w:type="dxa"/>
          </w:tcPr>
          <w:p w14:paraId="305D380F" w14:textId="77777777" w:rsidR="006E064D" w:rsidRDefault="00000000">
            <w:pPr>
              <w:jc w:val="center"/>
            </w:pPr>
            <w:r>
              <w:rPr>
                <w:sz w:val="19"/>
              </w:rPr>
              <w:t>M7 is the load-bearing precondition — elevate &amp; commit; the ~100% headline depends on it</w:t>
            </w:r>
          </w:p>
        </w:tc>
      </w:tr>
      <w:tr w:rsidR="006E064D" w14:paraId="76DB590C" w14:textId="77777777">
        <w:trPr>
          <w:jc w:val="center"/>
        </w:trPr>
        <w:tc>
          <w:tcPr>
            <w:tcW w:w="5472" w:type="dxa"/>
          </w:tcPr>
          <w:p w14:paraId="40D2F58E" w14:textId="77777777" w:rsidR="006E064D" w:rsidRDefault="00000000">
            <w:r>
              <w:rPr>
                <w:sz w:val="19"/>
              </w:rPr>
              <w:t>Off-street carries 86% of Kentron's absorption, 100% of Komitas's (on-street 14% / 0%)</w:t>
            </w:r>
          </w:p>
        </w:tc>
        <w:tc>
          <w:tcPr>
            <w:tcW w:w="4176" w:type="dxa"/>
          </w:tcPr>
          <w:p w14:paraId="782321FA" w14:textId="77777777" w:rsidR="006E064D" w:rsidRDefault="00000000">
            <w:pPr>
              <w:jc w:val="center"/>
            </w:pPr>
            <w:r>
              <w:rPr>
                <w:sz w:val="19"/>
              </w:rPr>
              <w:t>M7 most critical in the core — re-allocate it up from the lower zones</w:t>
            </w:r>
          </w:p>
        </w:tc>
      </w:tr>
      <w:tr w:rsidR="006E064D" w14:paraId="4F05B07B" w14:textId="77777777">
        <w:trPr>
          <w:jc w:val="center"/>
        </w:trPr>
        <w:tc>
          <w:tcPr>
            <w:tcW w:w="5472" w:type="dxa"/>
          </w:tcPr>
          <w:p w14:paraId="57F40A7C" w14:textId="77777777" w:rsidR="006E064D" w:rsidRDefault="00000000">
            <w:r>
              <w:rPr>
                <w:sz w:val="19"/>
              </w:rPr>
              <w:t>Displaced demand peaks midday (10:00–15:00) in every area, incl. Kentron/Malatia</w:t>
            </w:r>
          </w:p>
        </w:tc>
        <w:tc>
          <w:tcPr>
            <w:tcW w:w="4176" w:type="dxa"/>
          </w:tcPr>
          <w:p w14:paraId="48430AE4" w14:textId="77777777" w:rsidR="006E064D" w:rsidRDefault="00000000">
            <w:pPr>
              <w:jc w:val="center"/>
            </w:pPr>
            <w:r>
              <w:rPr>
                <w:sz w:val="19"/>
              </w:rPr>
              <w:t>Daytime yard availability aligns with the displaced peak — supports M7 timing</w:t>
            </w:r>
          </w:p>
        </w:tc>
      </w:tr>
      <w:tr w:rsidR="006E064D" w14:paraId="5E7D1F80" w14:textId="77777777">
        <w:trPr>
          <w:jc w:val="center"/>
        </w:trPr>
        <w:tc>
          <w:tcPr>
            <w:tcW w:w="5472" w:type="dxa"/>
          </w:tcPr>
          <w:p w14:paraId="28504EDA" w14:textId="77777777" w:rsidR="006E064D" w:rsidRDefault="00000000">
            <w:r>
              <w:rPr>
                <w:sz w:val="19"/>
              </w:rPr>
              <w:t>Stay mix ~63% ≤1h / ~77% ≤2h / ~7% overnight 8h+ (1h-rule); turnover 5–11/day</w:t>
            </w:r>
          </w:p>
        </w:tc>
        <w:tc>
          <w:tcPr>
            <w:tcW w:w="4176" w:type="dxa"/>
          </w:tcPr>
          <w:p w14:paraId="2BEDD7D0" w14:textId="77777777" w:rsidR="006E064D" w:rsidRDefault="00000000">
            <w:pPr>
              <w:jc w:val="center"/>
            </w:pPr>
            <w:r>
              <w:rPr>
                <w:sz w:val="19"/>
              </w:rPr>
              <w:t>Pricing-for-turnover (M1) as headline; M3 caps demoted to targeted</w:t>
            </w:r>
          </w:p>
        </w:tc>
      </w:tr>
      <w:tr w:rsidR="006E064D" w14:paraId="5140932E" w14:textId="77777777">
        <w:trPr>
          <w:jc w:val="center"/>
        </w:trPr>
        <w:tc>
          <w:tcPr>
            <w:tcW w:w="5472" w:type="dxa"/>
          </w:tcPr>
          <w:p w14:paraId="012E62A5" w14:textId="77777777" w:rsidR="006E064D" w:rsidRDefault="00000000">
            <w:r>
              <w:rPr>
                <w:sz w:val="19"/>
              </w:rPr>
              <w:t>Gai Avenue total absorption 89% (&lt;100%); no nearby residential yards to open</w:t>
            </w:r>
          </w:p>
        </w:tc>
        <w:tc>
          <w:tcPr>
            <w:tcW w:w="4176" w:type="dxa"/>
          </w:tcPr>
          <w:p w14:paraId="6B8B120E" w14:textId="77777777" w:rsidR="006E064D" w:rsidRDefault="00000000">
            <w:pPr>
              <w:jc w:val="center"/>
            </w:pPr>
            <w:r>
              <w:rPr>
                <w:sz w:val="19"/>
              </w:rPr>
              <w:t>G2 targeted provision at Gai — M7 cannot rescue it</w:t>
            </w:r>
          </w:p>
        </w:tc>
      </w:tr>
      <w:tr w:rsidR="006E064D" w14:paraId="0B44939E" w14:textId="77777777">
        <w:trPr>
          <w:jc w:val="center"/>
        </w:trPr>
        <w:tc>
          <w:tcPr>
            <w:tcW w:w="5472" w:type="dxa"/>
          </w:tcPr>
          <w:p w14:paraId="355B26E6" w14:textId="77777777" w:rsidR="006E064D" w:rsidRDefault="00000000">
            <w:r>
              <w:rPr>
                <w:sz w:val="19"/>
              </w:rPr>
              <w:t>Kentron 89% of zones &gt;85%, all-day</w:t>
            </w:r>
          </w:p>
        </w:tc>
        <w:tc>
          <w:tcPr>
            <w:tcW w:w="4176" w:type="dxa"/>
          </w:tcPr>
          <w:p w14:paraId="04F02192" w14:textId="77777777" w:rsidR="006E064D" w:rsidRDefault="00000000">
            <w:pPr>
              <w:jc w:val="center"/>
            </w:pPr>
            <w:r>
              <w:rPr>
                <w:sz w:val="19"/>
              </w:rPr>
              <w:t>All-day, zone-wide enforcement hours (G3)</w:t>
            </w:r>
          </w:p>
        </w:tc>
      </w:tr>
      <w:tr w:rsidR="006E064D" w14:paraId="1C57F8DC" w14:textId="77777777">
        <w:trPr>
          <w:jc w:val="center"/>
        </w:trPr>
        <w:tc>
          <w:tcPr>
            <w:tcW w:w="5472" w:type="dxa"/>
          </w:tcPr>
          <w:p w14:paraId="60DFC301" w14:textId="77777777" w:rsidR="006E064D" w:rsidRDefault="00000000">
            <w:r>
              <w:rPr>
                <w:sz w:val="19"/>
              </w:rPr>
              <w:t>Kentron / Malatia evening occupancy peak (retained residential)</w:t>
            </w:r>
          </w:p>
        </w:tc>
        <w:tc>
          <w:tcPr>
            <w:tcW w:w="4176" w:type="dxa"/>
          </w:tcPr>
          <w:p w14:paraId="0348D675" w14:textId="77777777" w:rsidR="006E064D" w:rsidRDefault="00000000">
            <w:pPr>
              <w:jc w:val="center"/>
            </w:pPr>
            <w:r>
              <w:rPr>
                <w:sz w:val="19"/>
              </w:rPr>
              <w:t>M4 resident permits; review paid-hours window (G4)</w:t>
            </w:r>
          </w:p>
        </w:tc>
      </w:tr>
      <w:tr w:rsidR="006E064D" w14:paraId="3F0BFAD5" w14:textId="77777777">
        <w:trPr>
          <w:jc w:val="center"/>
        </w:trPr>
        <w:tc>
          <w:tcPr>
            <w:tcW w:w="5472" w:type="dxa"/>
          </w:tcPr>
          <w:p w14:paraId="75F2C5CB" w14:textId="77777777" w:rsidR="006E064D" w:rsidRDefault="00000000">
            <w:r>
              <w:rPr>
                <w:sz w:val="19"/>
              </w:rPr>
              <w:t>Malatia 54% peak / 97% absorption; Shiraz 75% / 69%</w:t>
            </w:r>
          </w:p>
        </w:tc>
        <w:tc>
          <w:tcPr>
            <w:tcW w:w="4176" w:type="dxa"/>
          </w:tcPr>
          <w:p w14:paraId="7D9B0496" w14:textId="77777777" w:rsidR="006E064D" w:rsidRDefault="00000000">
            <w:pPr>
              <w:jc w:val="center"/>
            </w:pPr>
            <w:r>
              <w:rPr>
                <w:sz w:val="19"/>
              </w:rPr>
              <w:t>Light-touch (M5/M7) confirmed for genuine lower-sensitivity areas</w:t>
            </w:r>
          </w:p>
        </w:tc>
      </w:tr>
    </w:tbl>
    <w:p w14:paraId="49A29F76" w14:textId="77777777" w:rsidR="006E064D" w:rsidRDefault="00000000">
      <w:r>
        <w:br w:type="page"/>
      </w:r>
    </w:p>
    <w:p w14:paraId="7ECC42C9" w14:textId="77777777" w:rsidR="006E064D" w:rsidRDefault="00000000">
      <w:pPr>
        <w:spacing w:before="240"/>
      </w:pPr>
      <w:r>
        <w:rPr>
          <w:b/>
          <w:color w:val="142A4A"/>
          <w:sz w:val="30"/>
        </w:rPr>
        <w:lastRenderedPageBreak/>
        <w:t>6.  Critique of the user grouping</w:t>
      </w:r>
    </w:p>
    <w:p w14:paraId="7D2B1FD0" w14:textId="77777777" w:rsidR="006E064D" w:rsidRDefault="00000000">
      <w:pPr>
        <w:spacing w:after="80"/>
      </w:pPr>
      <w:r>
        <w:rPr>
          <w:b/>
        </w:rPr>
        <w:t xml:space="preserve">Current grouping </w:t>
      </w:r>
      <w:r>
        <w:t>(your directive, in compute_field_survey_metrics.mjs → STAY_BIN, shown in StoryStep.svelte): duration-of-stay, three ways — Visitor &lt;2h / Commuter 2–8h / Long &gt;8h, where “duration” = number of distinct hours a plate is seen.</w:t>
      </w:r>
    </w:p>
    <w:p w14:paraId="7A706612" w14:textId="77777777" w:rsidR="006E064D" w:rsidRDefault="00000000">
      <w:pPr>
        <w:spacing w:after="40"/>
      </w:pPr>
      <w:r>
        <w:rPr>
          <w:b/>
        </w:rPr>
        <w:t xml:space="preserve">What the data looks like </w:t>
      </w:r>
      <w:r>
        <w:t>(11,394 on-street stays, with the approved 1-hour overnight correction applied — see §A):</w:t>
      </w:r>
    </w:p>
    <w:p w14:paraId="4508B5F4" w14:textId="77777777" w:rsidR="006E064D" w:rsidRDefault="00000000">
      <w:pPr>
        <w:spacing w:after="0"/>
      </w:pPr>
      <w:r>
        <w:rPr>
          <w:rFonts w:ascii="Consolas" w:hAnsi="Consolas"/>
          <w:sz w:val="18"/>
        </w:rPr>
        <w:t xml:space="preserve">1h               62.8%  </w:t>
      </w:r>
      <w:r>
        <w:rPr>
          <w:color w:val="006D77"/>
          <w:sz w:val="18"/>
        </w:rPr>
        <w:t>█████████████████████████████████████████████</w:t>
      </w:r>
    </w:p>
    <w:p w14:paraId="7A391D64" w14:textId="77777777" w:rsidR="006E064D" w:rsidRDefault="00000000">
      <w:pPr>
        <w:spacing w:after="0"/>
      </w:pPr>
      <w:r>
        <w:rPr>
          <w:rFonts w:ascii="Consolas" w:hAnsi="Consolas"/>
          <w:sz w:val="18"/>
        </w:rPr>
        <w:t xml:space="preserve">2h               14.4%  </w:t>
      </w:r>
      <w:r>
        <w:rPr>
          <w:color w:val="006D77"/>
          <w:sz w:val="18"/>
        </w:rPr>
        <w:t>██████████</w:t>
      </w:r>
    </w:p>
    <w:p w14:paraId="7C2977AA" w14:textId="77777777" w:rsidR="006E064D" w:rsidRDefault="00000000">
      <w:pPr>
        <w:spacing w:after="0"/>
      </w:pPr>
      <w:r>
        <w:rPr>
          <w:rFonts w:ascii="Consolas" w:hAnsi="Consolas"/>
          <w:sz w:val="18"/>
        </w:rPr>
        <w:t xml:space="preserve">3h                6.5%  </w:t>
      </w:r>
      <w:r>
        <w:rPr>
          <w:color w:val="006D77"/>
          <w:sz w:val="18"/>
        </w:rPr>
        <w:t>█████</w:t>
      </w:r>
    </w:p>
    <w:p w14:paraId="5DE0BC27" w14:textId="77777777" w:rsidR="006E064D" w:rsidRDefault="00000000">
      <w:pPr>
        <w:spacing w:after="0"/>
      </w:pPr>
      <w:r>
        <w:rPr>
          <w:rFonts w:ascii="Consolas" w:hAnsi="Consolas"/>
          <w:sz w:val="18"/>
        </w:rPr>
        <w:t xml:space="preserve">4h                3.5%  </w:t>
      </w:r>
      <w:r>
        <w:rPr>
          <w:color w:val="006D77"/>
          <w:sz w:val="18"/>
        </w:rPr>
        <w:t>██</w:t>
      </w:r>
    </w:p>
    <w:p w14:paraId="119F06B4" w14:textId="77777777" w:rsidR="006E064D" w:rsidRDefault="00000000">
      <w:pPr>
        <w:spacing w:after="0"/>
      </w:pPr>
      <w:r>
        <w:rPr>
          <w:rFonts w:ascii="Consolas" w:hAnsi="Consolas"/>
          <w:sz w:val="18"/>
        </w:rPr>
        <w:t xml:space="preserve">5h                2.2%  </w:t>
      </w:r>
      <w:r>
        <w:rPr>
          <w:color w:val="006D77"/>
          <w:sz w:val="18"/>
        </w:rPr>
        <w:t>██</w:t>
      </w:r>
    </w:p>
    <w:p w14:paraId="1CD0D566" w14:textId="77777777" w:rsidR="006E064D" w:rsidRDefault="00000000">
      <w:pPr>
        <w:spacing w:after="0"/>
      </w:pPr>
      <w:r>
        <w:rPr>
          <w:rFonts w:ascii="Consolas" w:hAnsi="Consolas"/>
          <w:sz w:val="18"/>
        </w:rPr>
        <w:t xml:space="preserve">6h                1.6%  </w:t>
      </w:r>
      <w:r>
        <w:rPr>
          <w:color w:val="006D77"/>
          <w:sz w:val="18"/>
        </w:rPr>
        <w:t>█</w:t>
      </w:r>
    </w:p>
    <w:p w14:paraId="129771C4" w14:textId="77777777" w:rsidR="006E064D" w:rsidRDefault="00000000">
      <w:pPr>
        <w:spacing w:after="0"/>
      </w:pPr>
      <w:r>
        <w:rPr>
          <w:rFonts w:ascii="Consolas" w:hAnsi="Consolas"/>
          <w:sz w:val="18"/>
        </w:rPr>
        <w:t xml:space="preserve">7h                1.2%  </w:t>
      </w:r>
      <w:r>
        <w:rPr>
          <w:color w:val="006D77"/>
          <w:sz w:val="18"/>
        </w:rPr>
        <w:t>█</w:t>
      </w:r>
    </w:p>
    <w:p w14:paraId="56F41929" w14:textId="77777777" w:rsidR="006E064D" w:rsidRDefault="00000000">
      <w:pPr>
        <w:spacing w:after="0"/>
      </w:pPr>
      <w:r>
        <w:rPr>
          <w:rFonts w:ascii="Consolas" w:hAnsi="Consolas"/>
          <w:sz w:val="18"/>
        </w:rPr>
        <w:t xml:space="preserve">8h                0.9%  </w:t>
      </w:r>
      <w:r>
        <w:rPr>
          <w:color w:val="006D77"/>
          <w:sz w:val="18"/>
        </w:rPr>
        <w:t>█</w:t>
      </w:r>
    </w:p>
    <w:p w14:paraId="6D761322" w14:textId="77777777" w:rsidR="006E064D" w:rsidRDefault="00000000">
      <w:pPr>
        <w:spacing w:after="0"/>
      </w:pPr>
      <w:r>
        <w:rPr>
          <w:rFonts w:ascii="Consolas" w:hAnsi="Consolas"/>
          <w:sz w:val="18"/>
        </w:rPr>
        <w:t xml:space="preserve">8h+ / overnight   6.9%  </w:t>
      </w:r>
      <w:r>
        <w:rPr>
          <w:color w:val="006D77"/>
          <w:sz w:val="18"/>
        </w:rPr>
        <w:t>█████</w:t>
      </w:r>
    </w:p>
    <w:p w14:paraId="65C8E600" w14:textId="77777777" w:rsidR="006E064D" w:rsidRDefault="00000000">
      <w:pPr>
        <w:spacing w:after="120"/>
      </w:pPr>
      <w:r>
        <w:rPr>
          <w:i/>
          <w:color w:val="555555"/>
          <w:sz w:val="18"/>
        </w:rPr>
        <w:t>The 1h–8h bars are a smooth decay with no natural breakpoint; the overnight bucket holds the edge-only stays reclassified by the approved rule.</w:t>
      </w:r>
    </w:p>
    <w:p w14:paraId="672C8881" w14:textId="77777777" w:rsidR="006E064D" w:rsidRDefault="00000000">
      <w:pPr>
        <w:spacing w:after="40"/>
      </w:pPr>
      <w:r>
        <w:rPr>
          <w:b/>
        </w:rPr>
        <w:t>Findings:</w:t>
      </w:r>
    </w:p>
    <w:p w14:paraId="327DBC64" w14:textId="77777777" w:rsidR="006E064D" w:rsidRDefault="00000000">
      <w:pPr>
        <w:pStyle w:val="ListBullet"/>
      </w:pPr>
      <w:r>
        <w:rPr>
          <w:b/>
        </w:rPr>
        <w:t xml:space="preserve">The distribution is a smooth decay — any boundary is arbitrary. </w:t>
      </w:r>
      <w:r>
        <w:t>The split was a label imposed on continuous data, not derived from it.</w:t>
      </w:r>
    </w:p>
    <w:p w14:paraId="1CB12804" w14:textId="77777777" w:rsidR="006E064D" w:rsidRDefault="00000000">
      <w:pPr>
        <w:pStyle w:val="ListBullet"/>
      </w:pPr>
      <w:r>
        <w:rPr>
          <w:b/>
        </w:rPr>
        <w:t xml:space="preserve">“Visitor &lt;2h” is really “seen in a single hourly sweep.” </w:t>
      </w:r>
      <w:r>
        <w:t>Integer-hour resolution: &lt;2h = exactly 1h = ~63%. It can't tell a 5-minute drop-off from a 55-minute stay.</w:t>
      </w:r>
    </w:p>
    <w:p w14:paraId="5358D334" w14:textId="77777777" w:rsidR="006E064D" w:rsidRDefault="00000000">
      <w:pPr>
        <w:pStyle w:val="ListBullet"/>
      </w:pPr>
      <w:r>
        <w:rPr>
          <w:b/>
        </w:rPr>
        <w:t xml:space="preserve">“Commuter 2–8h” conflates two behaviours: </w:t>
      </w:r>
      <w:r>
        <w:t>the 2–4h errand/shopper (~24%) and the 5–8h worker (~6%) — opposite policy responses (turnover pricing vs. interception).</w:t>
      </w:r>
    </w:p>
    <w:p w14:paraId="11AB631C" w14:textId="77777777" w:rsidR="006E064D" w:rsidRDefault="00000000">
      <w:pPr>
        <w:pStyle w:val="ListBullet"/>
      </w:pPr>
      <w:r>
        <w:rPr>
          <w:b/>
        </w:rPr>
        <w:t xml:space="preserve">The overnight band is now modelled, not an artifact. </w:t>
      </w:r>
      <w:r>
        <w:t>The approved 1-hour rule lifts the 8h+ band from an observed 1.7% to ~6.9% by reclassifying edge-only stays as overnight. Even so it stays a floor — the daytime window (07:00–24:00) still cannot see genuine overnight storage, so it must not be used to weaken the resident-permit case.</w:t>
      </w:r>
    </w:p>
    <w:p w14:paraId="7705EE41" w14:textId="77777777" w:rsidR="006E064D" w:rsidRDefault="00000000">
      <w:pPr>
        <w:pStyle w:val="ListBullet"/>
      </w:pPr>
      <w:r>
        <w:rPr>
          <w:b/>
        </w:rPr>
        <w:t xml:space="preserve">It doesn't match the deliverables' own user groups. </w:t>
      </w:r>
      <w:r>
        <w:t>Output 10's “Impacts on Specific User Groups” is purpose-based — residents, customers, commuters, delivery, taxi, persons with disabilities — which is what the measures actually serve.</w:t>
      </w:r>
    </w:p>
    <w:p w14:paraId="39921F96" w14:textId="77777777" w:rsidR="006E064D" w:rsidRDefault="00000000">
      <w:pPr>
        <w:spacing w:before="160"/>
      </w:pPr>
      <w:r>
        <w:rPr>
          <w:b/>
          <w:color w:val="006D77"/>
          <w:sz w:val="25"/>
        </w:rPr>
        <w:t>Recommendation — adopted approach</w:t>
      </w:r>
    </w:p>
    <w:p w14:paraId="35D28D97" w14:textId="77777777" w:rsidR="006E064D" w:rsidRDefault="00000000">
      <w:pPr>
        <w:pStyle w:val="ListBullet"/>
      </w:pPr>
      <w:r>
        <w:rPr>
          <w:b/>
        </w:rPr>
        <w:t xml:space="preserve">Keep the three-way duration split, with the overnight band populated by the approved 1-hour boundary rule. </w:t>
      </w:r>
      <w:r>
        <w:t xml:space="preserve">This resolves the worst problem — the previously empty, mislabelled long band now carries a measured overnight share. Working basis: </w:t>
      </w:r>
      <w:r>
        <w:rPr>
          <w:b/>
          <w:color w:val="006D77"/>
        </w:rPr>
        <w:t>~63% visitor (&lt;2h) / ~30% commuter (2–8h) / ~7% overnight (8h+).</w:t>
      </w:r>
    </w:p>
    <w:p w14:paraId="698EBA5C" w14:textId="77777777" w:rsidR="006E064D" w:rsidRDefault="00000000">
      <w:pPr>
        <w:pStyle w:val="ListBullet"/>
      </w:pPr>
      <w:r>
        <w:rPr>
          <w:b/>
        </w:rPr>
        <w:t xml:space="preserve">Two residual cautions. </w:t>
      </w:r>
      <w:r>
        <w:t xml:space="preserve">(a) The visitor/commuter boundary still sits on a smooth decay with no natural gap, so treat the split as descriptive, not categorical. (b) For the mitigation mapping, anchor measures to purpose-based user groups (Resident, Visitor/Customer, </w:t>
      </w:r>
      <w:r>
        <w:lastRenderedPageBreak/>
        <w:t>Commuter/Worker, Delivery, Taxi, PwD) and use the duration data as evidence of population size, not as the grouping itself.</w:t>
      </w:r>
    </w:p>
    <w:p w14:paraId="239059D4" w14:textId="77777777" w:rsidR="006E064D" w:rsidRDefault="00000000">
      <w:pPr>
        <w:spacing w:before="240"/>
      </w:pPr>
      <w:r>
        <w:rPr>
          <w:b/>
          <w:color w:val="142A4A"/>
          <w:sz w:val="30"/>
        </w:rPr>
        <w:t>7.  Measures → groups (recommended grouping)</w:t>
      </w:r>
    </w:p>
    <w:tbl>
      <w:tblPr>
        <w:tblStyle w:val="TableGrid"/>
        <w:tblW w:w="0" w:type="auto"/>
        <w:jc w:val="center"/>
        <w:tblLook w:val="04A0" w:firstRow="1" w:lastRow="0" w:firstColumn="1" w:lastColumn="0" w:noHBand="0" w:noVBand="1"/>
      </w:tblPr>
      <w:tblGrid>
        <w:gridCol w:w="2647"/>
        <w:gridCol w:w="2537"/>
        <w:gridCol w:w="3672"/>
      </w:tblGrid>
      <w:tr w:rsidR="006E064D" w14:paraId="62FB2B69" w14:textId="77777777">
        <w:trPr>
          <w:jc w:val="center"/>
        </w:trPr>
        <w:tc>
          <w:tcPr>
            <w:tcW w:w="2880" w:type="dxa"/>
            <w:shd w:val="clear" w:color="auto" w:fill="142A4A"/>
          </w:tcPr>
          <w:p w14:paraId="73D2DDE6" w14:textId="77777777" w:rsidR="006E064D" w:rsidRDefault="00000000">
            <w:r>
              <w:rPr>
                <w:b/>
                <w:color w:val="FFFFFF"/>
                <w:sz w:val="19"/>
              </w:rPr>
              <w:t>User group (purpose-based)</w:t>
            </w:r>
          </w:p>
        </w:tc>
        <w:tc>
          <w:tcPr>
            <w:tcW w:w="2736" w:type="dxa"/>
            <w:shd w:val="clear" w:color="auto" w:fill="142A4A"/>
          </w:tcPr>
          <w:p w14:paraId="7B97B01F" w14:textId="77777777" w:rsidR="006E064D" w:rsidRDefault="00000000">
            <w:pPr>
              <w:jc w:val="center"/>
            </w:pPr>
            <w:r>
              <w:rPr>
                <w:b/>
                <w:color w:val="FFFFFF"/>
                <w:sz w:val="19"/>
              </w:rPr>
              <w:t>Survey signal</w:t>
            </w:r>
          </w:p>
        </w:tc>
        <w:tc>
          <w:tcPr>
            <w:tcW w:w="4032" w:type="dxa"/>
            <w:shd w:val="clear" w:color="auto" w:fill="142A4A"/>
          </w:tcPr>
          <w:p w14:paraId="054C80F0" w14:textId="77777777" w:rsidR="006E064D" w:rsidRDefault="00000000">
            <w:pPr>
              <w:jc w:val="center"/>
            </w:pPr>
            <w:r>
              <w:rPr>
                <w:b/>
                <w:color w:val="FFFFFF"/>
                <w:sz w:val="19"/>
              </w:rPr>
              <w:t>Mitigation measure(s)</w:t>
            </w:r>
          </w:p>
        </w:tc>
      </w:tr>
      <w:tr w:rsidR="006E064D" w14:paraId="5A14F353" w14:textId="77777777">
        <w:trPr>
          <w:jc w:val="center"/>
        </w:trPr>
        <w:tc>
          <w:tcPr>
            <w:tcW w:w="2880" w:type="dxa"/>
          </w:tcPr>
          <w:p w14:paraId="58BD4C23" w14:textId="77777777" w:rsidR="006E064D" w:rsidRDefault="00000000">
            <w:r>
              <w:rPr>
                <w:b/>
                <w:sz w:val="19"/>
              </w:rPr>
              <w:t>Visitors / customers</w:t>
            </w:r>
            <w:r>
              <w:rPr>
                <w:sz w:val="19"/>
              </w:rPr>
              <w:t xml:space="preserve"> (~77% ≤2h turnover demand)</w:t>
            </w:r>
          </w:p>
        </w:tc>
        <w:tc>
          <w:tcPr>
            <w:tcW w:w="2736" w:type="dxa"/>
          </w:tcPr>
          <w:p w14:paraId="711EB141" w14:textId="77777777" w:rsidR="006E064D" w:rsidRDefault="00000000">
            <w:pPr>
              <w:jc w:val="center"/>
            </w:pPr>
            <w:r>
              <w:rPr>
                <w:sz w:val="19"/>
              </w:rPr>
              <w:t>~63% ≤1h; turnover 5–11/day</w:t>
            </w:r>
          </w:p>
        </w:tc>
        <w:tc>
          <w:tcPr>
            <w:tcW w:w="4032" w:type="dxa"/>
          </w:tcPr>
          <w:p w14:paraId="418302F3" w14:textId="77777777" w:rsidR="006E064D" w:rsidRDefault="00000000">
            <w:pPr>
              <w:jc w:val="center"/>
            </w:pPr>
            <w:r>
              <w:rPr>
                <w:sz w:val="19"/>
              </w:rPr>
              <w:t>M1 pricing-for-turnover (headline); M5 organise free; M2 delivery bays</w:t>
            </w:r>
          </w:p>
        </w:tc>
      </w:tr>
      <w:tr w:rsidR="006E064D" w14:paraId="05FF91EE" w14:textId="77777777">
        <w:trPr>
          <w:jc w:val="center"/>
        </w:trPr>
        <w:tc>
          <w:tcPr>
            <w:tcW w:w="2880" w:type="dxa"/>
          </w:tcPr>
          <w:p w14:paraId="70C7A931" w14:textId="77777777" w:rsidR="006E064D" w:rsidRDefault="00000000">
            <w:r>
              <w:rPr>
                <w:b/>
                <w:sz w:val="19"/>
              </w:rPr>
              <w:t>Commuters / workers</w:t>
            </w:r>
            <w:r>
              <w:rPr>
                <w:sz w:val="19"/>
              </w:rPr>
              <w:t xml:space="preserve"> (~6% daytime all-day)</w:t>
            </w:r>
          </w:p>
        </w:tc>
        <w:tc>
          <w:tcPr>
            <w:tcW w:w="2736" w:type="dxa"/>
          </w:tcPr>
          <w:p w14:paraId="36B2A82D" w14:textId="77777777" w:rsidR="006E064D" w:rsidRDefault="00000000">
            <w:pPr>
              <w:jc w:val="center"/>
            </w:pPr>
            <w:r>
              <w:rPr>
                <w:sz w:val="19"/>
              </w:rPr>
              <w:t>5–8h stays; small but present</w:t>
            </w:r>
          </w:p>
        </w:tc>
        <w:tc>
          <w:tcPr>
            <w:tcW w:w="4032" w:type="dxa"/>
          </w:tcPr>
          <w:p w14:paraId="7EEA850F" w14:textId="77777777" w:rsidR="006E064D" w:rsidRDefault="00000000">
            <w:pPr>
              <w:jc w:val="center"/>
            </w:pPr>
            <w:commentRangeStart w:id="1"/>
            <w:r>
              <w:rPr>
                <w:sz w:val="19"/>
              </w:rPr>
              <w:t>M6 park &amp; ride; M9 duration-based fines / price differential; M3 caps marginal</w:t>
            </w:r>
            <w:commentRangeEnd w:id="1"/>
            <w:r w:rsidR="009A354D">
              <w:rPr>
                <w:rStyle w:val="CommentReference"/>
                <w:sz w:val="22"/>
                <w:szCs w:val="22"/>
              </w:rPr>
              <w:commentReference w:id="1"/>
            </w:r>
          </w:p>
        </w:tc>
      </w:tr>
      <w:tr w:rsidR="006E064D" w14:paraId="5A3AE54F" w14:textId="77777777">
        <w:trPr>
          <w:jc w:val="center"/>
        </w:trPr>
        <w:tc>
          <w:tcPr>
            <w:tcW w:w="2880" w:type="dxa"/>
          </w:tcPr>
          <w:p w14:paraId="388E0624" w14:textId="77777777" w:rsidR="006E064D" w:rsidRDefault="00000000">
            <w:r>
              <w:rPr>
                <w:b/>
                <w:sz w:val="19"/>
              </w:rPr>
              <w:t>Residents</w:t>
            </w:r>
            <w:r>
              <w:rPr>
                <w:sz w:val="19"/>
              </w:rPr>
              <w:t xml:space="preserve"> (overnight ~7%, 1h-rule)</w:t>
            </w:r>
          </w:p>
        </w:tc>
        <w:tc>
          <w:tcPr>
            <w:tcW w:w="2736" w:type="dxa"/>
          </w:tcPr>
          <w:p w14:paraId="3B8E7323" w14:textId="77777777" w:rsidR="006E064D" w:rsidRDefault="00000000">
            <w:pPr>
              <w:jc w:val="center"/>
            </w:pPr>
            <w:r>
              <w:rPr>
                <w:sz w:val="19"/>
              </w:rPr>
              <w:t>Daytime window undercounts; evening occupancy peaks</w:t>
            </w:r>
          </w:p>
        </w:tc>
        <w:tc>
          <w:tcPr>
            <w:tcW w:w="4032" w:type="dxa"/>
          </w:tcPr>
          <w:p w14:paraId="62E3DA4F" w14:textId="77777777" w:rsidR="006E064D" w:rsidRDefault="00000000">
            <w:pPr>
              <w:jc w:val="center"/>
            </w:pPr>
            <w:commentRangeStart w:id="2"/>
            <w:r>
              <w:rPr>
                <w:sz w:val="19"/>
              </w:rPr>
              <w:t>M4 resident permits; M7 open yards (load-bearing). Never M3 caps</w:t>
            </w:r>
            <w:commentRangeEnd w:id="2"/>
            <w:r w:rsidR="009A354D">
              <w:rPr>
                <w:rStyle w:val="CommentReference"/>
                <w:sz w:val="22"/>
                <w:szCs w:val="22"/>
              </w:rPr>
              <w:commentReference w:id="2"/>
            </w:r>
          </w:p>
        </w:tc>
      </w:tr>
      <w:tr w:rsidR="006E064D" w14:paraId="770BE803" w14:textId="77777777">
        <w:trPr>
          <w:jc w:val="center"/>
        </w:trPr>
        <w:tc>
          <w:tcPr>
            <w:tcW w:w="2880" w:type="dxa"/>
          </w:tcPr>
          <w:p w14:paraId="207BF506" w14:textId="77777777" w:rsidR="006E064D" w:rsidRDefault="00000000">
            <w:r>
              <w:rPr>
                <w:b/>
                <w:sz w:val="19"/>
              </w:rPr>
              <w:t>Delivery / freight</w:t>
            </w:r>
          </w:p>
        </w:tc>
        <w:tc>
          <w:tcPr>
            <w:tcW w:w="2736" w:type="dxa"/>
          </w:tcPr>
          <w:p w14:paraId="4E739B2E" w14:textId="77777777" w:rsidR="006E064D" w:rsidRDefault="00000000">
            <w:pPr>
              <w:jc w:val="center"/>
            </w:pPr>
            <w:r>
              <w:rPr>
                <w:sz w:val="19"/>
              </w:rPr>
              <w:t>Inferred (short-access + turnover)</w:t>
            </w:r>
          </w:p>
        </w:tc>
        <w:tc>
          <w:tcPr>
            <w:tcW w:w="4032" w:type="dxa"/>
          </w:tcPr>
          <w:p w14:paraId="44150FCC" w14:textId="77777777" w:rsidR="006E064D" w:rsidRDefault="00000000">
            <w:pPr>
              <w:jc w:val="center"/>
            </w:pPr>
            <w:r>
              <w:rPr>
                <w:sz w:val="19"/>
              </w:rPr>
              <w:t>M2 loading bays; grace period</w:t>
            </w:r>
          </w:p>
        </w:tc>
      </w:tr>
      <w:tr w:rsidR="006E064D" w14:paraId="47E54DA0" w14:textId="77777777">
        <w:trPr>
          <w:jc w:val="center"/>
        </w:trPr>
        <w:tc>
          <w:tcPr>
            <w:tcW w:w="2880" w:type="dxa"/>
          </w:tcPr>
          <w:p w14:paraId="1ED0B24E" w14:textId="77777777" w:rsidR="006E064D" w:rsidRDefault="00000000">
            <w:r>
              <w:rPr>
                <w:b/>
                <w:sz w:val="19"/>
              </w:rPr>
              <w:t>Taxi</w:t>
            </w:r>
          </w:p>
        </w:tc>
        <w:tc>
          <w:tcPr>
            <w:tcW w:w="2736" w:type="dxa"/>
          </w:tcPr>
          <w:p w14:paraId="47550D83" w14:textId="77777777" w:rsidR="006E064D" w:rsidRDefault="00000000">
            <w:pPr>
              <w:jc w:val="center"/>
            </w:pPr>
            <w:r>
              <w:rPr>
                <w:sz w:val="19"/>
              </w:rPr>
              <w:t>In inventory</w:t>
            </w:r>
          </w:p>
        </w:tc>
        <w:tc>
          <w:tcPr>
            <w:tcW w:w="4032" w:type="dxa"/>
          </w:tcPr>
          <w:p w14:paraId="24F436C1" w14:textId="77777777" w:rsidR="006E064D" w:rsidRDefault="00000000">
            <w:pPr>
              <w:jc w:val="center"/>
            </w:pPr>
            <w:r>
              <w:rPr>
                <w:sz w:val="19"/>
              </w:rPr>
              <w:t>Designated taxi stands (design)</w:t>
            </w:r>
          </w:p>
        </w:tc>
      </w:tr>
      <w:tr w:rsidR="006E064D" w14:paraId="3F1760F1" w14:textId="77777777">
        <w:trPr>
          <w:jc w:val="center"/>
        </w:trPr>
        <w:tc>
          <w:tcPr>
            <w:tcW w:w="2880" w:type="dxa"/>
          </w:tcPr>
          <w:p w14:paraId="42DFBFDA" w14:textId="77777777" w:rsidR="006E064D" w:rsidRDefault="00000000">
            <w:r>
              <w:rPr>
                <w:b/>
                <w:sz w:val="19"/>
              </w:rPr>
              <w:t>Persons with disabilities</w:t>
            </w:r>
          </w:p>
        </w:tc>
        <w:tc>
          <w:tcPr>
            <w:tcW w:w="2736" w:type="dxa"/>
          </w:tcPr>
          <w:p w14:paraId="1CCFE809" w14:textId="77777777" w:rsidR="006E064D" w:rsidRDefault="00000000">
            <w:pPr>
              <w:jc w:val="center"/>
            </w:pPr>
            <w:r>
              <w:rPr>
                <w:sz w:val="19"/>
              </w:rPr>
              <w:t>Statutory</w:t>
            </w:r>
          </w:p>
        </w:tc>
        <w:tc>
          <w:tcPr>
            <w:tcW w:w="4032" w:type="dxa"/>
          </w:tcPr>
          <w:p w14:paraId="6F0572F0" w14:textId="77777777" w:rsidR="006E064D" w:rsidRDefault="00000000">
            <w:pPr>
              <w:jc w:val="center"/>
            </w:pPr>
            <w:r>
              <w:rPr>
                <w:sz w:val="19"/>
              </w:rPr>
              <w:t>Retained accessible bays (design)</w:t>
            </w:r>
          </w:p>
        </w:tc>
      </w:tr>
    </w:tbl>
    <w:p w14:paraId="7EEECBD9" w14:textId="77777777" w:rsidR="006E064D" w:rsidRDefault="00000000">
      <w:pPr>
        <w:spacing w:before="240"/>
      </w:pPr>
      <w:r>
        <w:rPr>
          <w:b/>
          <w:color w:val="142A4A"/>
          <w:sz w:val="30"/>
        </w:rPr>
        <w:t>8.  Caveats binding every conclusion</w:t>
      </w:r>
    </w:p>
    <w:p w14:paraId="2A0F3CEB" w14:textId="77777777" w:rsidR="006E064D" w:rsidRDefault="00000000">
      <w:pPr>
        <w:pStyle w:val="ListBullet"/>
      </w:pPr>
      <w:r>
        <w:rPr>
          <w:b/>
        </w:rPr>
        <w:t xml:space="preserve">Daytime window (07:00–~24:00). </w:t>
      </w:r>
      <w:r>
        <w:t>Overnight residential storage is structurally invisible — resident permits, duration-based fines, and the “long-stay” band cannot be tested and must not be weakened on this data.</w:t>
      </w:r>
    </w:p>
    <w:p w14:paraId="25A0CB3B" w14:textId="77777777" w:rsidR="006E064D" w:rsidRDefault="00000000">
      <w:pPr>
        <w:pStyle w:val="ListBullet"/>
      </w:pPr>
      <w:r>
        <w:rPr>
          <w:b/>
        </w:rPr>
        <w:t xml:space="preserve">Six areas, not the full corridor. </w:t>
      </w:r>
      <w:r>
        <w:t>A demand overlay (208 segments, ~2,930 spaces), not the 8,862-space inventory. Absorption is gross best-case (every nearby space available, drivers willing to go off-street); real-world friction tightens every balance.</w:t>
      </w:r>
    </w:p>
    <w:p w14:paraId="24A15154" w14:textId="77777777" w:rsidR="006E064D" w:rsidRDefault="00000000">
      <w:pPr>
        <w:pStyle w:val="ListBullet"/>
      </w:pPr>
      <w:r>
        <w:rPr>
          <w:b/>
        </w:rPr>
        <w:t xml:space="preserve">Duration = distinct hours observed, </w:t>
      </w:r>
      <w:r>
        <w:t>not continuous dwell or vehicle type — coarse, and silent on freight/taxi/PwD purpose.</w:t>
      </w:r>
    </w:p>
    <w:p w14:paraId="5BB9D483" w14:textId="77777777" w:rsidR="006E064D" w:rsidRDefault="00000000">
      <w:pPr>
        <w:spacing w:after="40"/>
      </w:pPr>
      <w:r>
        <w:rPr>
          <w:b/>
          <w:color w:val="142A4A"/>
        </w:rPr>
        <w:t xml:space="preserve">Bottom line. </w:t>
      </w:r>
      <w:r>
        <w:t>The a-priori menu was sound; the survey doesn't break it, it re-aims it — no net-new measure. Elevate and commit M7 (open residential yards), the off-street measure the absorption headline silently depends on; demote max-stay caps in favour of pricing (keep, don't remove); push the off-street and organisation measures up into the saturated core; and fix the Komitas (Medium→High) and Gai (unclassified→targeted) zone assignments. The grouping keeps its three-way duration split — now with the overnight band populated by the approved 1-hour rule — while the mitigation mapping is anchored to purpose-based user groups.</w:t>
      </w:r>
    </w:p>
    <w:p w14:paraId="031A8CFF" w14:textId="322340B3" w:rsidR="006E064D" w:rsidRDefault="006E064D"/>
    <w:sectPr w:rsidR="006E064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ura beradze" w:date="2026-06-19T11:13:00Z" w:initials="zb">
    <w:p w14:paraId="09042ED8" w14:textId="77777777" w:rsidR="009A2FC7" w:rsidRDefault="009A2FC7" w:rsidP="009A2FC7">
      <w:pPr>
        <w:pStyle w:val="CommentText"/>
      </w:pPr>
      <w:r>
        <w:rPr>
          <w:rStyle w:val="CommentReference"/>
        </w:rPr>
        <w:annotationRef/>
      </w:r>
      <w:r>
        <w:t xml:space="preserve">From planning perspective, we have to mention that opening yards will require serious organisation and management which might will cause negative reaction from resident’s side if the idea isn’t communicated in a proper manner. Every negative reaction can harm the whole corridor reform </w:t>
      </w:r>
    </w:p>
  </w:comment>
  <w:comment w:id="1" w:author="zura beradze" w:date="2026-06-19T12:01:00Z" w:initials="zb">
    <w:p w14:paraId="3EFA4023" w14:textId="77777777" w:rsidR="009A354D" w:rsidRDefault="009A354D" w:rsidP="009A354D">
      <w:pPr>
        <w:pStyle w:val="CommentText"/>
      </w:pPr>
      <w:r>
        <w:rPr>
          <w:rStyle w:val="CommentReference"/>
        </w:rPr>
        <w:annotationRef/>
      </w:r>
      <w:r>
        <w:t>The tone should be how to address people’s need not just fining everyone. And the commuters are the best fit for BRT system introduction as the long stays in most cases mean they will change the mode in most cases.</w:t>
      </w:r>
    </w:p>
  </w:comment>
  <w:comment w:id="2" w:author="zura beradze" w:date="2026-06-19T12:04:00Z" w:initials="zb">
    <w:p w14:paraId="143B343C" w14:textId="77777777" w:rsidR="009A354D" w:rsidRDefault="009A354D" w:rsidP="009A354D">
      <w:pPr>
        <w:pStyle w:val="CommentText"/>
      </w:pPr>
      <w:r>
        <w:rPr>
          <w:rStyle w:val="CommentReference"/>
        </w:rPr>
        <w:annotationRef/>
      </w:r>
      <w:r>
        <w:t>Must be admitted that resident permits also need attention (use tbilisi parking strudy for forming the approach(maybe free in the beginning but later they also will have to cancel the free stay as there is a problem for Tbilisi)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42ED8" w15:done="0"/>
  <w15:commentEx w15:paraId="3EFA4023" w15:done="0"/>
  <w15:commentEx w15:paraId="143B34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BEB2DB" w16cex:dateUtc="2026-06-19T07:13:00Z"/>
  <w16cex:commentExtensible w16cex:durableId="56C259EC" w16cex:dateUtc="2026-06-19T08:01:00Z"/>
  <w16cex:commentExtensible w16cex:durableId="0AFA5136" w16cex:dateUtc="2026-06-19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42ED8" w16cid:durableId="41BEB2DB"/>
  <w16cid:commentId w16cid:paraId="3EFA4023" w16cid:durableId="56C259EC"/>
  <w16cid:commentId w16cid:paraId="143B343C" w16cid:durableId="0AFA51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00450"/>
    <w:multiLevelType w:val="multilevel"/>
    <w:tmpl w:val="4D5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88271">
    <w:abstractNumId w:val="8"/>
  </w:num>
  <w:num w:numId="2" w16cid:durableId="2112775518">
    <w:abstractNumId w:val="6"/>
  </w:num>
  <w:num w:numId="3" w16cid:durableId="1765298476">
    <w:abstractNumId w:val="5"/>
  </w:num>
  <w:num w:numId="4" w16cid:durableId="1400250318">
    <w:abstractNumId w:val="4"/>
  </w:num>
  <w:num w:numId="5" w16cid:durableId="1425415915">
    <w:abstractNumId w:val="7"/>
  </w:num>
  <w:num w:numId="6" w16cid:durableId="192154949">
    <w:abstractNumId w:val="3"/>
  </w:num>
  <w:num w:numId="7" w16cid:durableId="1586377925">
    <w:abstractNumId w:val="2"/>
  </w:num>
  <w:num w:numId="8" w16cid:durableId="773666792">
    <w:abstractNumId w:val="1"/>
  </w:num>
  <w:num w:numId="9" w16cid:durableId="522983583">
    <w:abstractNumId w:val="0"/>
  </w:num>
  <w:num w:numId="10" w16cid:durableId="2748912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ura beradze">
    <w15:presenceInfo w15:providerId="Windows Live" w15:userId="737da3474a1b9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ECA"/>
    <w:rsid w:val="0029639D"/>
    <w:rsid w:val="00326F90"/>
    <w:rsid w:val="00354FDA"/>
    <w:rsid w:val="00356C0E"/>
    <w:rsid w:val="00362837"/>
    <w:rsid w:val="006E064D"/>
    <w:rsid w:val="009A2FC7"/>
    <w:rsid w:val="009A35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345DB"/>
  <w14:defaultImageDpi w14:val="300"/>
  <w15:docId w15:val="{99A8F5AF-A88B-4D16-A905-D2789DB2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A2FC7"/>
    <w:rPr>
      <w:sz w:val="16"/>
      <w:szCs w:val="16"/>
    </w:rPr>
  </w:style>
  <w:style w:type="paragraph" w:styleId="CommentText">
    <w:name w:val="annotation text"/>
    <w:basedOn w:val="Normal"/>
    <w:link w:val="CommentTextChar"/>
    <w:uiPriority w:val="99"/>
    <w:unhideWhenUsed/>
    <w:rsid w:val="009A2FC7"/>
    <w:pPr>
      <w:spacing w:line="240" w:lineRule="auto"/>
    </w:pPr>
    <w:rPr>
      <w:sz w:val="20"/>
      <w:szCs w:val="20"/>
    </w:rPr>
  </w:style>
  <w:style w:type="character" w:customStyle="1" w:styleId="CommentTextChar">
    <w:name w:val="Comment Text Char"/>
    <w:basedOn w:val="DefaultParagraphFont"/>
    <w:link w:val="CommentText"/>
    <w:uiPriority w:val="99"/>
    <w:rsid w:val="009A2FC7"/>
    <w:rPr>
      <w:rFonts w:ascii="Calibri" w:hAnsi="Calibri"/>
      <w:color w:val="222222"/>
      <w:sz w:val="20"/>
      <w:szCs w:val="20"/>
    </w:rPr>
  </w:style>
  <w:style w:type="paragraph" w:styleId="CommentSubject">
    <w:name w:val="annotation subject"/>
    <w:basedOn w:val="CommentText"/>
    <w:next w:val="CommentText"/>
    <w:link w:val="CommentSubjectChar"/>
    <w:uiPriority w:val="99"/>
    <w:semiHidden/>
    <w:unhideWhenUsed/>
    <w:rsid w:val="009A2FC7"/>
    <w:rPr>
      <w:b/>
      <w:bCs/>
    </w:rPr>
  </w:style>
  <w:style w:type="character" w:customStyle="1" w:styleId="CommentSubjectChar">
    <w:name w:val="Comment Subject Char"/>
    <w:basedOn w:val="CommentTextChar"/>
    <w:link w:val="CommentSubject"/>
    <w:uiPriority w:val="99"/>
    <w:semiHidden/>
    <w:rsid w:val="009A2FC7"/>
    <w:rPr>
      <w:rFonts w:ascii="Calibri" w:hAnsi="Calibri"/>
      <w:b/>
      <w:bCs/>
      <w:color w:val="22222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2195</Words>
  <Characters>12361</Characters>
  <Application>Microsoft Office Word</Application>
  <DocSecurity>0</DocSecurity>
  <Lines>363</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zura beradze</cp:lastModifiedBy>
  <cp:revision>3</cp:revision>
  <dcterms:created xsi:type="dcterms:W3CDTF">2013-12-23T23:15:00Z</dcterms:created>
  <dcterms:modified xsi:type="dcterms:W3CDTF">2026-06-19T08:07:00Z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cd24557f-7511-4149-906a-c04e75b73373</vt:lpwstr>
  </property>
</Properties>
</file>