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2"/>
        </w:rPr>
        <w:t>Yerevan Parking Study  •  Output 10 Revision</w:t>
      </w:r>
    </w:p>
    <w:p>
      <w:r>
        <w:rPr>
          <w:b/>
          <w:color w:val="142A4A"/>
          <w:sz w:val="38"/>
        </w:rPr>
        <w:t>Output 10 — Parking Analysis Report: Proposed Changes</w:t>
      </w:r>
    </w:p>
    <w:p>
      <w:r>
        <w:rPr>
          <w:i/>
          <w:color w:val="555555"/>
          <w:sz w:val="21"/>
        </w:rPr>
        <w:t>A section-by-section change-list for review and approval. No edits have been applied to the source report yet — on approval, every change will be made in the document in red so it can be tracked.</w:t>
      </w:r>
    </w:p>
    <w:p>
      <w:pPr>
        <w:pBdr>
          <w:bottom w:val="single" w:sz="8" w:space="1" w:color="142A4A"/>
        </w:pBdr>
      </w:pPr>
    </w:p>
    <w:p>
      <w:pPr>
        <w:spacing w:after="80"/>
      </w:pPr>
      <w:r>
        <w:rPr>
          <w:b/>
          <w:i w:val="0"/>
          <w:color w:val="555555"/>
          <w:sz w:val="20"/>
        </w:rPr>
        <w:t xml:space="preserve">Target file. </w:t>
      </w:r>
      <w:r>
        <w:rPr>
          <w:b w:val="0"/>
          <w:i w:val="0"/>
          <w:color w:val="555555"/>
          <w:sz w:val="20"/>
        </w:rPr>
        <w:t>“Parking Analysis Report - 20260417.docx”. Its cover label “Output 8: Parking Analysis Report” is a known mislabel — this is Output 10 (Parking Analysis Report). The companion surveys report (now “Output 8 - …08042026 (rev).docx”) is Output 8 and owns the survey/supply/displacement frame. Output 10 owns the mitigation measures and recommendations — which is where this plan does most of its work, applying the Mitigation Measures Audit memo.</w:t>
      </w:r>
    </w:p>
    <w:p>
      <w:pPr>
        <w:spacing w:after="80"/>
      </w:pPr>
      <w:r>
        <w:rPr>
          <w:b/>
          <w:i w:val="0"/>
          <w:sz w:val="19"/>
        </w:rPr>
        <w:t xml:space="preserve">How to read. </w:t>
      </w:r>
      <w:r>
        <w:rPr>
          <w:b w:val="0"/>
          <w:i w:val="0"/>
          <w:sz w:val="19"/>
        </w:rPr>
        <w:t xml:space="preserve">Each block: section + paragraph refs, a change-type tag, then </w:t>
      </w:r>
      <w:r>
        <w:rPr>
          <w:b/>
          <w:i w:val="0"/>
          <w:color w:val="555555"/>
          <w:sz w:val="19"/>
        </w:rPr>
        <w:t>Current</w:t>
      </w:r>
      <w:r>
        <w:rPr>
          <w:b w:val="0"/>
          <w:i w:val="0"/>
          <w:sz w:val="19"/>
        </w:rPr>
        <w:t xml:space="preserve"> → </w:t>
      </w:r>
      <w:r>
        <w:rPr>
          <w:b/>
          <w:i w:val="0"/>
          <w:color w:val="C02A2A"/>
          <w:sz w:val="19"/>
        </w:rPr>
        <w:t>Proposed</w:t>
      </w:r>
      <w:r>
        <w:rPr>
          <w:b w:val="0"/>
          <w:i w:val="0"/>
          <w:sz w:val="19"/>
        </w:rPr>
        <w:t xml:space="preserve"> → </w:t>
      </w:r>
      <w:r>
        <w:rPr>
          <w:b/>
          <w:i w:val="0"/>
          <w:color w:val="006D77"/>
          <w:sz w:val="19"/>
        </w:rPr>
        <w:t>Basis</w:t>
      </w:r>
      <w:r>
        <w:rPr>
          <w:b w:val="0"/>
          <w:i w:val="0"/>
          <w:sz w:val="19"/>
        </w:rPr>
        <w:t>. Tags: REFRAME · REPLACE · INJECT · ADD · RECALIBRATE · FIGURE · KEEP.</w:t>
      </w:r>
    </w:p>
    <w:p>
      <w:pPr>
        <w:spacing w:before="260" w:after="60"/>
      </w:pPr>
      <w:r>
        <w:rPr>
          <w:b/>
          <w:color w:val="142A4A"/>
          <w:sz w:val="30"/>
        </w:rPr>
        <w:t>1.  What this revision does</w:t>
      </w:r>
    </w:p>
    <w:p>
      <w:pPr>
        <w:spacing w:after="80"/>
      </w:pPr>
      <w:r>
        <w:rPr>
          <w:b w:val="0"/>
          <w:i w:val="0"/>
          <w:sz w:val="21"/>
        </w:rPr>
        <w:t xml:space="preserve">Output 10 carries the mitigation measures, written a priori (before fieldwork). The Mitigation Measures Audit memo pressure-tested them against the completed field survey and reached a clear verdict: the measure </w:t>
      </w:r>
      <w:r>
        <w:rPr>
          <w:b w:val="0"/>
          <w:i/>
          <w:sz w:val="21"/>
        </w:rPr>
        <w:t>menu</w:t>
      </w:r>
      <w:r>
        <w:rPr>
          <w:b w:val="0"/>
          <w:i w:val="0"/>
          <w:sz w:val="21"/>
        </w:rPr>
        <w:t xml:space="preserve"> holds up, but the measure </w:t>
      </w:r>
      <w:r>
        <w:rPr>
          <w:b w:val="0"/>
          <w:i/>
          <w:sz w:val="21"/>
        </w:rPr>
        <w:t>targeting</w:t>
      </w:r>
      <w:r>
        <w:rPr>
          <w:b w:val="0"/>
          <w:i w:val="0"/>
          <w:sz w:val="21"/>
        </w:rPr>
        <w:t xml:space="preserve"> does not. This revision applies that verdict — no measure is deleted; three are re-aimed, one is elevated to a committed precondition, and one further idea (phasing out the flat annual permit) is flagged for decision pending Parking City Service data — and, like Output 8, it converts the report's “field survey abandoned / demand via ANPR” framing to “survey conducted, demand measured.”</w:t>
      </w:r>
    </w:p>
    <w:p>
      <w:pPr>
        <w:spacing w:after="80"/>
      </w:pPr>
      <w:r>
        <w:rPr>
          <w:b/>
          <w:i w:val="0"/>
          <w:color w:val="C02A2A"/>
          <w:sz w:val="21"/>
        </w:rPr>
        <w:t xml:space="preserve">The five headline moves: </w:t>
      </w:r>
      <w:r>
        <w:rPr>
          <w:b w:val="0"/>
          <w:i w:val="0"/>
          <w:sz w:val="21"/>
        </w:rPr>
        <w:t>(1) elevate Open Residential Yards to a committed, core-led precondition with a resident-engagement plan; (2) re-scope Visitor Caps — demote to a targeted contingency, lead with pricing, and treat commuters as a BRT mode-shift opportunity not a fining target; (3) flag — not yet adopt — a candidate idea to phase out the flat annual permit, pending Parking City Service permit/tariff data; (4) widen Organise-Free-Parking into the core; (5) recalibrate the sensitivity zones (Komitas Medium→High; and treat Gai Avenue / Mega Mall as a site-specific carve-out — defer kerb removal until the mall's off-street parking is brought into play, rather than inventing a new zone class).</w:t>
      </w:r>
    </w:p>
    <w:p>
      <w:pPr>
        <w:spacing w:before="260" w:after="60"/>
      </w:pPr>
      <w:r>
        <w:rPr>
          <w:b/>
          <w:color w:val="142A4A"/>
          <w:sz w:val="30"/>
        </w:rPr>
        <w:t>2.  Section-by-section change-list</w:t>
      </w:r>
    </w:p>
    <w:p>
      <w:pPr>
        <w:spacing w:before="180" w:after="20"/>
      </w:pPr>
      <w:r>
        <w:rPr>
          <w:b/>
          <w:color w:val="222222"/>
          <w:sz w:val="22"/>
        </w:rPr>
        <w:t>Cover label</w:t>
      </w:r>
      <w:r>
        <w:rPr>
          <w:color w:val="555555"/>
          <w:sz w:val="17"/>
        </w:rPr>
        <w:t xml:space="preserve">   title page</w:t>
      </w:r>
    </w:p>
    <w:p>
      <w:pPr>
        <w:spacing w:after="20"/>
      </w:pPr>
      <w:r>
        <w:rPr>
          <w:b/>
          <w:color w:val="C02A2A"/>
          <w:sz w:val="16"/>
        </w:rPr>
        <w:t xml:space="preserve"> REPLACE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sz w:val="19"/>
        </w:rPr>
        <w:t>Cover reads “Output 8: Parking Analysis Report”.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sz w:val="19"/>
        </w:rPr>
        <w:t>Correct to “Output 10: Parking Analysis Report” (Output 8 is the surveys report). Matched style, tracked.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sz w:val="19"/>
        </w:rPr>
        <w:t>Known mislabel; confirmed with you for Output 8.</w:t>
      </w:r>
    </w:p>
    <w:p>
      <w:pPr>
        <w:spacing w:before="180" w:after="20"/>
      </w:pPr>
      <w:r>
        <w:rPr>
          <w:b/>
          <w:color w:val="222222"/>
          <w:sz w:val="22"/>
        </w:rPr>
        <w:t>Introduction — Purpose &amp; Scope</w:t>
      </w:r>
      <w:r>
        <w:rPr>
          <w:color w:val="555555"/>
          <w:sz w:val="17"/>
        </w:rPr>
        <w:t xml:space="preserve">   ¶41–53</w:t>
      </w:r>
    </w:p>
    <w:p>
      <w:pPr>
        <w:spacing w:after="20"/>
      </w:pPr>
      <w:r>
        <w:rPr>
          <w:b/>
          <w:color w:val="006D77"/>
          <w:sz w:val="16"/>
        </w:rPr>
        <w:t xml:space="preserve"> INJECT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sz w:val="19"/>
        </w:rPr>
        <w:t>Standalone management/mitigation report; demand context described qualitatively.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sz w:val="19"/>
        </w:rPr>
        <w:t>Note that a targeted field occupancy survey (six areas, ordinary weekdays) has been completed and now underpins the measure recommendations, cross-referencing the companion Output 8.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sz w:val="19"/>
        </w:rPr>
        <w:t>Field survey; memo §2.</w:t>
      </w:r>
    </w:p>
    <w:p>
      <w:pPr>
        <w:spacing w:before="180" w:after="20"/>
      </w:pPr>
      <w:r>
        <w:rPr>
          <w:b/>
          <w:color w:val="222222"/>
          <w:sz w:val="22"/>
        </w:rPr>
        <w:t>Yerevan Parking System Overview — Tariff / ANPR / Payment</w:t>
      </w:r>
      <w:r>
        <w:rPr>
          <w:color w:val="555555"/>
          <w:sz w:val="17"/>
        </w:rPr>
        <w:t xml:space="preserve">   ¶63–139</w:t>
      </w:r>
    </w:p>
    <w:p>
      <w:pPr>
        <w:spacing w:after="20"/>
      </w:pPr>
      <w:r>
        <w:rPr>
          <w:b/>
          <w:color w:val="2E7D32"/>
          <w:sz w:val="16"/>
        </w:rPr>
        <w:t xml:space="preserve"> ADD </w:t>
      </w:r>
      <w:r>
        <w:t xml:space="preserve">  </w:t>
      </w:r>
      <w:r>
        <w:rPr>
          <w:b/>
          <w:color w:val="555555"/>
          <w:sz w:val="16"/>
        </w:rPr>
        <w:t xml:space="preserve"> KEEP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sz w:val="19"/>
        </w:rPr>
        <w:t>Institutional, tariff (2024 reform), ANPR enforcement and digital-payment context. Factual; largely sound.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sz w:val="19"/>
        </w:rPr>
        <w:t>Keep. Add a short description of the flat annual zonal-parking permit within the tariff/payment context — this sets up the candidate idea to phase it out (flagged, not committed; see §3). The report later relies on a turnover argument the annual permit undercuts.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sz w:val="19"/>
        </w:rPr>
        <w:t>Candidate idea, not a measure; needs PCS data; memo §1/§3.</w:t>
      </w:r>
    </w:p>
    <w:p>
      <w:pPr>
        <w:spacing w:before="180" w:after="20"/>
      </w:pPr>
      <w:r>
        <w:rPr>
          <w:b/>
          <w:color w:val="222222"/>
          <w:sz w:val="22"/>
        </w:rPr>
        <w:t>Parking Surveys — Evolution / Reliance on ANPR / Previous Field Survey Plans</w:t>
      </w:r>
      <w:r>
        <w:rPr>
          <w:color w:val="555555"/>
          <w:sz w:val="17"/>
        </w:rPr>
        <w:t xml:space="preserve">   ¶140–192</w:t>
      </w:r>
    </w:p>
    <w:p>
      <w:pPr>
        <w:spacing w:after="20"/>
      </w:pPr>
      <w:r>
        <w:rPr>
          <w:b/>
          <w:color w:val="6A1B9A"/>
          <w:sz w:val="16"/>
        </w:rPr>
        <w:t xml:space="preserve"> REFRAME </w:t>
      </w:r>
      <w:r>
        <w:t xml:space="preserve">  </w:t>
      </w:r>
      <w:r>
        <w:rPr>
          <w:b/>
          <w:color w:val="C02A2A"/>
          <w:sz w:val="16"/>
        </w:rPr>
        <w:t xml:space="preserve"> REPLACE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sz w:val="19"/>
        </w:rPr>
        <w:t>Treats the field survey as abandoned/planned and demand metrics as ANPR-derived (“Occupancy and Turnover Metrics from ANPR Data”; “Overview of Previous Field Survey Plans”).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sz w:val="19"/>
        </w:rPr>
        <w:t>Recast as survey conducted: retitle “Previous Field Survey Plans” → “Field Occupancy Survey (conducted)”, add the methodology + weekday-validity table, and replace the ANPR-as-demand-source framing with the measured results (point to Output 8 for the full dataset). ANPR stays as existing operational context, not the demand engine.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sz w:val="19"/>
        </w:rPr>
        <w:t>Survey conducted; memo §2; consistent with Output 8.</w:t>
      </w:r>
    </w:p>
    <w:p>
      <w:pPr>
        <w:spacing w:before="180" w:after="20"/>
      </w:pPr>
      <w:r>
        <w:rPr>
          <w:b/>
          <w:color w:val="222222"/>
          <w:sz w:val="22"/>
        </w:rPr>
        <w:t>Parking Impacts — Differentiated Impacts by Land Use</w:t>
      </w:r>
      <w:r>
        <w:rPr>
          <w:color w:val="555555"/>
          <w:sz w:val="17"/>
        </w:rPr>
        <w:t xml:space="preserve">   ¶202–206</w:t>
      </w:r>
    </w:p>
    <w:p>
      <w:pPr>
        <w:spacing w:after="20"/>
      </w:pPr>
      <w:r>
        <w:rPr>
          <w:b/>
          <w:color w:val="006D77"/>
          <w:sz w:val="16"/>
        </w:rPr>
        <w:t xml:space="preserve"> INJECT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sz w:val="19"/>
        </w:rPr>
        <w:t>Qualitative land-use narrative (Kentron commercial; Malatia/Nor Nork overnight residential; Arshakunyats wide ROW).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sz w:val="19"/>
        </w:rPr>
        <w:t>Inject measured occupancy/turnover/duration per area: Kentron 138% peak (commercial, short-stay-dominated); Malatia-Sebastia 54% peak with the highest long-stay/residential signature (confirming the overnight-storage reading); turnover 5–11/day citywide.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sz w:val="19"/>
        </w:rPr>
        <w:t>Per-area metrics; memo §6.</w:t>
      </w:r>
    </w:p>
    <w:p>
      <w:pPr>
        <w:spacing w:before="180" w:after="20"/>
      </w:pPr>
      <w:r>
        <w:rPr>
          <w:b/>
          <w:color w:val="222222"/>
          <w:sz w:val="22"/>
        </w:rPr>
        <w:t>Parking Impacts — Impacts on Specific User Groups</w:t>
      </w:r>
      <w:r>
        <w:rPr>
          <w:color w:val="555555"/>
          <w:sz w:val="17"/>
        </w:rPr>
        <w:t xml:space="preserve">   ¶207–211</w:t>
      </w:r>
    </w:p>
    <w:p>
      <w:pPr>
        <w:spacing w:after="20"/>
      </w:pPr>
      <w:r>
        <w:rPr>
          <w:b/>
          <w:color w:val="C02A2A"/>
          <w:sz w:val="16"/>
        </w:rPr>
        <w:t xml:space="preserve"> REPLACE </w:t>
      </w:r>
      <w:r>
        <w:t xml:space="preserve">  </w:t>
      </w:r>
      <w:r>
        <w:rPr>
          <w:b/>
          <w:color w:val="006D77"/>
          <w:sz w:val="16"/>
        </w:rPr>
        <w:t xml:space="preserve"> INJECT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sz w:val="19"/>
        </w:rPr>
        <w:t>Assumption-led: residents (long-duration), delivery/loading, persons with disabilities.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sz w:val="19"/>
        </w:rPr>
        <w:t>Anchor to measured, purpose-based groups: Visitors/customers (~63% ≤1h, ~77% ≤2h — the dominant group), Commuters/workers (~6% all-day → BRT mode-shift target), Residents (overnight ~7%, a floor the daytime survey under-counts — protect, don't weaken), Delivery/freight (truck pockets Malatia 12.6% / Shiraz 8.0%), Taxi and PwD (retained by design). Replace assumed shares with measured ones.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sz w:val="19"/>
        </w:rPr>
        <w:t>Stay-mix + vehicle type. Truck share = trucks ÷ all classified vehicles in the area's hourly sweeps (Malatia 548/4,339 = 12.6%; Shiraz 198/2,469 = 8.0%; 4.9% citywide). Memo §6/§9.</w:t>
      </w:r>
    </w:p>
    <w:p>
      <w:pPr>
        <w:spacing w:before="180" w:after="20"/>
      </w:pPr>
      <w:r>
        <w:rPr>
          <w:b/>
          <w:color w:val="222222"/>
          <w:sz w:val="22"/>
        </w:rPr>
        <w:t>Displacement &amp; Mitigation — Displacement Potential by Corridor Zone</w:t>
      </w:r>
      <w:r>
        <w:rPr>
          <w:color w:val="555555"/>
          <w:sz w:val="17"/>
        </w:rPr>
        <w:t xml:space="preserve">   ¶223–228</w:t>
      </w:r>
    </w:p>
    <w:p>
      <w:pPr>
        <w:spacing w:after="20"/>
      </w:pPr>
      <w:r>
        <w:rPr>
          <w:b/>
          <w:color w:val="006D77"/>
          <w:sz w:val="16"/>
        </w:rPr>
        <w:t xml:space="preserve"> INJECT </w:t>
      </w:r>
      <w:r>
        <w:t xml:space="preserve">  </w:t>
      </w:r>
      <w:r>
        <w:rPr>
          <w:b/>
          <w:color w:val="B86B00"/>
          <w:sz w:val="16"/>
        </w:rPr>
        <w:t xml:space="preserve"> RECALIBRATE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sz w:val="19"/>
        </w:rPr>
        <w:t>Qualitative High/Medium/Lower descriptions (Kentron high; Arshakunyats/Arabkir medium; outer lower).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sz w:val="19"/>
        </w:rPr>
        <w:t>Add measured peak occupancy + on-street absorption per surveyed area and reconcile labels: Kentron high but off-street-led (138% / 14%); Komitas reclassified Medium→High (123% / 0%); Shiraz lower (75% / 69%). Gai Avenue (Mega Mall) is the one area where, even counting every nearby yard at full capacity, there is still not enough room to re-absorb the cars displaced by kerb removal (123% peak, best-case absorption still below 100%) — so none of the standard High/Medium/Lower packages, which all assume the demand lands somewhere, fit it. Simplest handling: a site-specific carve-out — defer kerb removal here and lean on the Mega Mall's own off-street structure, rather than creating a new zone category. Add the measured headline 908 vs 1,643 = 55%.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sz w:val="19"/>
        </w:rPr>
        <w:t>Displacement run; memo §2 &amp; §5 (G2, G6).</w:t>
      </w:r>
    </w:p>
    <w:p>
      <w:pPr>
        <w:spacing w:before="180" w:after="20"/>
      </w:pPr>
      <w:r>
        <w:rPr>
          <w:b/>
          <w:color w:val="222222"/>
          <w:sz w:val="22"/>
        </w:rPr>
        <w:t>Displacement &amp; Mitigation — Yerevan-Specific Framework</w:t>
      </w:r>
      <w:r>
        <w:rPr>
          <w:color w:val="555555"/>
          <w:sz w:val="17"/>
        </w:rPr>
        <w:t xml:space="preserve">   ¶238–243</w:t>
      </w:r>
    </w:p>
    <w:p>
      <w:pPr>
        <w:spacing w:after="20"/>
      </w:pPr>
      <w:r>
        <w:rPr>
          <w:b/>
          <w:color w:val="2E7D32"/>
          <w:sz w:val="16"/>
        </w:rPr>
        <w:t xml:space="preserve"> ADD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sz w:val="19"/>
        </w:rPr>
        <w:t>City-specific feasibility factors (enforcement capacity, legal/political context, Soviet urban form / structural deficit).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sz w:val="19"/>
        </w:rPr>
        <w:t>Add the load-bearing off-street finding: 92% of the absorptive capacity that closes the gap to ~100% is gated residential yards counted at gross capacity — so re-absorption is conditional on opening them (Kentron 86% yard-dependent, Komitas 100%). Frames the elevation of Open Residential Yards.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sz w:val="19"/>
        </w:rPr>
        <w:t>Absorption breakdown; memo §1, §4 (G1).</w:t>
      </w:r>
    </w:p>
    <w:p>
      <w:pPr>
        <w:spacing w:before="180" w:after="20"/>
      </w:pPr>
      <w:r>
        <w:rPr>
          <w:b/>
          <w:color w:val="222222"/>
          <w:sz w:val="22"/>
        </w:rPr>
        <w:t>Displacement &amp; Mitigation — Mitigation Measures for Yerevan</w:t>
      </w:r>
      <w:r>
        <w:rPr>
          <w:color w:val="555555"/>
          <w:sz w:val="17"/>
        </w:rPr>
        <w:t xml:space="preserve">   ¶244–275  (core of the revision)</w:t>
      </w:r>
    </w:p>
    <w:p>
      <w:pPr>
        <w:spacing w:after="20"/>
      </w:pPr>
      <w:r>
        <w:rPr>
          <w:b/>
          <w:color w:val="6A1B9A"/>
          <w:sz w:val="16"/>
        </w:rPr>
        <w:t xml:space="preserve"> REFRAME </w:t>
      </w:r>
      <w:r>
        <w:t xml:space="preserve">  </w:t>
      </w:r>
      <w:r>
        <w:rPr>
          <w:b/>
          <w:color w:val="006D77"/>
          <w:sz w:val="16"/>
        </w:rPr>
        <w:t xml:space="preserve"> INJECT </w:t>
      </w:r>
      <w:r>
        <w:t xml:space="preserve">  </w:t>
      </w:r>
      <w:r>
        <w:rPr>
          <w:b/>
          <w:color w:val="2E7D32"/>
          <w:sz w:val="16"/>
        </w:rPr>
        <w:t xml:space="preserve"> ADD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sz w:val="19"/>
        </w:rPr>
        <w:t>Seven measures, a priori: Extend paid zones · Delivery spaces · Visitor caps · Resident permits (free, transitional) · Organise free parking · Park &amp; ride · Open Residential yards.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sz w:val="19"/>
        </w:rPr>
        <w:t>Per-measure rewrite per the audit memo (detail in §3 table below): re-scope Extend-paid-zones as demand-rationing in the core; target Delivery bays to freight pockets; re-scope Visitor caps (demote, lead with pricing, BRT for commuters); design Resident permits as priced/limited from the outset — using Tbilisi as the cautionary case, not a model: Tbilisi today grants up to two free vehicles per apartment with no paid resident permit, and is now tightening that to one per apartment under its new strategy. Widen Organise-free-parking into the core; soften Park &amp; ride claims; ELEVATE Open Residential Yards to a committed core precondition + resident-engagement plan; and FLAG (not yet adopt) a candidate idea to phase out the flat annual permit, conditional on Parking City Service permit-uptake and tariff data. Inject the legality null (~0.2% illegal → not an enforcement problem) and informal-location finding.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sz w:val="19"/>
        </w:rPr>
        <w:t>Memo §1, §3, §6, §7 (whole audit).</w:t>
      </w:r>
    </w:p>
    <w:p>
      <w:pPr>
        <w:spacing w:before="180" w:after="20"/>
      </w:pPr>
      <w:r>
        <w:rPr>
          <w:b/>
          <w:color w:val="222222"/>
          <w:sz w:val="22"/>
        </w:rPr>
        <w:t>Displacement &amp; Mitigation — Phasing and Implementation</w:t>
      </w:r>
      <w:r>
        <w:rPr>
          <w:color w:val="555555"/>
          <w:sz w:val="17"/>
        </w:rPr>
        <w:t xml:space="preserve">   ¶276–279</w:t>
      </w:r>
    </w:p>
    <w:p>
      <w:pPr>
        <w:spacing w:after="20"/>
      </w:pPr>
      <w:r>
        <w:rPr>
          <w:b/>
          <w:color w:val="006D77"/>
          <w:sz w:val="16"/>
        </w:rPr>
        <w:t xml:space="preserve"> INJECT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sz w:val="19"/>
        </w:rPr>
        <w:t>Three-phase, mitigation-before-removal sequencing.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sz w:val="19"/>
        </w:rPr>
        <w:t>Reinforce: because re-absorption depends on the gated yards, opening and managing them (and the pricing) must precede kerb removal — the off-street dependency makes ‘mitigation before removal’ load-bearing, not advisory.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sz w:val="19"/>
        </w:rPr>
        <w:t>Off-street dependency; memo §3 (Phasing).</w:t>
      </w:r>
    </w:p>
    <w:p>
      <w:pPr>
        <w:spacing w:before="180" w:after="20"/>
      </w:pPr>
      <w:r>
        <w:rPr>
          <w:b/>
          <w:color w:val="222222"/>
          <w:sz w:val="22"/>
        </w:rPr>
        <w:t>Displacement &amp; Mitigation — Limitations and Residual Risks</w:t>
      </w:r>
      <w:r>
        <w:rPr>
          <w:color w:val="555555"/>
          <w:sz w:val="17"/>
        </w:rPr>
        <w:t xml:space="preserve">   ¶280–282</w:t>
      </w:r>
    </w:p>
    <w:p>
      <w:pPr>
        <w:spacing w:after="20"/>
      </w:pPr>
      <w:r>
        <w:rPr>
          <w:b/>
          <w:color w:val="006D77"/>
          <w:sz w:val="16"/>
        </w:rPr>
        <w:t xml:space="preserve"> INJECT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sz w:val="19"/>
        </w:rPr>
        <w:t>Acknowledges some net supply reduction is expected/desirable.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sz w:val="19"/>
        </w:rPr>
        <w:t>Add the survey-specific caveats (daytime 07:00–24:00 window under-counts overnight; six areas, not the full corridor; absorption is gross best-case) and the Gai Avenue residual risk (the one area where best-case capacity still falls short).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sz w:val="19"/>
        </w:rPr>
        <w:t>Survey caveats; memo §8 (G2).</w:t>
      </w:r>
    </w:p>
    <w:p>
      <w:pPr>
        <w:spacing w:before="180" w:after="20"/>
      </w:pPr>
      <w:r>
        <w:rPr>
          <w:b/>
          <w:color w:val="222222"/>
          <w:sz w:val="22"/>
        </w:rPr>
        <w:t>Recommendations — Mitigation Measure Packages by Sensitivity Zones</w:t>
      </w:r>
      <w:r>
        <w:rPr>
          <w:color w:val="555555"/>
          <w:sz w:val="17"/>
        </w:rPr>
        <w:t xml:space="preserve">   ¶296–319 (Figs 10–11)</w:t>
      </w:r>
    </w:p>
    <w:p>
      <w:pPr>
        <w:spacing w:after="20"/>
      </w:pPr>
      <w:r>
        <w:rPr>
          <w:b/>
          <w:color w:val="B86B00"/>
          <w:sz w:val="16"/>
        </w:rPr>
        <w:t xml:space="preserve"> RECALIBRATE </w:t>
      </w:r>
      <w:r>
        <w:t xml:space="preserve">  </w:t>
      </w:r>
      <w:r>
        <w:rPr>
          <w:b/>
          <w:color w:val="1565C0"/>
          <w:sz w:val="16"/>
        </w:rPr>
        <w:t xml:space="preserve"> FIGURE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sz w:val="19"/>
        </w:rPr>
        <w:t>Three-zone packages (high/medium/lower) with measures grouped; sensitivity map.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sz w:val="19"/>
        </w:rPr>
        <w:t>Recalibrate assignments to measured behaviour: Komitas into High; Gai Avenue / Mega Mall handled as a site-specific carve-out (defer kerb removal pending the mall's off-street parking), not a new zone class; Open Residential Yards moved up into High. Note the candidate annual-permit idea against the cross-cutting package as a flagged option, pending operator data. Update Figure 10 (measures × zone) and Figure 11 (sensitivity map).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sz w:val="19"/>
        </w:rPr>
        <w:t>Memo §1 (re-allocate), §2; reuse Findings-report visuals.</w:t>
      </w:r>
    </w:p>
    <w:p>
      <w:pPr>
        <w:spacing w:before="180" w:after="20"/>
      </w:pPr>
      <w:r>
        <w:rPr>
          <w:b/>
          <w:color w:val="222222"/>
          <w:sz w:val="22"/>
        </w:rPr>
        <w:t>Conclusions — Key Conclusions &amp; Further Studies</w:t>
      </w:r>
      <w:r>
        <w:rPr>
          <w:color w:val="555555"/>
          <w:sz w:val="17"/>
        </w:rPr>
        <w:t xml:space="preserve">   ¶320–342</w:t>
      </w:r>
    </w:p>
    <w:p>
      <w:pPr>
        <w:spacing w:after="20"/>
      </w:pPr>
      <w:r>
        <w:rPr>
          <w:b/>
          <w:color w:val="006D77"/>
          <w:sz w:val="16"/>
        </w:rPr>
        <w:t xml:space="preserve"> INJECT </w:t>
      </w:r>
      <w:r>
        <w:t xml:space="preserve">  </w:t>
      </w:r>
      <w:r>
        <w:rPr>
          <w:b/>
          <w:color w:val="6A1B9A"/>
          <w:sz w:val="16"/>
        </w:rPr>
        <w:t xml:space="preserve"> REFRAME </w:t>
      </w:r>
    </w:p>
    <w:p>
      <w:pPr>
        <w:spacing w:after="40"/>
        <w:ind w:left="259"/>
      </w:pPr>
      <w:r>
        <w:rPr>
          <w:b/>
          <w:color w:val="555555"/>
          <w:sz w:val="19"/>
        </w:rPr>
        <w:t xml:space="preserve">Current:  </w:t>
      </w:r>
      <w:r>
        <w:rPr>
          <w:b w:val="0"/>
          <w:sz w:val="19"/>
        </w:rPr>
        <w:t>Qualitative conclusions; “Further Studies Required” lists occupancy/demand work as still needed.</w:t>
      </w:r>
    </w:p>
    <w:p>
      <w:pPr>
        <w:spacing w:after="40"/>
        <w:ind w:left="259"/>
      </w:pPr>
      <w:r>
        <w:rPr>
          <w:b/>
          <w:color w:val="C02A2A"/>
          <w:sz w:val="19"/>
        </w:rPr>
        <w:t xml:space="preserve">Proposed:  </w:t>
      </w:r>
      <w:r>
        <w:rPr>
          <w:b w:val="0"/>
          <w:sz w:val="19"/>
        </w:rPr>
        <w:t>Add measured conclusions (peak 93%, 55% displacement, off-street-conditional re-absorption, zone recalibration). Prune the ‘further studies’ the survey has now delivered; keep the genuine residual gaps — overnight/residential demand, full-corridor extension, freight counts, and ANPR payment-compliance.</w:t>
      </w:r>
    </w:p>
    <w:p>
      <w:pPr>
        <w:spacing w:after="40"/>
        <w:ind w:left="259"/>
      </w:pPr>
      <w:r>
        <w:rPr>
          <w:b/>
          <w:color w:val="006D77"/>
          <w:sz w:val="19"/>
        </w:rPr>
        <w:t xml:space="preserve">Basis:  </w:t>
      </w:r>
      <w:r>
        <w:rPr>
          <w:b w:val="0"/>
          <w:sz w:val="19"/>
        </w:rPr>
        <w:t>Whole survey; memo §1.</w:t>
      </w:r>
    </w:p>
    <w:p>
      <w:r>
        <w:br w:type="page"/>
      </w:r>
    </w:p>
    <w:p>
      <w:pPr>
        <w:spacing w:before="260" w:after="60"/>
      </w:pPr>
      <w:r>
        <w:rPr>
          <w:b/>
          <w:color w:val="142A4A"/>
          <w:sz w:val="30"/>
        </w:rPr>
        <w:t>3.  Per-measure changes (the §244–275 rewrite)</w:t>
      </w:r>
    </w:p>
    <w:p>
      <w:pPr>
        <w:spacing w:after="80"/>
      </w:pPr>
      <w:r>
        <w:rPr>
          <w:b w:val="0"/>
          <w:i w:val="0"/>
          <w:color w:val="555555"/>
          <w:sz w:val="19"/>
        </w:rPr>
        <w:t>Direct from the Mitigation Measures Audit memo. ‘Verdict’ shows the change to each measure's write-up.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42A4A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Measure (as written)</w:t>
            </w:r>
          </w:p>
        </w:tc>
        <w:tc>
          <w:tcPr>
            <w:tcW w:type="dxa" w:w="2016"/>
            <w:shd w:val="clear" w:fill="14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Verdict</w:t>
            </w:r>
          </w:p>
        </w:tc>
        <w:tc>
          <w:tcPr>
            <w:tcW w:type="dxa" w:w="5760"/>
            <w:shd w:val="clear" w:fill="14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 to the text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Extend paid zones</w:t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b/>
                <w:color w:val="B86B00"/>
                <w:sz w:val="18"/>
              </w:rPr>
              <w:t>◆ Re-scope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Right lever (≈90% of kerb unpriced) but in the core it rations demand, it does not absorb (Kentron 14% / Komitas 0% side-street capacity). Reframe as demand management in the core.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Delivery spaces</w:t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b/>
                <w:color w:val="2E7D32"/>
                <w:sz w:val="18"/>
              </w:rPr>
              <w:t>✓ Keep — target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Confirmed by short-access dominance; size bays to the freight pockets (truck share = trucks ÷ all classified vehicles surveyed per area: Malatia 12.6%, Shiraz 8.0%; 4.9% citywide) rather than uniformly.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Visitor caps</w:t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b/>
                <w:color w:val="B86B00"/>
                <w:sz w:val="18"/>
              </w:rPr>
              <w:t>◆ Re-scope, not remove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contradicts the premise (≈63% ≤1h; all-day only ~6%; turnover already 5–11/day). Demote to a targeted contingency for low-turnover spots; lead with pricing; commuters → BRT mode-shift, not fines.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Resident permits (free)</w:t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b/>
                <w:color w:val="B86B00"/>
                <w:sz w:val="18"/>
              </w:rPr>
              <w:t>◆ Design actively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Keep, but learn from Tbilisi as a cautionary case: it grants up to two free vehicles per apartment with no paid resident permit — exactly the long-stay, low-turnover problem — which is why its new strategy tightens this to one per apartment. Yerevan's permit should be priced/limited from the outset. Opening note: yards/permits need management + communication.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Organise free parking</w:t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b/>
                <w:color w:val="2E7D32"/>
                <w:sz w:val="18"/>
              </w:rPr>
              <w:t>✓ Confirmed — widen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Strongly supported (88% unmarked; 24.5% off-carriageway). Widen beyond the lower zones — Komitas (35% informal) and Kentron (60% angled) need it most.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Park &amp; ride</w:t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b/>
                <w:color w:val="B86B00"/>
                <w:sz w:val="18"/>
              </w:rPr>
              <w:t>◆ Don't oversell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Daytime fleet is short-stay, weakening the ‘many commuters to intercept’ premise. Keep as a study item; frame BRT/P&amp;R as serving the commuter.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Open Residential yards</w:t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b/>
                <w:color w:val="2E7D32"/>
                <w:sz w:val="18"/>
              </w:rPr>
              <w:t>✓ Elevate (load-bearing)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92% of off-street absorption; ~100% re-absorption is conditional on it. Move from optional outer-zone pilot to committed core precondition — with a resident-engagement and management plan so it doesn't backfire.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Phase out flat annual permit</w:t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b/>
                <w:color w:val="B86B00"/>
                <w:sz w:val="18"/>
              </w:rPr>
              <w:t>◇ Idea — flag, not yet adopt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IDEA, not yet a measure. The flat annual fee removes the marginal cost of dwell time and so suppresses turnover — the one lever the data shows is binding. Present as a candidate to cancel medium-to-long term and replace with occupancy-based pricing, but it must first be substantiated with Parking City Service permit-uptake and tariff data before adoption as a measure.</w:t>
            </w:r>
          </w:p>
        </w:tc>
      </w:tr>
    </w:tbl>
    <w:p>
      <w:pPr>
        <w:spacing w:before="260" w:after="60"/>
      </w:pPr>
      <w:r>
        <w:rPr>
          <w:b/>
          <w:color w:val="142A4A"/>
          <w:sz w:val="30"/>
        </w:rPr>
        <w:t>4.  Measured figures to inject (reference)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142A4A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8208"/>
            <w:shd w:val="clear" w:fill="14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 (surveyed six areas)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Occupancy</w:t>
            </w:r>
          </w:p>
        </w:tc>
        <w:tc>
          <w:tcPr>
            <w:tcW w:type="dxa" w:w="820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Peak (cap-weighted) 93% citywide; Kentron 138 · Komitas 123 · Gai 123 · Garegin 92 · Shiraz 75 · Malatia 54; 69% of zones &gt;85% at peak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Turnover / duration</w:t>
            </w:r>
          </w:p>
        </w:tc>
        <w:tc>
          <w:tcPr>
            <w:tcW w:type="dxa" w:w="820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5–11 veh/space/day; ≈63% ≤1h, ≈77% ≤2h, ~7% overnight (8h+); avg 1.6–2.2 h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Displacement</w:t>
            </w:r>
          </w:p>
        </w:tc>
        <w:tc>
          <w:tcPr>
            <w:tcW w:type="dxa" w:w="820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908 displaced vs 1,643 removed = 55%; on-street absorbs 43% (Kentron 14 / Komitas 0 / Malatia 97); off-street 1,935 (92% gated yards) → ~100% conditional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Parameters</w:t>
            </w:r>
          </w:p>
        </w:tc>
        <w:tc>
          <w:tcPr>
            <w:tcW w:type="dxa" w:w="820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99.8% legal / 0.2% illegal; 24.5% off-carriageway (FP 13.0 / SB 11.5); Kentron 60% angled; 94.8% sedan, truck Malatia 12.6 / Shiraz 8.0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Recalibration</w:t>
            </w:r>
          </w:p>
        </w:tc>
        <w:tc>
          <w:tcPr>
            <w:tcW w:type="dxa" w:w="820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Komitas Medium→High; Shiraz→Lower (confirmed); Gai→site-specific carve-out (defer kerb removal until mall off-street opens); Kentron High but off-street-led</w:t>
            </w:r>
          </w:p>
        </w:tc>
      </w:tr>
    </w:tbl>
    <w:p>
      <w:pPr>
        <w:spacing w:before="260" w:after="60"/>
      </w:pPr>
      <w:r>
        <w:rPr>
          <w:b/>
          <w:color w:val="142A4A"/>
          <w:sz w:val="30"/>
        </w:rPr>
        <w:t>5.  Open decisions and points resolved in review</w:t>
      </w:r>
    </w:p>
    <w:p>
      <w:pPr>
        <w:pStyle w:val="ListBullet"/>
        <w:spacing w:after="40"/>
      </w:pPr>
      <w:r>
        <w:rPr>
          <w:b/>
        </w:rPr>
        <w:t xml:space="preserve">Annual-permit idea. </w:t>
      </w:r>
      <w:r>
        <w:rPr>
          <w:b w:val="0"/>
          <w:sz w:val="21"/>
        </w:rPr>
        <w:t>Per your review, this is presented as a flagged idea, not a measure, pending Parking City Service permit-uptake and tariff data. Open decision: once that data is in hand, (a) adopt it as a full measure, or (b) leave it as a standing recommendation in the conclusions.</w:t>
      </w:r>
    </w:p>
    <w:p>
      <w:pPr>
        <w:pStyle w:val="ListBullet"/>
        <w:spacing w:after="40"/>
      </w:pPr>
      <w:r>
        <w:rPr>
          <w:b/>
        </w:rPr>
        <w:t xml:space="preserve">Cover label. </w:t>
      </w:r>
      <w:r>
        <w:rPr>
          <w:b w:val="0"/>
          <w:color w:val="2E7D32"/>
          <w:sz w:val="21"/>
        </w:rPr>
        <w:t>Resolved (confirmed): correct the cover from “Output 8” to “Output 10”, as on the surveys report.</w:t>
      </w:r>
    </w:p>
    <w:p>
      <w:pPr>
        <w:pStyle w:val="ListBullet"/>
        <w:spacing w:after="40"/>
      </w:pPr>
      <w:r>
        <w:rPr>
          <w:b/>
        </w:rPr>
        <w:t xml:space="preserve">Figures. </w:t>
      </w:r>
      <w:r>
        <w:rPr>
          <w:b w:val="0"/>
          <w:color w:val="2E7D32"/>
          <w:sz w:val="21"/>
        </w:rPr>
        <w:t>Resolved: reuse the Findings-Report charts (occupancy, displacement, layout) for Figures 10–11 where relevant, rather than generating Output-10-specific versions.</w:t>
      </w:r>
    </w:p>
    <w:p>
      <w:pPr>
        <w:pStyle w:val="ListBullet"/>
        <w:spacing w:after="40"/>
      </w:pPr>
      <w:r>
        <w:rPr>
          <w:b/>
        </w:rPr>
        <w:t xml:space="preserve">Working copy. </w:t>
      </w:r>
      <w:r>
        <w:rPr>
          <w:b w:val="0"/>
          <w:color w:val="2E7D32"/>
          <w:sz w:val="21"/>
        </w:rPr>
        <w:t>Resolved (yes): apply to a copy “…20260417 (rev).docx” in red text, original untouched.</w:t>
      </w:r>
    </w:p>
    <w:p>
      <w:pPr>
        <w:spacing w:after="40"/>
      </w:pPr>
      <w:r>
        <w:rPr>
          <w:b/>
          <w:i w:val="0"/>
          <w:color w:val="142A4A"/>
          <w:sz w:val="21"/>
        </w:rPr>
        <w:t>On approval, I will apply each block above directly in the report in red, section by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