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2"/>
        </w:rPr>
        <w:t>Yerevan Parking Study  •  Output 8 Revision</w:t>
      </w:r>
    </w:p>
    <w:p>
      <w:r>
        <w:rPr>
          <w:b/>
          <w:color w:val="142A4A"/>
          <w:sz w:val="38"/>
        </w:rPr>
        <w:t>Output 8 — Parking Surveys &amp; Analysis Report: Proposed Changes</w:t>
      </w:r>
    </w:p>
    <w:p>
      <w:r>
        <w:rPr>
          <w:i/>
          <w:color w:val="555555"/>
          <w:sz w:val="21"/>
        </w:rPr>
        <w:t>A section-by-section change-list for review and approval. No edits have been applied to the source report yet — on approval, every change will be made in the document with red text so it can be tracked.</w:t>
      </w:r>
    </w:p>
    <w:p>
      <w:pPr>
        <w:pBdr>
          <w:bottom w:val="single" w:sz="8" w:space="1" w:color="142A4A"/>
        </w:pBdr>
      </w:pPr>
    </w:p>
    <w:p>
      <w:pPr>
        <w:spacing w:after="80"/>
      </w:pPr>
      <w:r>
        <w:rPr>
          <w:b/>
          <w:i w:val="0"/>
          <w:color w:val="555555"/>
          <w:sz w:val="20"/>
        </w:rPr>
        <w:t xml:space="preserve">Target file. </w:t>
      </w:r>
      <w:r>
        <w:rPr>
          <w:b w:val="0"/>
          <w:i w:val="0"/>
          <w:color w:val="555555"/>
          <w:sz w:val="20"/>
        </w:rPr>
        <w:t>“Parking Surveys and Analysis Report 08042026.docx”. Its internal cover label “Part of Output 10” is a known mislabel — this is Output 8 (Traffic &amp; Parking Surveys and Analysis Report). The companion “Parking Analysis Report - 20260417.docx” is Output 10 (it carries the mitigation measures M1–M10 and is mislabelled “Output 8” on its own cover). Measure-level edits (M7 elevate, the new annual-permit measure, M3 re-scope) therefore belong mainly to Output 10; this plan keeps Output 8 to what it owns — the survey, supply, sensitivity zones and the displacement frame.</w:t>
      </w:r>
    </w:p>
    <w:p>
      <w:pPr>
        <w:spacing w:after="80"/>
      </w:pPr>
      <w:r>
        <w:rPr>
          <w:b/>
          <w:i w:val="0"/>
          <w:color w:val="222222"/>
          <w:sz w:val="19"/>
        </w:rPr>
        <w:t xml:space="preserve">How to read. </w:t>
      </w:r>
      <w:r>
        <w:rPr>
          <w:b w:val="0"/>
          <w:i w:val="0"/>
          <w:color w:val="222222"/>
          <w:sz w:val="19"/>
        </w:rPr>
        <w:t xml:space="preserve">Each block names the section and paragraph refs, a change-type tag, then </w:t>
      </w:r>
      <w:r>
        <w:rPr>
          <w:b/>
          <w:i w:val="0"/>
          <w:color w:val="555555"/>
          <w:sz w:val="19"/>
        </w:rPr>
        <w:t>Current</w:t>
      </w:r>
      <w:r>
        <w:rPr>
          <w:b w:val="0"/>
          <w:i w:val="0"/>
          <w:color w:val="222222"/>
          <w:sz w:val="19"/>
        </w:rPr>
        <w:t xml:space="preserve"> → </w:t>
      </w:r>
      <w:r>
        <w:rPr>
          <w:b/>
          <w:i w:val="0"/>
          <w:color w:val="C02A2A"/>
          <w:sz w:val="19"/>
        </w:rPr>
        <w:t>Proposed</w:t>
      </w:r>
      <w:r>
        <w:rPr>
          <w:b w:val="0"/>
          <w:i w:val="0"/>
          <w:color w:val="222222"/>
          <w:sz w:val="19"/>
        </w:rPr>
        <w:t xml:space="preserve"> → </w:t>
      </w:r>
      <w:r>
        <w:rPr>
          <w:b/>
          <w:i w:val="0"/>
          <w:color w:val="006D77"/>
          <w:sz w:val="19"/>
        </w:rPr>
        <w:t>Basis</w:t>
      </w:r>
      <w:r>
        <w:rPr>
          <w:b w:val="0"/>
          <w:i w:val="0"/>
          <w:color w:val="222222"/>
          <w:sz w:val="19"/>
        </w:rPr>
        <w:t xml:space="preserve">. Tags: </w:t>
      </w:r>
      <w:r>
        <w:rPr>
          <w:b/>
          <w:i w:val="0"/>
          <w:color w:val="6A1B9A"/>
          <w:sz w:val="19"/>
        </w:rPr>
        <w:t>REFRAME</w:t>
      </w:r>
      <w:r>
        <w:rPr>
          <w:b w:val="0"/>
          <w:i w:val="0"/>
          <w:color w:val="222222"/>
          <w:sz w:val="19"/>
        </w:rPr>
        <w:t xml:space="preserve"> recast framing · </w:t>
      </w:r>
      <w:r>
        <w:rPr>
          <w:b/>
          <w:i w:val="0"/>
          <w:color w:val="C02A2A"/>
          <w:sz w:val="19"/>
        </w:rPr>
        <w:t>REPLACE</w:t>
      </w:r>
      <w:r>
        <w:rPr>
          <w:b w:val="0"/>
          <w:i w:val="0"/>
          <w:color w:val="222222"/>
          <w:sz w:val="19"/>
        </w:rPr>
        <w:t xml:space="preserve"> swap obsolete content · </w:t>
      </w:r>
      <w:r>
        <w:rPr>
          <w:b/>
          <w:i w:val="0"/>
          <w:color w:val="006D77"/>
          <w:sz w:val="19"/>
        </w:rPr>
        <w:t>INJECT</w:t>
      </w:r>
      <w:r>
        <w:rPr>
          <w:b w:val="0"/>
          <w:i w:val="0"/>
          <w:color w:val="222222"/>
          <w:sz w:val="19"/>
        </w:rPr>
        <w:t xml:space="preserve"> add measured numbers into existing prose · </w:t>
      </w:r>
      <w:r>
        <w:rPr>
          <w:b/>
          <w:i w:val="0"/>
          <w:color w:val="2E7D32"/>
          <w:sz w:val="19"/>
        </w:rPr>
        <w:t>ADD</w:t>
      </w:r>
      <w:r>
        <w:rPr>
          <w:b w:val="0"/>
          <w:i w:val="0"/>
          <w:color w:val="222222"/>
          <w:sz w:val="19"/>
        </w:rPr>
        <w:t xml:space="preserve"> new content · </w:t>
      </w:r>
      <w:r>
        <w:rPr>
          <w:b/>
          <w:i w:val="0"/>
          <w:color w:val="B86B00"/>
          <w:sz w:val="19"/>
        </w:rPr>
        <w:t>RECALIBRATE</w:t>
      </w:r>
      <w:r>
        <w:rPr>
          <w:b w:val="0"/>
          <w:i w:val="0"/>
          <w:color w:val="222222"/>
          <w:sz w:val="19"/>
        </w:rPr>
        <w:t xml:space="preserve"> zone reassignment · </w:t>
      </w:r>
      <w:r>
        <w:rPr>
          <w:b/>
          <w:i w:val="0"/>
          <w:color w:val="1565C0"/>
          <w:sz w:val="19"/>
        </w:rPr>
        <w:t>FIGURE</w:t>
      </w:r>
      <w:r>
        <w:rPr>
          <w:b w:val="0"/>
          <w:i w:val="0"/>
          <w:color w:val="222222"/>
          <w:sz w:val="19"/>
        </w:rPr>
        <w:t xml:space="preserve"> update/add a visual.</w:t>
      </w:r>
    </w:p>
    <w:p>
      <w:pPr>
        <w:spacing w:before="260" w:after="60"/>
      </w:pPr>
      <w:r>
        <w:rPr>
          <w:b/>
          <w:color w:val="142A4A"/>
          <w:sz w:val="30"/>
        </w:rPr>
        <w:t>1.  The one change that drives all the others</w:t>
      </w:r>
    </w:p>
    <w:p>
      <w:pPr>
        <w:spacing w:after="80"/>
      </w:pPr>
      <w:r>
        <w:rPr>
          <w:b w:val="0"/>
          <w:i w:val="0"/>
          <w:sz w:val="21"/>
        </w:rPr>
        <w:t xml:space="preserve">Output 8 is dated 8 April 2026 — it predates the field survey (29 May – 3 June 2026). It therefore (a) contains a whole chapter </w:t>
      </w:r>
      <w:r>
        <w:rPr>
          <w:b w:val="0"/>
          <w:i/>
          <w:sz w:val="21"/>
        </w:rPr>
        <w:t>“Justification for Excluding Full-Scale Occupancy and Duration Surveys”</w:t>
      </w:r>
      <w:r>
        <w:rPr>
          <w:b w:val="0"/>
          <w:i w:val="0"/>
          <w:sz w:val="21"/>
        </w:rPr>
        <w:t xml:space="preserve">, (b) defers all demand data to a </w:t>
      </w:r>
      <w:r>
        <w:rPr>
          <w:b w:val="0"/>
          <w:i/>
          <w:sz w:val="21"/>
        </w:rPr>
        <w:t>pending</w:t>
      </w:r>
      <w:r>
        <w:rPr>
          <w:b w:val="0"/>
          <w:i w:val="0"/>
          <w:sz w:val="21"/>
        </w:rPr>
        <w:t xml:space="preserve"> municipal ANPR feed (“data-sharing approval … is pending”), and (c) derives displacement from European precedent rather than local measurement. A targeted field occupancy survey has since been completed on six representative areas, producing exactly the occupancy, duration, turnover and locally-measured displacement the report says are unavailable.</w:t>
      </w:r>
    </w:p>
    <w:p>
      <w:pPr>
        <w:spacing w:after="80"/>
      </w:pPr>
      <w:r>
        <w:rPr>
          <w:b/>
          <w:i w:val="0"/>
          <w:color w:val="C02A2A"/>
          <w:sz w:val="21"/>
        </w:rPr>
        <w:t xml:space="preserve">The spine of the revision: </w:t>
      </w:r>
      <w:r>
        <w:rPr>
          <w:b w:val="0"/>
          <w:i w:val="0"/>
          <w:sz w:val="21"/>
        </w:rPr>
        <w:t>move Output 8 from “surveys excluded, demand inferred / pending” to “a targeted field survey was conducted, and here is what it measured.” The proportionality logic (we did not survey all 34 km) is kept and reframed — it now explains why six representative areas were surveyed rather than the whole corridor, instead of why no occupancy survey was done at all.</w:t>
      </w:r>
    </w:p>
    <w:p>
      <w:pPr>
        <w:spacing w:after="80"/>
      </w:pPr>
      <w:r>
        <w:rPr>
          <w:b/>
          <w:i w:val="0"/>
          <w:color w:val="555555"/>
          <w:sz w:val="20"/>
        </w:rPr>
        <w:t xml:space="preserve">Scope boundary to hold throughout. </w:t>
      </w:r>
      <w:r>
        <w:rPr>
          <w:b w:val="0"/>
          <w:i w:val="0"/>
          <w:color w:val="555555"/>
          <w:sz w:val="20"/>
        </w:rPr>
        <w:t>The field survey is a demand overlay on six areas (208 segments, ~2,930 marked spaces, ~24,950 observations, 11,394 stays) — not the full 8,862-space inventory. Its displacement figures (908 displaced vs 1,643 removed = 55%) are for the surveyed areas and are presented as a locally-measured calibration of “displaced &lt; removed,” not a corridor-wide total. The full-corridor supply inventory (16,341 spaces; 5,953 removed) stays as the structural backbone.</w:t>
      </w:r>
    </w:p>
    <w:p>
      <w:pPr>
        <w:spacing w:before="260" w:after="60"/>
      </w:pPr>
      <w:r>
        <w:rPr>
          <w:b/>
          <w:color w:val="142A4A"/>
          <w:sz w:val="30"/>
        </w:rPr>
        <w:t>2.  Section-by-section change-list</w:t>
      </w:r>
    </w:p>
    <w:p>
      <w:pPr>
        <w:spacing w:before="180" w:after="20"/>
      </w:pPr>
      <w:r>
        <w:rPr>
          <w:b/>
          <w:color w:val="222222"/>
          <w:sz w:val="22"/>
        </w:rPr>
        <w:t>Executive Summary</w:t>
      </w:r>
      <w:r>
        <w:rPr>
          <w:color w:val="555555"/>
          <w:sz w:val="17"/>
        </w:rPr>
        <w:t xml:space="preserve">   ¶26–29</w:t>
      </w:r>
    </w:p>
    <w:p>
      <w:pPr>
        <w:spacing w:after="20"/>
      </w:pPr>
      <w:r>
        <w:rPr>
          <w:b/>
          <w:color w:val="C02A2A"/>
          <w:sz w:val="16"/>
        </w:rPr>
        <w:t xml:space="preserve"> REPLACE </w:t>
      </w:r>
      <w:r>
        <w:t xml:space="preserve">  </w:t>
      </w: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Supply-inventory framing only (corridors, removal scale); no demand findings — there were none.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Add a measured-findings paragraph: the targeted field survey (6 areas, ordinary weekdays) found citywide peak occupancy 93% (cap-weighted), 69% of zones over 85% at peak, short-stay dominance (≈63% ≤1h, ≈77% ≤2h), turnover 5–11/space/day, and peak displaced demand of only 55% of spaces removed. State up front that displacement is now locally measured, not just inferred from European precedent.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Field-survey run; audit memo §1.</w:t>
      </w:r>
    </w:p>
    <w:p>
      <w:pPr>
        <w:spacing w:before="180" w:after="20"/>
      </w:pPr>
      <w:r>
        <w:rPr>
          <w:b/>
          <w:color w:val="222222"/>
          <w:sz w:val="22"/>
        </w:rPr>
        <w:t>Introduction — Purpose &amp; Scope; Relationship to ToR</w:t>
      </w:r>
      <w:r>
        <w:rPr>
          <w:color w:val="555555"/>
          <w:sz w:val="17"/>
        </w:rPr>
        <w:t xml:space="preserve">   ¶31–40</w:t>
      </w:r>
    </w:p>
    <w:p>
      <w:pPr>
        <w:spacing w:after="20"/>
      </w:pPr>
      <w:r>
        <w:rPr>
          <w:b/>
          <w:color w:val="6A1B9A"/>
          <w:sz w:val="16"/>
        </w:rPr>
        <w:t xml:space="preserve"> REFRAME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Scope = desk-based supply inventory + “targeted demand analysis using ANPR where available”; ToR full-survey requirement recorded as refined away.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Reframe scope to include the completed targeted field occupancy survey as a third, realised evidence stream. In the ToR sub-section, note that the occupancy/duration requirement — initially descoped — was subsequently met in representative form by the field survey, so the deliverable now satisfies the intent of ToR ¶59–63 rather than departing from it.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Reframe; strengthens ToR compliance.</w:t>
      </w:r>
    </w:p>
    <w:p>
      <w:pPr>
        <w:spacing w:before="180" w:after="20"/>
      </w:pPr>
      <w:r>
        <w:rPr>
          <w:b/>
          <w:color w:val="222222"/>
          <w:sz w:val="22"/>
        </w:rPr>
        <w:t>Survey Methodology — Evolution / Adopted Methodology / Data Sources</w:t>
      </w:r>
      <w:r>
        <w:rPr>
          <w:color w:val="555555"/>
          <w:sz w:val="17"/>
        </w:rPr>
        <w:t xml:space="preserve">   ¶41–59</w:t>
      </w:r>
    </w:p>
    <w:p>
      <w:pPr>
        <w:spacing w:after="20"/>
      </w:pPr>
      <w:r>
        <w:rPr>
          <w:b/>
          <w:color w:val="6A1B9A"/>
          <w:sz w:val="16"/>
        </w:rPr>
        <w:t xml:space="preserve"> REFRAME </w:t>
      </w:r>
      <w:r>
        <w:t xml:space="preserve">  </w:t>
      </w: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Three-component framework: desk inventory + ANPR + 15% field verification. ANPR named as the demand-side source. ‘Evolution’ explains why the full field survey was dropped.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Add a fourth component / new sub-section “Field Occupancy Survey (targeted)”: licence-plate hourly sweeps 07:00–24:00 across six areas spanning the sensitivity spectrum; per-vehicle logging of time, zone, plate, vehicle type, kerb location, parking method, legality; sample size and the area/date table (weekday-validity). Recast ‘Evolution’ so the field survey is the next step beyond the desk inventory. Per comment #1: since no action follows this deliverable, strip the ANPR-as-future-demand-engine framing — remove Component 2 (ANPR Data Integration) as the demand source; the field survey is the demand evidence. Retain at most a one-line factual note that the municipal ANPR system exists, with no promise of future analysis.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Survey methodology; memo §2 (qualitative→quantitative logic); comment #1.</w:t>
      </w:r>
    </w:p>
    <w:p>
      <w:pPr>
        <w:spacing w:before="180" w:after="20"/>
      </w:pPr>
      <w:r>
        <w:rPr>
          <w:b/>
          <w:color w:val="222222"/>
          <w:sz w:val="22"/>
        </w:rPr>
        <w:t>NEW sub-section — Survey validity (ordinary days)</w:t>
      </w:r>
      <w:r>
        <w:rPr>
          <w:color w:val="555555"/>
          <w:sz w:val="17"/>
        </w:rPr>
        <w:t xml:space="preserve">   after ¶44</w:t>
      </w:r>
    </w:p>
    <w:p>
      <w:pPr>
        <w:spacing w:after="20"/>
      </w:pP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Absent.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Insert a short validity note + table: all six surveys fell on ordinary mid-week working days (Komitas Fri 29 May; Shiraz Mon 1 Jun; Garegin &amp; Gai Tue 2 Jun; Kentron &amp; Malatia Wed 3 Jun); no weekend/holiday; surveyed on five separate days, so a one-off event would show as a single-area outlier — the patterns repeat, which rules out day-specific distortion. Recommend a final desk-check against the municipal events/holiday calendar.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Survey dates; memo §2.</w:t>
      </w:r>
    </w:p>
    <w:p>
      <w:pPr>
        <w:spacing w:before="180" w:after="20"/>
      </w:pPr>
      <w:r>
        <w:rPr>
          <w:b/>
          <w:color w:val="222222"/>
          <w:sz w:val="22"/>
        </w:rPr>
        <w:t>Justification for Excluding Full-Scale Occupancy and Duration Surveys</w:t>
      </w:r>
      <w:r>
        <w:rPr>
          <w:color w:val="555555"/>
          <w:sz w:val="17"/>
        </w:rPr>
        <w:t xml:space="preserve">   ¶60–67  (whole chapter)</w:t>
      </w:r>
    </w:p>
    <w:p>
      <w:pPr>
        <w:spacing w:after="20"/>
      </w:pPr>
      <w:r>
        <w:rPr>
          <w:b/>
          <w:color w:val="6A1B9A"/>
          <w:sz w:val="16"/>
        </w:rPr>
        <w:t xml:space="preserve"> REFRAME </w:t>
      </w:r>
      <w:r>
        <w:t xml:space="preserve">  </w:t>
      </w:r>
      <w:r>
        <w:rPr>
          <w:b/>
          <w:color w:val="C02A2A"/>
          <w:sz w:val="16"/>
        </w:rPr>
        <w:t xml:space="preserve"> REPLACE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Stands as a live justification for NOT collecting occupancy/duration data (analytical rationale, resource proportionality, ANPR-instead).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This is the most out-of-date chapter. Retitle to “Survey Scope: From Full-Corridor to Targeted Occupancy Survey.” Keep the resource-proportionality argument (a 34-km census was disproportionate) but recast its conclusion: rather than excluding occupancy work entirely, a proportionate, representative six-area occupancy survey was conducted. Remove/replace language that asserts occupancy data is unnecessary or unavailable. Cross-reference the new results chapter.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Survey now exists; memo §2; avoids an internal contradiction.</w:t>
      </w:r>
    </w:p>
    <w:p>
      <w:pPr>
        <w:spacing w:before="180" w:after="20"/>
      </w:pPr>
      <w:r>
        <w:rPr>
          <w:b/>
          <w:color w:val="222222"/>
          <w:sz w:val="22"/>
        </w:rPr>
        <w:t>Parking Supply Inventory Results — Configuration &amp; Location</w:t>
      </w:r>
      <w:r>
        <w:rPr>
          <w:color w:val="555555"/>
          <w:sz w:val="17"/>
        </w:rPr>
        <w:t xml:space="preserve">   ¶94–127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555555"/>
          <w:sz w:val="16"/>
        </w:rPr>
        <w:t xml:space="preserve"> KEEP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Supply by configuration (parallel 75.3%, 90° 24.7%) and by location (on-street 71.4%) from the desk inventory. Corridor street-level detail.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Keep the supply inventory intact (it is the corridor-wide backbone). Add a one-paragraph bridge distinguishing marked configuration (how spaces are striped) from observed parking behaviour from the field survey (how vehicles actually parked: 55% parallel / 26% at 45° / 19% perpendicular by vehicle; Kentron 60% angled by space) — and flag that ~24.5% of observed parking sat off-carriageway (footpath/setback), the latent informality the supply map cannot see.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Field parameters (location, method); memo §6.</w:t>
      </w:r>
    </w:p>
    <w:p>
      <w:pPr>
        <w:spacing w:before="180" w:after="20"/>
      </w:pPr>
      <w:r>
        <w:rPr>
          <w:b/>
          <w:color w:val="222222"/>
          <w:sz w:val="22"/>
        </w:rPr>
        <w:t>Parking Impacts — Scale of Removal; Impact by Sensitivity Zone</w:t>
      </w:r>
      <w:r>
        <w:rPr>
          <w:color w:val="555555"/>
          <w:sz w:val="17"/>
        </w:rPr>
        <w:t xml:space="preserve">   ¶156–164 (Table 9)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B86B00"/>
          <w:sz w:val="16"/>
        </w:rPr>
        <w:t xml:space="preserve"> RECALIBRATE </w:t>
      </w:r>
      <w:r>
        <w:t xml:space="preserve">  </w:t>
      </w:r>
      <w:r>
        <w:rPr>
          <w:b/>
          <w:color w:val="1565C0"/>
          <w:sz w:val="16"/>
        </w:rPr>
        <w:t xml:space="preserve"> FIGURE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Removal scale from supply (5,953). Impact by Sensitivity Zone (Table 9) assigned qualitatively, a priori.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Keep the corridor-wide removal scale. Rebuild Table 9 to carry measured columns for the surveyed areas — peak occupancy, % zones &gt;85%, turnover, on-street absorption — and reconcile the a-priori labels with behaviour: Komitas reclassified Medium→High (123% peak, 0% on-street absorption); Shiraz confirmed Lower (75%, 69%); Kentron confirmed High but for an off-street-led reason (138%, 14%); Gai/Mega flagged as an unclassified gap (123% peak, absorption &lt;100%). Update the sensitivity-zone figure/map accordingly.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Per-area occupancy/absorption; memo §2 &amp; §5 (G2, G6).</w:t>
      </w:r>
    </w:p>
    <w:p>
      <w:pPr>
        <w:spacing w:before="180" w:after="20"/>
      </w:pPr>
      <w:r>
        <w:rPr>
          <w:b/>
          <w:color w:val="222222"/>
          <w:sz w:val="22"/>
        </w:rPr>
        <w:t>Displacement Assessment — Understanding / Absorptive Capacity</w:t>
      </w:r>
      <w:r>
        <w:rPr>
          <w:color w:val="555555"/>
          <w:sz w:val="17"/>
        </w:rPr>
        <w:t xml:space="preserve">   ¶165–175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Displacement explained via European precedent (displaced &lt; removed); absorptive capacity = 7,479 off-street + 1,857 on-street, framed as gross availability.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Add the locally-measured result: across the surveyed areas, peak displaced demand was 908 vs 1,643 removed = 55% — the European principle now measured in Yerevan, not borrowed. Add the absorption breakdown (on-street covers only 43%, and 92% of the off-street capacity that closes the gap is gated residential yards counted at gross capacity), with per-area absorption (Kentron 14%, Komitas 0%, Garegin 30%, Shiraz 69%, Malatia 97%, Gai 68%). State plainly that the “re-absorbed” conclusion is conditional on opening those yards — the load-bearing dependency (handed to Output 10 as M7).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Displacement run; memo §1, §3 (M7), §4 (G1).</w:t>
      </w:r>
    </w:p>
    <w:p>
      <w:pPr>
        <w:spacing w:before="180" w:after="20"/>
      </w:pPr>
      <w:r>
        <w:rPr>
          <w:b/>
          <w:color w:val="222222"/>
          <w:sz w:val="22"/>
        </w:rPr>
        <w:t>Occupancy and Demand Data: Current Status</w:t>
      </w:r>
      <w:r>
        <w:rPr>
          <w:color w:val="555555"/>
          <w:sz w:val="17"/>
        </w:rPr>
        <w:t xml:space="preserve">   ¶176–184  (whole chapter)</w:t>
      </w:r>
    </w:p>
    <w:p>
      <w:pPr>
        <w:spacing w:after="20"/>
      </w:pPr>
      <w:r>
        <w:rPr>
          <w:b/>
          <w:color w:val="C02A2A"/>
          <w:sz w:val="16"/>
        </w:rPr>
        <w:t xml:space="preserve"> REPLACE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Says demand analysis depends on ANPR; “data-sharing approval from the Mayor’s office is pending”; results to follow “as an addendum.”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Replace wholesale with “Occupancy and Demand: Field Survey Results.” Present the measured occupancy (vs the 85% threshold the chapter already names), duration/stay-mix (visitor/commuter/resident), turnover, and the legality finding (≈0.2% illegal). Per comment #1, delete the ANPR dependency and the “pending / Mayor’s approval / addendum” framing outright — no action follows this deliverable, so the field survey stands as the demand evidence, not a placeholder for data still to come.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Field-survey results directly answer this chapter’s open questions; comment #1.</w:t>
      </w:r>
    </w:p>
    <w:p>
      <w:pPr>
        <w:spacing w:before="180" w:after="20"/>
      </w:pPr>
      <w:r>
        <w:rPr>
          <w:b/>
          <w:color w:val="222222"/>
          <w:sz w:val="22"/>
        </w:rPr>
        <w:t>NEW sub-section — Field parameters: what every collected variable shows</w:t>
      </w:r>
      <w:r>
        <w:rPr>
          <w:color w:val="555555"/>
          <w:sz w:val="17"/>
        </w:rPr>
        <w:t xml:space="preserve">   new, near results</w:t>
      </w:r>
    </w:p>
    <w:p>
      <w:pPr>
        <w:spacing w:after="20"/>
      </w:pP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Absent.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Add the parameter analysis (mirrors audit memo §6) with the ‘why collected / what it proves’ logic, including the reassuring nulls: legality ≈99.8% legal / 0.2% illegal (rules out law-breaking as the problem); kerb location 24.5% informal (footpath/setback), worst in Komitas; parking method (Kentron 60% angled); vehicle mix 94.8% sedan with truck pockets in Malatia (12.6%) and Shiraz (8.0%), motorcycles negligible (0.3%).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Field parameters; memo §6. Satisfies the ‘analyse every collected parameter’ requirement.</w:t>
      </w:r>
    </w:p>
    <w:p>
      <w:pPr>
        <w:spacing w:before="180" w:after="20"/>
      </w:pPr>
      <w:r>
        <w:rPr>
          <w:b/>
          <w:color w:val="222222"/>
          <w:sz w:val="22"/>
        </w:rPr>
        <w:t>Conclusions</w:t>
      </w:r>
      <w:r>
        <w:rPr>
          <w:color w:val="555555"/>
          <w:sz w:val="17"/>
        </w:rPr>
        <w:t xml:space="preserve">   ¶185–191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6A1B9A"/>
          <w:sz w:val="16"/>
        </w:rPr>
        <w:t xml:space="preserve"> REFRAME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Five supply-only conclusions (16,341 spaces; 8,862 on-street; 11.3% paid; 5,953 removed; absorptive capacity).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Keep the supply conclusions; add measured conclusions: peak occupancy 93% with 69% of zones over 85%; short-stay/high-turnover kerb; displaced demand 55% of removal; absorption ~100% but conditional on opening gated yards; sensitivity map recalibrated (Komitas→High, Gai gap). Point demand-side recommendations to Output 10.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Whole survey; memo §1.</w:t>
      </w:r>
    </w:p>
    <w:p>
      <w:pPr>
        <w:spacing w:before="180" w:after="20"/>
      </w:pPr>
      <w:r>
        <w:rPr>
          <w:b/>
          <w:color w:val="222222"/>
          <w:sz w:val="22"/>
        </w:rPr>
        <w:t>Figures, Tables &amp; Live Link</w:t>
      </w:r>
      <w:r>
        <w:rPr>
          <w:color w:val="555555"/>
          <w:sz w:val="17"/>
        </w:rPr>
        <w:t xml:space="preserve">   List of Figures/Tables; ¶191 link</w:t>
      </w:r>
    </w:p>
    <w:p>
      <w:pPr>
        <w:spacing w:after="20"/>
      </w:pPr>
      <w:r>
        <w:rPr>
          <w:b/>
          <w:color w:val="1565C0"/>
          <w:sz w:val="16"/>
        </w:rPr>
        <w:t xml:space="preserve"> FIGURE </w:t>
      </w:r>
      <w:r>
        <w:t xml:space="preserve">  </w:t>
      </w:r>
      <w:r>
        <w:rPr>
          <w:b/>
          <w:color w:val="555555"/>
          <w:sz w:val="16"/>
        </w:rPr>
        <w:t xml:space="preserve"> KEEP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i w:val="0"/>
          <w:sz w:val="19"/>
        </w:rPr>
        <w:t>Figures 1–8 supply/absorptive; Table 9 sensitivity; live link to the Vercel app.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i w:val="0"/>
          <w:sz w:val="19"/>
        </w:rPr>
        <w:t>Add field-survey figures (hourly demand vs supply, peak vs average occupancy by area, displacement balance, duration mix, layout) — reuse the charts already built for the Findings Report rather than re-author. Update List of Figures/Tables and confirm the live link still resolves.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i w:val="0"/>
          <w:sz w:val="19"/>
        </w:rPr>
        <w:t>Findings-report chart set already generated from the same geojson.</w:t>
      </w:r>
    </w:p>
    <w:p>
      <w:r>
        <w:br w:type="page"/>
      </w:r>
    </w:p>
    <w:p>
      <w:pPr>
        <w:spacing w:before="260" w:after="60"/>
      </w:pPr>
      <w:r>
        <w:rPr>
          <w:b/>
          <w:color w:val="142A4A"/>
          <w:sz w:val="30"/>
        </w:rPr>
        <w:t>3.  Measured figures to inject (reference)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All from the validated field-surveys.geojson run (six areas) unless marked full-corridor. Surveyed subset ≠ full inventory — keep the two denominators distinct in the text.</w:t>
      </w:r>
    </w:p>
    <w:p>
      <w:pPr>
        <w:spacing w:before="160" w:after="60"/>
      </w:pPr>
      <w:r>
        <w:rPr>
          <w:b/>
          <w:color w:val="006D77"/>
          <w:sz w:val="24"/>
        </w:rPr>
        <w:t>Survey scope &amp; validity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42A4A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200"/>
            <w:shd w:val="clear" w:fill="142A4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Areas / dates (all weekdays)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Komitas Fri 29 May · Shiraz Mon 1 Jun · Garegin &amp; Gai Tue 2 Jun · Kentron &amp; Malatia Wed 3 Jun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Sample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208 segments · ~2,930 marked spaces · ~24,950 observations · 11,394 on-street stays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Window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07:00–24:00 (hourly licence-plate sweeps)</w:t>
            </w:r>
          </w:p>
        </w:tc>
      </w:tr>
    </w:tbl>
    <w:p>
      <w:pPr>
        <w:spacing w:before="160" w:after="60"/>
      </w:pPr>
      <w:r>
        <w:rPr>
          <w:b/>
          <w:color w:val="006D77"/>
          <w:sz w:val="24"/>
        </w:rPr>
        <w:t>Occupancy, turnover,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42A4A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7200"/>
            <w:shd w:val="clear" w:fill="142A4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Peak occupancy (cap-weighted)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Citywide 93% · Kentron 138 · Komitas 123 · Gai 123 · Garegin 92 · Shiraz 75 · Malatia 54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Zones over 85% at peak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69% citywide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Turnover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5–11 vehicles/space/day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Stay mix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≈63% ≤1h · ≈77% ≤2h · ≈7% overnight (8h+, 1h-rule) · avg 1.6–2.2 h</w:t>
            </w:r>
          </w:p>
        </w:tc>
      </w:tr>
    </w:tbl>
    <w:p>
      <w:pPr>
        <w:spacing w:before="160" w:after="60"/>
      </w:pPr>
      <w:r>
        <w:rPr>
          <w:b/>
          <w:color w:val="006D77"/>
          <w:sz w:val="24"/>
        </w:rPr>
        <w:t>Displacement (surveyed areas)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42A4A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7200"/>
            <w:shd w:val="clear" w:fill="142A4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Removed / displaced (peak)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1,643 spaces removed · 908 cars displaced = 55%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On-street absorption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43% citywide · Kentron 14 · Komitas 0 · Garegin 30 · Shiraz 69 · Malatia 97 · Gai 68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Off-street absorption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1,935 spaces, of which 92% gated residential yards (→ Output 10 M7)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Total absorbed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~100%, conditional on opening the gated yards</w:t>
            </w:r>
          </w:p>
        </w:tc>
      </w:tr>
    </w:tbl>
    <w:p>
      <w:pPr>
        <w:spacing w:before="160" w:after="60"/>
      </w:pPr>
      <w:r>
        <w:rPr>
          <w:b/>
          <w:color w:val="006D77"/>
          <w:sz w:val="24"/>
        </w:rPr>
        <w:t>Field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42A4A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7200"/>
            <w:shd w:val="clear" w:fill="142A4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Value (≈24,950 obs)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Legality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99.8% legal · 0.2% illegal (max 0.9%, Komitas)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Kerb location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75.5% on-street · 24.5% informal (13.0% footpath, 11.5% setback); worst Komitas 35%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Parking method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By vehicle 55% parallel / 26% 45° / 19% perpendicular · by space Kentron 60% angled, ≤4% elsewhere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Vehicle type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94.8% sedan · 4.9% truck (Malatia 12.6, Shiraz 8.0) · 0.3% motorcycle</w:t>
            </w:r>
          </w:p>
        </w:tc>
      </w:tr>
    </w:tbl>
    <w:p>
      <w:pPr>
        <w:spacing w:before="160" w:after="60"/>
      </w:pPr>
      <w:r>
        <w:rPr>
          <w:b/>
          <w:color w:val="006D77"/>
          <w:sz w:val="24"/>
        </w:rPr>
        <w:t>Full-corridor backbone (unchanged, keep)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42A4A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200"/>
            <w:shd w:val="clear" w:fill="142A4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16,341 spaces / 994 features · 8,862 on-street / 728 segments · 7,479 off-street / 266 facilities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Regulation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11.3% paid (396 Zone A + 633 Zone B) · 87.9% free/unregulated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Removal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5,953 on-street removed (C1 1,836 · C2 3,310 · C3 807)</w:t>
            </w:r>
          </w:p>
        </w:tc>
      </w:tr>
    </w:tbl>
    <w:p>
      <w:pPr>
        <w:spacing w:before="260" w:after="60"/>
      </w:pPr>
      <w:r>
        <w:rPr>
          <w:b/>
          <w:color w:val="142A4A"/>
          <w:sz w:val="30"/>
        </w:rPr>
        <w:t>4.  Open decisions before drafting in red</w:t>
      </w:r>
    </w:p>
    <w:p>
      <w:pPr>
        <w:spacing w:after="80"/>
      </w:pPr>
      <w:r>
        <w:rPr>
          <w:b/>
          <w:i w:val="0"/>
          <w:color w:val="2E7D32"/>
          <w:sz w:val="20"/>
        </w:rPr>
        <w:t xml:space="preserve">Resolved from review comments. </w:t>
      </w:r>
      <w:r>
        <w:rPr>
          <w:b w:val="0"/>
          <w:i w:val="0"/>
          <w:color w:val="555555"/>
          <w:sz w:val="20"/>
        </w:rPr>
        <w:t>(#0) The ~24,950-observation count is dropped from the Executive Summary and kept only as the denominator under the field-parameter percentages. (#1) The ANPR-as-future-demand-source thread is deleted outright — Component 2 and the “Occupancy: Current Status” pending/addendum chapter — since no action follows this deliverable; the field survey is the demand evidence.</w:t>
      </w:r>
    </w:p>
    <w:p>
      <w:pPr>
        <w:pStyle w:val="ListBullet"/>
        <w:spacing w:after="40"/>
      </w:pPr>
      <w:r>
        <w:rPr>
          <w:b/>
        </w:rPr>
        <w:t xml:space="preserve">Zone mapping. </w:t>
      </w:r>
      <w:r>
        <w:rPr>
          <w:b w:val="0"/>
          <w:sz w:val="21"/>
        </w:rPr>
        <w:t>Confirm the six surveyed areas map cleanly onto Output 8’s sensitivity zones and corridor segments (Komitas, Kentron, Shiraz/Hasratyan, Garegin Nzhdeh, Malatia-Sebastia, Gai/Mega) so the recalibration lands on the right Table 9 rows.</w:t>
      </w:r>
    </w:p>
    <w:p>
      <w:pPr>
        <w:pStyle w:val="ListBullet"/>
        <w:spacing w:after="40"/>
      </w:pPr>
      <w:r>
        <w:rPr>
          <w:b/>
        </w:rPr>
        <w:t xml:space="preserve">O8/O10 division. </w:t>
      </w:r>
      <w:r>
        <w:rPr>
          <w:b w:val="0"/>
          <w:sz w:val="21"/>
        </w:rPr>
        <w:t>Output 8 keeps the displacement frame; measure-level moves (M7 elevate + comms plan, the new annual-permit measure, M3 re-scope) go to Output 10. Confirm you want Output 8 to point to Output 10 for these rather than restate them.</w:t>
      </w:r>
    </w:p>
    <w:p>
      <w:pPr>
        <w:pStyle w:val="ListBullet"/>
        <w:spacing w:after="40"/>
      </w:pPr>
      <w:r>
        <w:rPr>
          <w:b/>
        </w:rPr>
        <w:t xml:space="preserve">Obsolete chapter. </w:t>
      </w:r>
      <w:r>
        <w:rPr>
          <w:b w:val="0"/>
          <w:sz w:val="21"/>
        </w:rPr>
        <w:t>The ‘Justification for Excluding…’ chapter: retire-and-reframe (recommended) vs delete entirely. Reframing preserves the audit trail of the scope decision.</w:t>
      </w:r>
    </w:p>
    <w:p>
      <w:pPr>
        <w:pStyle w:val="ListBullet"/>
        <w:spacing w:after="40"/>
      </w:pPr>
      <w:r>
        <w:rPr>
          <w:b/>
        </w:rPr>
        <w:t xml:space="preserve">Figures. </w:t>
      </w:r>
      <w:r>
        <w:rPr>
          <w:b w:val="0"/>
          <w:sz w:val="21"/>
        </w:rPr>
        <w:t>Reuse the Findings-Report charts as Output 8 figures, or generate Output-8-specific versions?</w:t>
      </w:r>
    </w:p>
    <w:p>
      <w:pPr>
        <w:pStyle w:val="ListBullet"/>
        <w:spacing w:after="40"/>
      </w:pPr>
      <w:r>
        <w:rPr>
          <w:b/>
        </w:rPr>
        <w:t xml:space="preserve">Working copy. </w:t>
      </w:r>
      <w:r>
        <w:rPr>
          <w:b w:val="0"/>
          <w:sz w:val="21"/>
        </w:rPr>
        <w:t>Apply edits to a copy (e.g. “…08042026 (rev).docx”) with red text, leaving the original untouched — confirm the filename convention.</w:t>
      </w:r>
    </w:p>
    <w:p>
      <w:pPr>
        <w:spacing w:after="40"/>
      </w:pPr>
      <w:r>
        <w:rPr>
          <w:b/>
          <w:i w:val="0"/>
          <w:color w:val="142A4A"/>
          <w:sz w:val="21"/>
        </w:rPr>
        <w:t>On approval, I will apply each block above directly in the report with red text, section by section, leaving everything else untouched.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