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9194" w14:textId="5A04A292" w:rsidR="00940B5F" w:rsidRDefault="00000000">
      <w:pPr>
        <w:spacing w:after="40"/>
      </w:pPr>
      <w:r>
        <w:rPr>
          <w:b/>
          <w:color w:val="1F3A5F"/>
          <w:sz w:val="30"/>
        </w:rPr>
        <w:t xml:space="preserve">Note </w:t>
      </w:r>
      <w:r w:rsidR="001E4F50">
        <w:rPr>
          <w:b/>
          <w:color w:val="1F3A5F"/>
          <w:sz w:val="30"/>
        </w:rPr>
        <w:t xml:space="preserve">on </w:t>
      </w:r>
      <w:r>
        <w:rPr>
          <w:b/>
          <w:color w:val="1F3A5F"/>
          <w:sz w:val="30"/>
        </w:rPr>
        <w:t>the half-hour method across the six survey areas</w:t>
      </w:r>
    </w:p>
    <w:p w14:paraId="58E40004" w14:textId="6C7260C1" w:rsidR="00940B5F" w:rsidRPr="00D95531" w:rsidRDefault="00000000">
      <w:pPr>
        <w:rPr>
          <w:bCs/>
        </w:rPr>
      </w:pPr>
      <w:r w:rsidRPr="00D95531">
        <w:rPr>
          <w:bCs/>
        </w:rPr>
        <w:t>Applied to all 203 survey zones, the half-hour method lowers every area's busiest-hour occupancy by 31–49%, and 44 zones still read above 100%. This note sets out what the method does well, where it falls short, and what it changes in each area.</w:t>
      </w:r>
    </w:p>
    <w:p w14:paraId="33D23C04" w14:textId="77777777" w:rsidR="00D95531" w:rsidRDefault="00D95531">
      <w:pPr>
        <w:spacing w:before="120" w:after="60"/>
        <w:rPr>
          <w:b/>
          <w:color w:val="1F3A5F"/>
          <w:sz w:val="23"/>
        </w:rPr>
      </w:pPr>
    </w:p>
    <w:p w14:paraId="3DE17F22" w14:textId="67514508" w:rsidR="00940B5F" w:rsidRDefault="00000000">
      <w:pPr>
        <w:spacing w:before="120" w:after="60"/>
      </w:pPr>
      <w:r>
        <w:rPr>
          <w:b/>
          <w:color w:val="1F3A5F"/>
          <w:sz w:val="23"/>
        </w:rPr>
        <w:t>The method and your example</w:t>
      </w:r>
    </w:p>
    <w:p w14:paraId="0ED7017D" w14:textId="77777777" w:rsidR="00940B5F" w:rsidRDefault="00000000">
      <w:r>
        <w:t>Your 7 October memo proposes crediting each vehicle half an hour in the hour it is first seen, half an hour in the hour it is last seen, and a full hour for each hour between. We have run that rule on all 203 survey zones (a zone is one surveyed street segment) and on the six off-street facilities.</w:t>
      </w:r>
    </w:p>
    <w:p w14:paraId="6960CC7C" w14:textId="77777777" w:rsidR="00940B5F" w:rsidRDefault="00000000">
      <w:r>
        <w:t>On your example it works as you describe. Zone K40 (Nalbandyan, 23 spaces) recorded 27 vehicles at 18:00, or 117%. Under the half-hour rule its busiest hour moves to 17:00 and reads 21 vehicles, or 91%.</w:t>
      </w:r>
    </w:p>
    <w:p w14:paraId="196406AB" w14:textId="77777777" w:rsidR="00D95531" w:rsidRDefault="00D95531"/>
    <w:p w14:paraId="4191941A" w14:textId="77777777" w:rsidR="00940B5F" w:rsidRDefault="00000000">
      <w:pPr>
        <w:spacing w:before="120" w:after="60"/>
      </w:pPr>
      <w:r>
        <w:rPr>
          <w:b/>
          <w:color w:val="1F3A5F"/>
          <w:sz w:val="23"/>
        </w:rPr>
        <w:t>What the method does well</w:t>
      </w:r>
    </w:p>
    <w:p w14:paraId="08EB883C" w14:textId="77777777" w:rsidR="00940B5F" w:rsidRDefault="00000000">
      <w:pPr>
        <w:pStyle w:val="ListBullet"/>
      </w:pPr>
      <w:r>
        <w:rPr>
          <w:b/>
        </w:rPr>
        <w:t xml:space="preserve">It brings most zones within capacity. </w:t>
      </w:r>
      <w:r>
        <w:t>Zones above 100% fall from 116 to 44.</w:t>
      </w:r>
    </w:p>
    <w:p w14:paraId="7C2F8168" w14:textId="77777777" w:rsidR="00940B5F" w:rsidRDefault="00000000">
      <w:pPr>
        <w:pStyle w:val="ListBullet"/>
      </w:pPr>
      <w:r>
        <w:rPr>
          <w:b/>
        </w:rPr>
        <w:t xml:space="preserve">It leaves the count measures intact. </w:t>
      </w:r>
      <w:r>
        <w:t>Turnover and the number of distinct vehicles are the same under both methods.</w:t>
      </w:r>
    </w:p>
    <w:p w14:paraId="6E0A51B4" w14:textId="77777777" w:rsidR="00D95531" w:rsidRDefault="00D95531" w:rsidP="00D95531">
      <w:pPr>
        <w:pStyle w:val="ListBullet"/>
        <w:numPr>
          <w:ilvl w:val="0"/>
          <w:numId w:val="0"/>
        </w:numPr>
        <w:ind w:left="360"/>
      </w:pPr>
    </w:p>
    <w:p w14:paraId="458462A6" w14:textId="77777777" w:rsidR="00940B5F" w:rsidRDefault="00000000">
      <w:pPr>
        <w:spacing w:before="120" w:after="60"/>
      </w:pPr>
      <w:r>
        <w:rPr>
          <w:b/>
          <w:color w:val="1F3A5F"/>
          <w:sz w:val="23"/>
        </w:rPr>
        <w:t>Limitations of the method</w:t>
      </w:r>
    </w:p>
    <w:p w14:paraId="02C95B7E" w14:textId="77777777" w:rsidR="00940B5F" w:rsidRDefault="00000000">
      <w:pPr>
        <w:pStyle w:val="ListNumber"/>
      </w:pPr>
      <w:r>
        <w:rPr>
          <w:b/>
        </w:rPr>
        <w:t xml:space="preserve">Zones above 100% remain. </w:t>
      </w:r>
      <w:r>
        <w:t>44 zones still read above 100% at their busiest hour. 43 of them have 10 spaces or fewer, where several short visits in one hour each earn half an hour and together exceed the spaces.</w:t>
      </w:r>
    </w:p>
    <w:p w14:paraId="01C79472" w14:textId="77777777" w:rsidR="00940B5F" w:rsidRDefault="00000000">
      <w:pPr>
        <w:pStyle w:val="ListNumber"/>
      </w:pPr>
      <w:r>
        <w:rPr>
          <w:b/>
        </w:rPr>
        <w:t xml:space="preserve">The half-hour credit is an assumption. </w:t>
      </w:r>
      <w:r>
        <w:t>The survey records which plates were present in each hour, not for how many minutes. The same credit goes to a five-minute stop and to a car that stood for most of the hour, so any single stay can be understated or overstated.</w:t>
      </w:r>
    </w:p>
    <w:p w14:paraId="60967836" w14:textId="77777777" w:rsidR="00940B5F" w:rsidRDefault="00000000">
      <w:pPr>
        <w:pStyle w:val="ListNumber"/>
      </w:pPr>
      <w:r>
        <w:rPr>
          <w:b/>
        </w:rPr>
        <w:t xml:space="preserve">It lowers demand most where stays are short. </w:t>
      </w:r>
      <w:r>
        <w:t>63% of stays are an hour or less on the measured basis. Halving the first and last hours lowers busiest-hour demand by 31–49% depending on the area, and displaced cars by 40% overall (1,123 to 673).</w:t>
      </w:r>
    </w:p>
    <w:p w14:paraId="03B1A05D" w14:textId="77777777" w:rsidR="00940B5F" w:rsidRDefault="00000000">
      <w:pPr>
        <w:pStyle w:val="ListNumber"/>
      </w:pPr>
      <w:r>
        <w:rPr>
          <w:b/>
        </w:rPr>
        <w:t xml:space="preserve">It raises on-street absorption without adding space. </w:t>
      </w:r>
      <w:r>
        <w:t>The nearby kerb counted as absorbing capacity is unchanged; only displaced demand falls.</w:t>
      </w:r>
    </w:p>
    <w:p w14:paraId="587D5E72" w14:textId="77777777" w:rsidR="00D95531" w:rsidRDefault="00D95531" w:rsidP="00D95531">
      <w:pPr>
        <w:pStyle w:val="ListNumber"/>
        <w:numPr>
          <w:ilvl w:val="0"/>
          <w:numId w:val="0"/>
        </w:numPr>
        <w:ind w:left="360"/>
      </w:pPr>
    </w:p>
    <w:p w14:paraId="4EA71461" w14:textId="77777777" w:rsidR="00940B5F" w:rsidRDefault="00000000">
      <w:pPr>
        <w:spacing w:before="120" w:after="60"/>
      </w:pPr>
      <w:r>
        <w:rPr>
          <w:b/>
          <w:color w:val="1F3A5F"/>
          <w:sz w:val="23"/>
        </w:rPr>
        <w:t>What it changes in each area</w:t>
      </w:r>
    </w:p>
    <w:p w14:paraId="7AC59BAF" w14:textId="77777777" w:rsidR="00940B5F" w:rsidRDefault="00000000">
      <w:r>
        <w:t>Every area's busiest-hour figure falls by 31–49%, and no area reaches the 85% occupancy target. Each cell shows the measured figure, then the figure under the half-hour method.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5"/>
        <w:gridCol w:w="1648"/>
        <w:gridCol w:w="1626"/>
        <w:gridCol w:w="1626"/>
        <w:gridCol w:w="1643"/>
        <w:gridCol w:w="1644"/>
      </w:tblGrid>
      <w:tr w:rsidR="00940B5F" w14:paraId="2833E78D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09F28F99" w14:textId="77777777" w:rsidR="00940B5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1701" w:type="dxa"/>
            <w:shd w:val="clear" w:color="auto" w:fill="1F3A5F"/>
          </w:tcPr>
          <w:p w14:paraId="397BA059" w14:textId="77777777" w:rsidR="00940B5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Busiest-hour occupancy (%)</w:t>
            </w:r>
          </w:p>
        </w:tc>
        <w:tc>
          <w:tcPr>
            <w:tcW w:w="1701" w:type="dxa"/>
            <w:shd w:val="clear" w:color="auto" w:fill="1F3A5F"/>
          </w:tcPr>
          <w:p w14:paraId="56C33FE9" w14:textId="77777777" w:rsidR="00940B5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Zones at or above 85% (%)</w:t>
            </w:r>
          </w:p>
        </w:tc>
        <w:tc>
          <w:tcPr>
            <w:tcW w:w="1701" w:type="dxa"/>
            <w:shd w:val="clear" w:color="auto" w:fill="1F3A5F"/>
          </w:tcPr>
          <w:p w14:paraId="1B77B5B9" w14:textId="77777777" w:rsidR="00940B5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Zones above 100% (no.)</w:t>
            </w:r>
          </w:p>
        </w:tc>
        <w:tc>
          <w:tcPr>
            <w:tcW w:w="1701" w:type="dxa"/>
            <w:shd w:val="clear" w:color="auto" w:fill="1F3A5F"/>
          </w:tcPr>
          <w:p w14:paraId="5A833925" w14:textId="77777777" w:rsidR="00940B5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Cars displaced at peak (no.)</w:t>
            </w:r>
          </w:p>
        </w:tc>
        <w:tc>
          <w:tcPr>
            <w:tcW w:w="1701" w:type="dxa"/>
            <w:shd w:val="clear" w:color="auto" w:fill="1F3A5F"/>
          </w:tcPr>
          <w:p w14:paraId="77343075" w14:textId="77777777" w:rsidR="00940B5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Displaced cars absorbed on-street (%)</w:t>
            </w:r>
          </w:p>
        </w:tc>
      </w:tr>
      <w:tr w:rsidR="00940B5F" w14:paraId="5897402C" w14:textId="77777777">
        <w:trPr>
          <w:jc w:val="center"/>
        </w:trPr>
        <w:tc>
          <w:tcPr>
            <w:tcW w:w="1928" w:type="dxa"/>
          </w:tcPr>
          <w:p w14:paraId="6A46C730" w14:textId="77777777" w:rsidR="00940B5F" w:rsidRDefault="00000000">
            <w:pPr>
              <w:spacing w:after="0"/>
            </w:pPr>
            <w:r>
              <w:rPr>
                <w:sz w:val="18"/>
              </w:rPr>
              <w:t>Gai Avenue</w:t>
            </w:r>
          </w:p>
        </w:tc>
        <w:tc>
          <w:tcPr>
            <w:tcW w:w="1701" w:type="dxa"/>
          </w:tcPr>
          <w:p w14:paraId="38547AC4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99 → 68</w:t>
            </w:r>
          </w:p>
        </w:tc>
        <w:tc>
          <w:tcPr>
            <w:tcW w:w="1701" w:type="dxa"/>
          </w:tcPr>
          <w:p w14:paraId="1BF6947C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90 → 30</w:t>
            </w:r>
          </w:p>
        </w:tc>
        <w:tc>
          <w:tcPr>
            <w:tcW w:w="1701" w:type="dxa"/>
          </w:tcPr>
          <w:p w14:paraId="5DAB265F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7 → 1</w:t>
            </w:r>
          </w:p>
        </w:tc>
        <w:tc>
          <w:tcPr>
            <w:tcW w:w="1701" w:type="dxa"/>
          </w:tcPr>
          <w:p w14:paraId="09EBF5BD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131 → 90</w:t>
            </w:r>
          </w:p>
        </w:tc>
        <w:tc>
          <w:tcPr>
            <w:tcW w:w="1701" w:type="dxa"/>
          </w:tcPr>
          <w:p w14:paraId="3C3F045D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68 → 99</w:t>
            </w:r>
          </w:p>
        </w:tc>
      </w:tr>
      <w:tr w:rsidR="00940B5F" w14:paraId="20B7FCCF" w14:textId="77777777">
        <w:trPr>
          <w:jc w:val="center"/>
        </w:trPr>
        <w:tc>
          <w:tcPr>
            <w:tcW w:w="1928" w:type="dxa"/>
          </w:tcPr>
          <w:p w14:paraId="3D85B066" w14:textId="77777777" w:rsidR="00940B5F" w:rsidRDefault="00000000">
            <w:pPr>
              <w:spacing w:after="0"/>
            </w:pPr>
            <w:r>
              <w:rPr>
                <w:sz w:val="18"/>
              </w:rPr>
              <w:t>Kentron</w:t>
            </w:r>
          </w:p>
        </w:tc>
        <w:tc>
          <w:tcPr>
            <w:tcW w:w="1701" w:type="dxa"/>
          </w:tcPr>
          <w:p w14:paraId="4CCD1FC8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89 → 57</w:t>
            </w:r>
          </w:p>
        </w:tc>
        <w:tc>
          <w:tcPr>
            <w:tcW w:w="1701" w:type="dxa"/>
          </w:tcPr>
          <w:p w14:paraId="7449169E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89 → 60</w:t>
            </w:r>
          </w:p>
        </w:tc>
        <w:tc>
          <w:tcPr>
            <w:tcW w:w="1701" w:type="dxa"/>
          </w:tcPr>
          <w:p w14:paraId="32F598DF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42 → 18</w:t>
            </w:r>
          </w:p>
        </w:tc>
        <w:tc>
          <w:tcPr>
            <w:tcW w:w="1701" w:type="dxa"/>
          </w:tcPr>
          <w:p w14:paraId="12F66507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331 → 215</w:t>
            </w:r>
          </w:p>
        </w:tc>
        <w:tc>
          <w:tcPr>
            <w:tcW w:w="1701" w:type="dxa"/>
          </w:tcPr>
          <w:p w14:paraId="118E71FF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10 → 16</w:t>
            </w:r>
          </w:p>
        </w:tc>
      </w:tr>
      <w:tr w:rsidR="00940B5F" w14:paraId="4A767BAE" w14:textId="77777777">
        <w:trPr>
          <w:jc w:val="center"/>
        </w:trPr>
        <w:tc>
          <w:tcPr>
            <w:tcW w:w="1928" w:type="dxa"/>
          </w:tcPr>
          <w:p w14:paraId="4D6A5B61" w14:textId="77777777" w:rsidR="00940B5F" w:rsidRDefault="00000000">
            <w:pPr>
              <w:spacing w:after="0"/>
            </w:pPr>
            <w:r>
              <w:rPr>
                <w:sz w:val="18"/>
              </w:rPr>
              <w:t>Komitas</w:t>
            </w:r>
          </w:p>
        </w:tc>
        <w:tc>
          <w:tcPr>
            <w:tcW w:w="1701" w:type="dxa"/>
          </w:tcPr>
          <w:p w14:paraId="04406B56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83 → 46</w:t>
            </w:r>
          </w:p>
        </w:tc>
        <w:tc>
          <w:tcPr>
            <w:tcW w:w="1701" w:type="dxa"/>
          </w:tcPr>
          <w:p w14:paraId="36628694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81 → 30</w:t>
            </w:r>
          </w:p>
        </w:tc>
        <w:tc>
          <w:tcPr>
            <w:tcW w:w="1701" w:type="dxa"/>
          </w:tcPr>
          <w:p w14:paraId="7CD1A86A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34 → 11</w:t>
            </w:r>
          </w:p>
        </w:tc>
        <w:tc>
          <w:tcPr>
            <w:tcW w:w="1701" w:type="dxa"/>
          </w:tcPr>
          <w:p w14:paraId="1236E3BF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227 → 124</w:t>
            </w:r>
          </w:p>
        </w:tc>
        <w:tc>
          <w:tcPr>
            <w:tcW w:w="1701" w:type="dxa"/>
          </w:tcPr>
          <w:p w14:paraId="5ECBC5F7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0 → 0</w:t>
            </w:r>
          </w:p>
        </w:tc>
      </w:tr>
      <w:tr w:rsidR="00940B5F" w14:paraId="7FC9D333" w14:textId="77777777">
        <w:trPr>
          <w:jc w:val="center"/>
        </w:trPr>
        <w:tc>
          <w:tcPr>
            <w:tcW w:w="1928" w:type="dxa"/>
          </w:tcPr>
          <w:p w14:paraId="3E73B214" w14:textId="77777777" w:rsidR="00940B5F" w:rsidRDefault="00000000">
            <w:pPr>
              <w:spacing w:after="0"/>
            </w:pPr>
            <w:r>
              <w:rPr>
                <w:sz w:val="18"/>
              </w:rPr>
              <w:t>Garegin Nzhdeh</w:t>
            </w:r>
          </w:p>
        </w:tc>
        <w:tc>
          <w:tcPr>
            <w:tcW w:w="1701" w:type="dxa"/>
          </w:tcPr>
          <w:p w14:paraId="77838A5F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63 → 37</w:t>
            </w:r>
          </w:p>
        </w:tc>
        <w:tc>
          <w:tcPr>
            <w:tcW w:w="1701" w:type="dxa"/>
          </w:tcPr>
          <w:p w14:paraId="0C6047F0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61 → 32</w:t>
            </w:r>
          </w:p>
        </w:tc>
        <w:tc>
          <w:tcPr>
            <w:tcW w:w="1701" w:type="dxa"/>
          </w:tcPr>
          <w:p w14:paraId="64B48B8A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15 → 9</w:t>
            </w:r>
          </w:p>
        </w:tc>
        <w:tc>
          <w:tcPr>
            <w:tcW w:w="1701" w:type="dxa"/>
          </w:tcPr>
          <w:p w14:paraId="7D5A26AA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150 → 87</w:t>
            </w:r>
          </w:p>
        </w:tc>
        <w:tc>
          <w:tcPr>
            <w:tcW w:w="1701" w:type="dxa"/>
          </w:tcPr>
          <w:p w14:paraId="068A396E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30 → 52</w:t>
            </w:r>
          </w:p>
        </w:tc>
      </w:tr>
      <w:tr w:rsidR="00940B5F" w14:paraId="618A0125" w14:textId="77777777">
        <w:trPr>
          <w:jc w:val="center"/>
        </w:trPr>
        <w:tc>
          <w:tcPr>
            <w:tcW w:w="1928" w:type="dxa"/>
          </w:tcPr>
          <w:p w14:paraId="7CB84C1A" w14:textId="77777777" w:rsidR="00940B5F" w:rsidRDefault="00000000">
            <w:pPr>
              <w:spacing w:after="0"/>
            </w:pPr>
            <w:r>
              <w:rPr>
                <w:sz w:val="18"/>
              </w:rPr>
              <w:t>Shiraz/Hasratyan</w:t>
            </w:r>
          </w:p>
        </w:tc>
        <w:tc>
          <w:tcPr>
            <w:tcW w:w="1701" w:type="dxa"/>
          </w:tcPr>
          <w:p w14:paraId="454C75F5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42 → 23</w:t>
            </w:r>
          </w:p>
        </w:tc>
        <w:tc>
          <w:tcPr>
            <w:tcW w:w="1701" w:type="dxa"/>
          </w:tcPr>
          <w:p w14:paraId="2156233A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47 → 24</w:t>
            </w:r>
          </w:p>
        </w:tc>
        <w:tc>
          <w:tcPr>
            <w:tcW w:w="1701" w:type="dxa"/>
          </w:tcPr>
          <w:p w14:paraId="00923F24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13 → 5</w:t>
            </w:r>
          </w:p>
        </w:tc>
        <w:tc>
          <w:tcPr>
            <w:tcW w:w="1701" w:type="dxa"/>
          </w:tcPr>
          <w:p w14:paraId="058CFE1B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185 → 103</w:t>
            </w:r>
          </w:p>
        </w:tc>
        <w:tc>
          <w:tcPr>
            <w:tcW w:w="1701" w:type="dxa"/>
          </w:tcPr>
          <w:p w14:paraId="0CFD03DE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69 → 100</w:t>
            </w:r>
          </w:p>
        </w:tc>
      </w:tr>
      <w:tr w:rsidR="00940B5F" w14:paraId="731CB2CC" w14:textId="77777777">
        <w:trPr>
          <w:jc w:val="center"/>
        </w:trPr>
        <w:tc>
          <w:tcPr>
            <w:tcW w:w="1928" w:type="dxa"/>
          </w:tcPr>
          <w:p w14:paraId="065ACA6F" w14:textId="77777777" w:rsidR="00940B5F" w:rsidRDefault="00000000">
            <w:pPr>
              <w:spacing w:after="0"/>
            </w:pPr>
            <w:r>
              <w:rPr>
                <w:sz w:val="18"/>
              </w:rPr>
              <w:t>Malatia-Sebastia</w:t>
            </w:r>
          </w:p>
        </w:tc>
        <w:tc>
          <w:tcPr>
            <w:tcW w:w="1701" w:type="dxa"/>
          </w:tcPr>
          <w:p w14:paraId="6414AFC8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35 → 18</w:t>
            </w:r>
          </w:p>
        </w:tc>
        <w:tc>
          <w:tcPr>
            <w:tcW w:w="1701" w:type="dxa"/>
          </w:tcPr>
          <w:p w14:paraId="08A872FC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27 → 5</w:t>
            </w:r>
          </w:p>
        </w:tc>
        <w:tc>
          <w:tcPr>
            <w:tcW w:w="1701" w:type="dxa"/>
          </w:tcPr>
          <w:p w14:paraId="414FF388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5 → 0</w:t>
            </w:r>
          </w:p>
        </w:tc>
        <w:tc>
          <w:tcPr>
            <w:tcW w:w="1701" w:type="dxa"/>
          </w:tcPr>
          <w:p w14:paraId="333E74E9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99 → 55</w:t>
            </w:r>
          </w:p>
        </w:tc>
        <w:tc>
          <w:tcPr>
            <w:tcW w:w="1701" w:type="dxa"/>
          </w:tcPr>
          <w:p w14:paraId="7E17D393" w14:textId="77777777" w:rsidR="00940B5F" w:rsidRDefault="00000000">
            <w:pPr>
              <w:spacing w:after="0"/>
              <w:jc w:val="center"/>
            </w:pPr>
            <w:r>
              <w:rPr>
                <w:sz w:val="18"/>
              </w:rPr>
              <w:t>97 → 100</w:t>
            </w:r>
          </w:p>
        </w:tc>
      </w:tr>
      <w:tr w:rsidR="00940B5F" w14:paraId="74952BDF" w14:textId="77777777">
        <w:trPr>
          <w:jc w:val="center"/>
        </w:trPr>
        <w:tc>
          <w:tcPr>
            <w:tcW w:w="1928" w:type="dxa"/>
            <w:shd w:val="clear" w:color="auto" w:fill="E8EDF3"/>
          </w:tcPr>
          <w:p w14:paraId="2F043AD1" w14:textId="77777777" w:rsidR="00940B5F" w:rsidRDefault="00000000">
            <w:pPr>
              <w:spacing w:after="0"/>
            </w:pPr>
            <w:r>
              <w:rPr>
                <w:b/>
                <w:sz w:val="18"/>
              </w:rPr>
              <w:t>All six areas</w:t>
            </w:r>
          </w:p>
        </w:tc>
        <w:tc>
          <w:tcPr>
            <w:tcW w:w="1701" w:type="dxa"/>
            <w:shd w:val="clear" w:color="auto" w:fill="E8EDF3"/>
          </w:tcPr>
          <w:p w14:paraId="50511D65" w14:textId="77777777" w:rsidR="00940B5F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61 → 36</w:t>
            </w:r>
          </w:p>
        </w:tc>
        <w:tc>
          <w:tcPr>
            <w:tcW w:w="1701" w:type="dxa"/>
            <w:shd w:val="clear" w:color="auto" w:fill="E8EDF3"/>
          </w:tcPr>
          <w:p w14:paraId="52E191BE" w14:textId="77777777" w:rsidR="00940B5F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69 → 34</w:t>
            </w:r>
          </w:p>
        </w:tc>
        <w:tc>
          <w:tcPr>
            <w:tcW w:w="1701" w:type="dxa"/>
            <w:shd w:val="clear" w:color="auto" w:fill="E8EDF3"/>
          </w:tcPr>
          <w:p w14:paraId="32A10F00" w14:textId="77777777" w:rsidR="00940B5F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116 → 44</w:t>
            </w:r>
          </w:p>
        </w:tc>
        <w:tc>
          <w:tcPr>
            <w:tcW w:w="1701" w:type="dxa"/>
            <w:shd w:val="clear" w:color="auto" w:fill="E8EDF3"/>
          </w:tcPr>
          <w:p w14:paraId="67C938D5" w14:textId="77777777" w:rsidR="00940B5F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1,123 → 673</w:t>
            </w:r>
          </w:p>
        </w:tc>
        <w:tc>
          <w:tcPr>
            <w:tcW w:w="1701" w:type="dxa"/>
            <w:shd w:val="clear" w:color="auto" w:fill="E8EDF3"/>
          </w:tcPr>
          <w:p w14:paraId="2D96284F" w14:textId="77777777" w:rsidR="00940B5F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35 → 58</w:t>
            </w:r>
          </w:p>
        </w:tc>
      </w:tr>
    </w:tbl>
    <w:p w14:paraId="19C10DAA" w14:textId="77777777" w:rsidR="00940B5F" w:rsidRDefault="00940B5F">
      <w:pPr>
        <w:spacing w:after="0" w:line="80" w:lineRule="exact"/>
      </w:pPr>
    </w:p>
    <w:p w14:paraId="6865D2D3" w14:textId="77777777" w:rsidR="00D95531" w:rsidRDefault="00D95531">
      <w:pPr>
        <w:spacing w:after="0" w:line="80" w:lineRule="exact"/>
      </w:pPr>
    </w:p>
    <w:p w14:paraId="6985BCBE" w14:textId="77777777" w:rsidR="00D95531" w:rsidRDefault="00D95531">
      <w:pPr>
        <w:spacing w:after="0" w:line="80" w:lineRule="exact"/>
      </w:pPr>
    </w:p>
    <w:p w14:paraId="1E35EBC8" w14:textId="77777777" w:rsidR="00940B5F" w:rsidRDefault="00000000">
      <w:pPr>
        <w:pStyle w:val="ListBullet"/>
      </w:pPr>
      <w:r>
        <w:rPr>
          <w:b/>
        </w:rPr>
        <w:t xml:space="preserve">Gai Avenue: </w:t>
      </w:r>
      <w:r>
        <w:t>the reported deficit disappears, and 99% of displaced cars appear to be absorbed on-street. The figure moves on an assumption, not on new evidence.</w:t>
      </w:r>
    </w:p>
    <w:p w14:paraId="15A313E7" w14:textId="77777777" w:rsidR="00940B5F" w:rsidRDefault="00000000">
      <w:pPr>
        <w:pStyle w:val="ListBullet"/>
      </w:pPr>
      <w:r>
        <w:rPr>
          <w:b/>
        </w:rPr>
        <w:t xml:space="preserve">Komitas: </w:t>
      </w:r>
      <w:r>
        <w:t>the figures fall by almost half, while on-street absorption stays at 0% under either method, because there is no nearby unsurveyed kerb. A lower number here understates the problem.</w:t>
      </w:r>
    </w:p>
    <w:p w14:paraId="2C3F39E5" w14:textId="77777777" w:rsidR="00940B5F" w:rsidRDefault="00000000">
      <w:pPr>
        <w:pStyle w:val="ListBullet"/>
      </w:pPr>
      <w:r>
        <w:rPr>
          <w:b/>
        </w:rPr>
        <w:t xml:space="preserve">Pricing (Output 10): </w:t>
      </w:r>
      <w:r>
        <w:t>the case for raising prices loses much of its strength. No area reaches 85%, and outside Kentron only 5–32% of zones do. The argument holds mainly on Kentron's streets, where 60% of zones still reach the target.</w:t>
      </w:r>
    </w:p>
    <w:p w14:paraId="109CC9C8" w14:textId="77777777" w:rsidR="00940B5F" w:rsidRDefault="00000000">
      <w:pPr>
        <w:pStyle w:val="ListBullet"/>
      </w:pPr>
      <w:r>
        <w:rPr>
          <w:b/>
        </w:rPr>
        <w:t xml:space="preserve">Stay length and off-street: </w:t>
      </w:r>
      <w:r>
        <w:t>the average stay falls from 1.8 to 1.1 hours. Nalbandyan's off-street facility falls from 142% to 92%. Turnover is unchanged, because it counts parking events, not hours.</w:t>
      </w:r>
    </w:p>
    <w:sectPr w:rsidR="00940B5F" w:rsidSect="00034616">
      <w:pgSz w:w="11906" w:h="16838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65201">
    <w:abstractNumId w:val="8"/>
  </w:num>
  <w:num w:numId="2" w16cid:durableId="901601811">
    <w:abstractNumId w:val="6"/>
  </w:num>
  <w:num w:numId="3" w16cid:durableId="1170608856">
    <w:abstractNumId w:val="5"/>
  </w:num>
  <w:num w:numId="4" w16cid:durableId="1878859277">
    <w:abstractNumId w:val="4"/>
  </w:num>
  <w:num w:numId="5" w16cid:durableId="1677607197">
    <w:abstractNumId w:val="7"/>
  </w:num>
  <w:num w:numId="6" w16cid:durableId="845176156">
    <w:abstractNumId w:val="3"/>
  </w:num>
  <w:num w:numId="7" w16cid:durableId="1389961172">
    <w:abstractNumId w:val="2"/>
  </w:num>
  <w:num w:numId="8" w16cid:durableId="1909681079">
    <w:abstractNumId w:val="1"/>
  </w:num>
  <w:num w:numId="9" w16cid:durableId="78296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77"/>
    <w:rsid w:val="00034616"/>
    <w:rsid w:val="0006063C"/>
    <w:rsid w:val="0015074B"/>
    <w:rsid w:val="001E4F50"/>
    <w:rsid w:val="0029639D"/>
    <w:rsid w:val="00326F90"/>
    <w:rsid w:val="00940B5F"/>
    <w:rsid w:val="00AA1D8D"/>
    <w:rsid w:val="00B47730"/>
    <w:rsid w:val="00CB0664"/>
    <w:rsid w:val="00D95531"/>
    <w:rsid w:val="00F47F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63AE5"/>
  <w14:defaultImageDpi w14:val="300"/>
  <w15:docId w15:val="{8BB2DC21-600D-4A97-9A90-348FD5A52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Nikoloz Archvadze</cp:lastModifiedBy>
  <cp:revision>4</cp:revision>
  <dcterms:created xsi:type="dcterms:W3CDTF">2013-12-23T23:15:00Z</dcterms:created>
  <dcterms:modified xsi:type="dcterms:W3CDTF">2026-10-15T13:42:00Z</dcterms:modified>
  <cp:category/>
</cp:coreProperties>
</file>