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A4A"/>
          <w:sz w:val="34"/>
        </w:rPr>
        <w:t>How Much Car Travel Does the Corridor Itself Absorb?</w:t>
      </w:r>
    </w:p>
    <w:p>
      <w:r>
        <w:rPr>
          <w:i/>
          <w:color w:val="006D77"/>
          <w:sz w:val="21"/>
        </w:rPr>
        <w:t>Draft subchapter proposed for Output 10 — international evidence on BRT mode shift from the private car, with the timing of each measurement. Draft for review; not yet inserted into the report.</w:t>
      </w:r>
    </w:p>
    <w:tbl>
      <w:tblPr>
        <w:tblStyle w:val="TableGrid"/>
        <w:tblW w:type="auto" w:w="0"/>
        <w:tblLook w:firstColumn="1" w:firstRow="1" w:lastColumn="0" w:lastRow="0" w:noHBand="0" w:noVBand="1" w:val="04A0"/>
      </w:tblPr>
      <w:tblGrid>
        <w:gridCol w:w="4320"/>
        <w:gridCol w:w="4320"/>
      </w:tblGrid>
      <w:tr>
        <w:tc>
          <w:tcPr>
            <w:tcW w:type="dxa" w:w="2160"/>
          </w:tcPr>
          <w:p>
            <w:r/>
            <w:r>
              <w:rPr>
                <w:b/>
                <w:color w:val="142A4A"/>
                <w:sz w:val="18"/>
              </w:rPr>
              <w:t>Status</w:t>
            </w:r>
          </w:p>
        </w:tc>
        <w:tc>
          <w:tcPr>
            <w:tcW w:type="dxa" w:w="7488"/>
          </w:tcPr>
          <w:p>
            <w:r/>
            <w:r>
              <w:rPr>
                <w:sz w:val="18"/>
              </w:rPr>
              <w:t>DRAFT for client review. Proposed as a new subchapter under the mitigation measures discussion, supporting measure M0 (the corridor itself / modal shift).</w:t>
            </w:r>
          </w:p>
        </w:tc>
      </w:tr>
      <w:tr>
        <w:tc>
          <w:tcPr>
            <w:tcW w:type="dxa" w:w="2160"/>
          </w:tcPr>
          <w:p>
            <w:r/>
            <w:r>
              <w:rPr>
                <w:b/>
                <w:color w:val="142A4A"/>
                <w:sz w:val="18"/>
              </w:rPr>
              <w:t>Gap it closes</w:t>
            </w:r>
          </w:p>
        </w:tc>
        <w:tc>
          <w:tcPr>
            <w:tcW w:type="dxa" w:w="7488"/>
          </w:tcPr>
          <w:p>
            <w:r/>
            <w:r>
              <w:rPr>
                <w:sz w:val="18"/>
              </w:rPr>
              <w:t>Output 8, Output 10 and the Mitigation Measures Audit all frame the corridor and the commuter tail as a “BRT mode-shift opportunity” but attach no international figure to it. This supplies the figure — and its limits.</w:t>
            </w:r>
          </w:p>
        </w:tc>
      </w:tr>
      <w:tr>
        <w:tc>
          <w:tcPr>
            <w:tcW w:type="dxa" w:w="2160"/>
          </w:tcPr>
          <w:p>
            <w:r/>
            <w:r>
              <w:rPr>
                <w:b/>
                <w:color w:val="142A4A"/>
                <w:sz w:val="18"/>
              </w:rPr>
              <w:t>Evidence basis</w:t>
            </w:r>
          </w:p>
        </w:tc>
        <w:tc>
          <w:tcPr>
            <w:tcW w:type="dxa" w:w="7488"/>
          </w:tcPr>
          <w:p>
            <w:r/>
            <w:r>
              <w:rPr>
                <w:sz w:val="18"/>
              </w:rPr>
              <w:t>Structured review of 50 international sources (NotebookLM deep-research pass, 24 July 2026). Primary-source figures in Tables 1–3; unverified secondary figures quarantined in Table 4.</w:t>
            </w:r>
          </w:p>
        </w:tc>
      </w:tr>
      <w:tr>
        <w:tc>
          <w:tcPr>
            <w:tcW w:type="dxa" w:w="2160"/>
          </w:tcPr>
          <w:p>
            <w:r/>
            <w:r>
              <w:rPr>
                <w:b/>
                <w:color w:val="142A4A"/>
                <w:sz w:val="18"/>
              </w:rPr>
              <w:t>Bottom line</w:t>
            </w:r>
          </w:p>
        </w:tc>
        <w:tc>
          <w:tcPr>
            <w:tcW w:type="dxa" w:w="7488"/>
          </w:tcPr>
          <w:p>
            <w:r/>
            <w:r>
              <w:rPr>
                <w:sz w:val="18"/>
              </w:rPr>
              <w:t>Car diversion is real but modest, and is far lower where BRT mainly replaces existing bus and minibus services — which is Yerevan’s situation. The corridor should not be presented as a self-financing solution to displaced parking demand.</w:t>
            </w:r>
          </w:p>
        </w:tc>
      </w:tr>
    </w:tbl>
    <w:p>
      <w:pPr>
        <w:spacing w:before="200"/>
      </w:pPr>
      <w:r>
        <w:rPr>
          <w:b/>
          <w:color w:val="142A4A"/>
          <w:sz w:val="26"/>
        </w:rPr>
        <w:t>1. The question, and why the answer is not a single number</w:t>
      </w:r>
    </w:p>
    <w:p>
      <w:r>
        <w:t>The corridor itself is the primary mitigation measure in this strategy: if the BRT moves enough trips out of private cars, the parking removed along the alignment matters less, because part of the demand for it disappears rather than relocating. That proposition has so far been asserted rather than quantified. The international record allows it to be quantified — but only if three quite different measurements are kept apart, because they are routinely conflated in the literature and produce very different-looking numbers for the same corridor.</w:t>
      </w:r>
    </w:p>
    <w:p>
      <w:pPr>
        <w:pStyle w:val="ListBullet"/>
      </w:pPr>
      <w:r>
        <w:rPr>
          <w:b/>
        </w:rPr>
        <w:t xml:space="preserve">Rider previous-mode share — </w:t>
      </w:r>
      <w:r>
        <w:t>the share of BRT riders who report that they previously made the same trip by private car. This is the figure almost always quoted. It is a property of the riders, not of the city’s traffic.</w:t>
      </w:r>
    </w:p>
    <w:p>
      <w:pPr>
        <w:pStyle w:val="ListBullet"/>
      </w:pPr>
      <w:r>
        <w:rPr>
          <w:b/>
        </w:rPr>
        <w:t xml:space="preserve">Car mode-share change — </w:t>
      </w:r>
      <w:r>
        <w:t>the change in the share of all trips made by car, city-wide or corridor-wide, measured in percentage points by household or origin–destination survey. This is the policy-relevant figure and it is almost always much smaller.</w:t>
      </w:r>
    </w:p>
    <w:p>
      <w:pPr>
        <w:pStyle w:val="ListBullet"/>
      </w:pPr>
      <w:r>
        <w:rPr>
          <w:b/>
        </w:rPr>
        <w:t xml:space="preserve">Traffic-volume change — </w:t>
      </w:r>
      <w:r>
        <w:t>the change in vehicles counted on the corridor after opening. Objective, but it cannot distinguish drivers who switched to the bus from drivers who simply re-routed to a parallel street.</w:t>
      </w:r>
    </w:p>
    <w:p>
      <w:pPr>
        <w:ind w:left="216"/>
      </w:pPr>
      <w:r>
        <w:rPr>
          <w:b/>
          <w:color w:val="C02A2A"/>
          <w:sz w:val="19"/>
        </w:rPr>
        <w:t xml:space="preserve">Caveat. </w:t>
      </w:r>
      <w:r>
        <w:rPr>
          <w:i/>
          <w:color w:val="555555"/>
          <w:sz w:val="19"/>
        </w:rPr>
        <w:t>A corridor can show 25–30% of its riders as former car users while the city’s car mode share barely moves — because the BRT carries a small share of all city trips. Quoting a rider-survey percentage as though it were a reduction in car use is the single most common error in this literature, and the sources warn against it explicitly.</w:t>
      </w:r>
    </w:p>
    <w:p>
      <w:pPr>
        <w:spacing w:before="200"/>
      </w:pPr>
      <w:r>
        <w:rPr>
          <w:b/>
          <w:color w:val="142A4A"/>
          <w:sz w:val="26"/>
        </w:rPr>
        <w:t>2. European and high-car-ownership corridors</w:t>
      </w:r>
    </w:p>
    <w:p>
      <w:r>
        <w:t>These are the corridors most comparable to Yerevan in vehicle ownership and in the existence of a real car alternative, and they show the highest car-diversion figures in the record — broadly 5% to 29% of riders. The European BHLS corridors in particular are the precedent already invoked in Output 8’s displacement chapter.</w:t>
      </w:r>
    </w:p>
    <w:p>
      <w:pPr>
        <w:spacing w:before="160"/>
      </w:pPr>
      <w:r>
        <w:rPr>
          <w:b/>
          <w:color w:val="006D77"/>
          <w:sz w:val="19"/>
        </w:rPr>
        <w:t>Table 1 — Share of BRT riders who previously made the trip by private car: European and high-car-ownership corridors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42A4A"/>
          </w:tcPr>
          <w:p>
            <w:r/>
            <w:r>
              <w:rPr>
                <w:b/>
                <w:color w:val="FFFFFF"/>
                <w:sz w:val="17"/>
              </w:rPr>
              <w:t>City / corridor</w:t>
            </w:r>
          </w:p>
        </w:tc>
        <w:tc>
          <w:tcPr>
            <w:tcW w:type="dxa" w:w="1512"/>
            <w:shd w:val="clear" w:fill="142A4A"/>
          </w:tcPr>
          <w:p>
            <w:r/>
            <w:r>
              <w:rPr>
                <w:b/>
                <w:color w:val="FFFFFF"/>
                <w:sz w:val="17"/>
              </w:rPr>
              <w:t>Riders previously by car</w:t>
            </w:r>
          </w:p>
        </w:tc>
        <w:tc>
          <w:tcPr>
            <w:tcW w:type="dxa" w:w="3600"/>
            <w:shd w:val="clear" w:fill="142A4A"/>
          </w:tcPr>
          <w:p>
            <w:r/>
            <w:r>
              <w:rPr>
                <w:b/>
                <w:color w:val="FFFFFF"/>
                <w:sz w:val="17"/>
              </w:rPr>
              <w:t>When measured, relative to opening</w:t>
            </w:r>
          </w:p>
        </w:tc>
        <w:tc>
          <w:tcPr>
            <w:tcW w:type="dxa" w:w="1944"/>
            <w:shd w:val="clear" w:fill="142A4A"/>
          </w:tcPr>
          <w:p>
            <w:r/>
            <w:r>
              <w:rPr>
                <w:b/>
                <w:color w:val="FFFFFF"/>
                <w:sz w:val="17"/>
              </w:rPr>
              <w:t>Source</w:t>
            </w:r>
          </w:p>
        </w:tc>
      </w:tr>
      <w:tr>
        <w:tc>
          <w:tcPr>
            <w:tcW w:type="dxa" w:w="2736"/>
          </w:tcPr>
          <w:p>
            <w:r/>
            <w:r>
              <w:rPr>
                <w:sz w:val="17"/>
              </w:rPr>
              <w:t>Nantes, Busway Line 4 (France)</w:t>
            </w:r>
          </w:p>
        </w:tc>
        <w:tc>
          <w:tcPr>
            <w:tcW w:type="dxa" w:w="1512"/>
          </w:tcPr>
          <w:p>
            <w:r/>
            <w:r>
              <w:rPr>
                <w:sz w:val="17"/>
              </w:rPr>
              <w:t>29%</w:t>
            </w:r>
          </w:p>
        </w:tc>
        <w:tc>
          <w:tcPr>
            <w:tcW w:type="dxa" w:w="3600"/>
          </w:tcPr>
          <w:p>
            <w:r/>
            <w:r>
              <w:rPr>
                <w:sz w:val="17"/>
              </w:rPr>
              <w:t>Opened 2006; survey year not stated (figure cited in a 2010 report) — within ~4 years</w:t>
            </w:r>
          </w:p>
        </w:tc>
        <w:tc>
          <w:tcPr>
            <w:tcW w:type="dxa" w:w="1944"/>
          </w:tcPr>
          <w:p>
            <w:r/>
            <w:r>
              <w:rPr>
                <w:sz w:val="17"/>
              </w:rPr>
              <w:t>DTU international review</w:t>
            </w:r>
          </w:p>
        </w:tc>
      </w:tr>
      <w:tr>
        <w:tc>
          <w:tcPr>
            <w:tcW w:type="dxa" w:w="2736"/>
          </w:tcPr>
          <w:p>
            <w:r/>
            <w:r>
              <w:rPr>
                <w:sz w:val="17"/>
              </w:rPr>
              <w:t>Kent Thameside, Fastrack (UK)</w:t>
            </w:r>
          </w:p>
        </w:tc>
        <w:tc>
          <w:tcPr>
            <w:tcW w:type="dxa" w:w="1512"/>
          </w:tcPr>
          <w:p>
            <w:r/>
            <w:r>
              <w:rPr>
                <w:sz w:val="17"/>
              </w:rPr>
              <w:t>19%</w:t>
            </w:r>
          </w:p>
        </w:tc>
        <w:tc>
          <w:tcPr>
            <w:tcW w:type="dxa" w:w="3600"/>
          </w:tcPr>
          <w:p>
            <w:r/>
            <w:r>
              <w:rPr>
                <w:sz w:val="17"/>
              </w:rPr>
              <w:t>Not stated (figure cited in a 2011 review)</w:t>
            </w:r>
          </w:p>
        </w:tc>
        <w:tc>
          <w:tcPr>
            <w:tcW w:type="dxa" w:w="1944"/>
          </w:tcPr>
          <w:p>
            <w:r/>
            <w:r>
              <w:rPr>
                <w:sz w:val="17"/>
              </w:rPr>
              <w:t>DTU international review</w:t>
            </w:r>
          </w:p>
        </w:tc>
      </w:tr>
      <w:tr>
        <w:tc>
          <w:tcPr>
            <w:tcW w:type="dxa" w:w="2736"/>
          </w:tcPr>
          <w:p>
            <w:r/>
            <w:r>
              <w:rPr>
                <w:sz w:val="17"/>
              </w:rPr>
              <w:t>Dublin, Malahide QBC (Ireland)</w:t>
            </w:r>
          </w:p>
        </w:tc>
        <w:tc>
          <w:tcPr>
            <w:tcW w:type="dxa" w:w="1512"/>
          </w:tcPr>
          <w:p>
            <w:r/>
            <w:r>
              <w:rPr>
                <w:sz w:val="17"/>
              </w:rPr>
              <w:t>17%</w:t>
            </w:r>
          </w:p>
        </w:tc>
        <w:tc>
          <w:tcPr>
            <w:tcW w:type="dxa" w:w="3600"/>
          </w:tcPr>
          <w:p>
            <w:r/>
            <w:r>
              <w:rPr>
                <w:sz w:val="17"/>
              </w:rPr>
              <w:t>Survey 2002; opening year not stated</w:t>
            </w:r>
          </w:p>
        </w:tc>
        <w:tc>
          <w:tcPr>
            <w:tcW w:type="dxa" w:w="1944"/>
          </w:tcPr>
          <w:p>
            <w:r/>
            <w:r>
              <w:rPr>
                <w:sz w:val="17"/>
              </w:rPr>
              <w:t>DTU international review</w:t>
            </w:r>
          </w:p>
        </w:tc>
      </w:tr>
      <w:tr>
        <w:tc>
          <w:tcPr>
            <w:tcW w:type="dxa" w:w="2736"/>
          </w:tcPr>
          <w:p>
            <w:r/>
            <w:r>
              <w:rPr>
                <w:sz w:val="17"/>
              </w:rPr>
              <w:t>Madrid, Bus-VAO (Spain)</w:t>
            </w:r>
          </w:p>
        </w:tc>
        <w:tc>
          <w:tcPr>
            <w:tcW w:type="dxa" w:w="1512"/>
          </w:tcPr>
          <w:p>
            <w:r/>
            <w:r>
              <w:rPr>
                <w:sz w:val="17"/>
              </w:rPr>
              <w:t>15%</w:t>
            </w:r>
          </w:p>
        </w:tc>
        <w:tc>
          <w:tcPr>
            <w:tcW w:type="dxa" w:w="3600"/>
          </w:tcPr>
          <w:p>
            <w:r/>
            <w:r>
              <w:rPr>
                <w:sz w:val="17"/>
              </w:rPr>
              <w:t>Not stated</w:t>
            </w:r>
          </w:p>
        </w:tc>
        <w:tc>
          <w:tcPr>
            <w:tcW w:type="dxa" w:w="1944"/>
          </w:tcPr>
          <w:p>
            <w:r/>
            <w:r>
              <w:rPr>
                <w:sz w:val="17"/>
              </w:rPr>
              <w:t>DTU international review</w:t>
            </w:r>
          </w:p>
        </w:tc>
      </w:tr>
      <w:tr>
        <w:tc>
          <w:tcPr>
            <w:tcW w:type="dxa" w:w="2736"/>
          </w:tcPr>
          <w:p>
            <w:r/>
            <w:r>
              <w:rPr>
                <w:sz w:val="17"/>
              </w:rPr>
              <w:t>Helsinki, Jokeri line (Finland)</w:t>
            </w:r>
          </w:p>
        </w:tc>
        <w:tc>
          <w:tcPr>
            <w:tcW w:type="dxa" w:w="1512"/>
          </w:tcPr>
          <w:p>
            <w:r/>
            <w:r>
              <w:rPr>
                <w:sz w:val="17"/>
              </w:rPr>
              <w:t>12%</w:t>
            </w:r>
          </w:p>
        </w:tc>
        <w:tc>
          <w:tcPr>
            <w:tcW w:type="dxa" w:w="3600"/>
          </w:tcPr>
          <w:p>
            <w:r/>
            <w:r>
              <w:rPr>
                <w:sz w:val="17"/>
              </w:rPr>
              <w:t>Not stated (figure cited in a 2011 review)</w:t>
            </w:r>
          </w:p>
        </w:tc>
        <w:tc>
          <w:tcPr>
            <w:tcW w:type="dxa" w:w="1944"/>
          </w:tcPr>
          <w:p>
            <w:r/>
            <w:r>
              <w:rPr>
                <w:sz w:val="17"/>
              </w:rPr>
              <w:t>DTU international review</w:t>
            </w:r>
          </w:p>
        </w:tc>
      </w:tr>
      <w:tr>
        <w:tc>
          <w:tcPr>
            <w:tcW w:type="dxa" w:w="2736"/>
          </w:tcPr>
          <w:p>
            <w:r/>
            <w:r>
              <w:rPr>
                <w:sz w:val="17"/>
              </w:rPr>
              <w:t>Beijing, BRT Line 1 (China)</w:t>
            </w:r>
          </w:p>
        </w:tc>
        <w:tc>
          <w:tcPr>
            <w:tcW w:type="dxa" w:w="1512"/>
          </w:tcPr>
          <w:p>
            <w:r/>
            <w:r>
              <w:rPr>
                <w:sz w:val="17"/>
              </w:rPr>
              <w:t>12%</w:t>
            </w:r>
          </w:p>
        </w:tc>
        <w:tc>
          <w:tcPr>
            <w:tcW w:type="dxa" w:w="3600"/>
          </w:tcPr>
          <w:p>
            <w:r/>
            <w:r>
              <w:rPr>
                <w:sz w:val="17"/>
              </w:rPr>
              <w:t>Opened 2004; survey year not stated (cited in 2012–13 reviews)</w:t>
            </w:r>
          </w:p>
        </w:tc>
        <w:tc>
          <w:tcPr>
            <w:tcW w:type="dxa" w:w="1944"/>
          </w:tcPr>
          <w:p>
            <w:r/>
            <w:r>
              <w:rPr>
                <w:sz w:val="17"/>
              </w:rPr>
              <w:t>DTU international review</w:t>
            </w:r>
          </w:p>
        </w:tc>
      </w:tr>
      <w:tr>
        <w:tc>
          <w:tcPr>
            <w:tcW w:type="dxa" w:w="2736"/>
          </w:tcPr>
          <w:p>
            <w:r/>
            <w:r>
              <w:rPr>
                <w:sz w:val="17"/>
              </w:rPr>
              <w:t>Paris, Trans-Val-de-Marne (France)</w:t>
            </w:r>
          </w:p>
        </w:tc>
        <w:tc>
          <w:tcPr>
            <w:tcW w:type="dxa" w:w="1512"/>
          </w:tcPr>
          <w:p>
            <w:r/>
            <w:r>
              <w:rPr>
                <w:sz w:val="17"/>
              </w:rPr>
              <w:t>8%</w:t>
            </w:r>
          </w:p>
        </w:tc>
        <w:tc>
          <w:tcPr>
            <w:tcW w:type="dxa" w:w="3600"/>
          </w:tcPr>
          <w:p>
            <w:r/>
            <w:r>
              <w:rPr>
                <w:sz w:val="17"/>
              </w:rPr>
              <w:t>Opened 1993; survey year not stated</w:t>
            </w:r>
          </w:p>
        </w:tc>
        <w:tc>
          <w:tcPr>
            <w:tcW w:type="dxa" w:w="1944"/>
          </w:tcPr>
          <w:p>
            <w:r/>
            <w:r>
              <w:rPr>
                <w:sz w:val="17"/>
              </w:rPr>
              <w:t>DTU international review</w:t>
            </w:r>
          </w:p>
        </w:tc>
      </w:tr>
      <w:tr>
        <w:tc>
          <w:tcPr>
            <w:tcW w:type="dxa" w:w="2736"/>
          </w:tcPr>
          <w:p>
            <w:r/>
            <w:r>
              <w:rPr>
                <w:sz w:val="17"/>
              </w:rPr>
              <w:t>Istanbul, Metrobüs (Türkiye)</w:t>
            </w:r>
          </w:p>
        </w:tc>
        <w:tc>
          <w:tcPr>
            <w:tcW w:type="dxa" w:w="1512"/>
          </w:tcPr>
          <w:p>
            <w:r/>
            <w:r>
              <w:rPr>
                <w:sz w:val="17"/>
              </w:rPr>
              <w:t>4–9%</w:t>
            </w:r>
          </w:p>
        </w:tc>
        <w:tc>
          <w:tcPr>
            <w:tcW w:type="dxa" w:w="3600"/>
          </w:tcPr>
          <w:p>
            <w:r/>
            <w:r>
              <w:rPr>
                <w:sz w:val="17"/>
              </w:rPr>
              <w:t>Opened 2007; survey 2012 — about 5 years after opening</w:t>
            </w:r>
          </w:p>
        </w:tc>
        <w:tc>
          <w:tcPr>
            <w:tcW w:type="dxa" w:w="1944"/>
          </w:tcPr>
          <w:p>
            <w:r/>
            <w:r>
              <w:rPr>
                <w:sz w:val="17"/>
              </w:rPr>
              <w:t>DTU international review (Alpkokin &amp; Ergun, 2012)</w:t>
            </w:r>
          </w:p>
        </w:tc>
      </w:tr>
      <w:tr>
        <w:tc>
          <w:tcPr>
            <w:tcW w:type="dxa" w:w="2736"/>
          </w:tcPr>
          <w:p>
            <w:r/>
            <w:r>
              <w:rPr>
                <w:sz w:val="17"/>
              </w:rPr>
              <w:t>Stockholm, Stombuss (Sweden)</w:t>
            </w:r>
          </w:p>
        </w:tc>
        <w:tc>
          <w:tcPr>
            <w:tcW w:type="dxa" w:w="1512"/>
          </w:tcPr>
          <w:p>
            <w:r/>
            <w:r>
              <w:rPr>
                <w:sz w:val="17"/>
              </w:rPr>
              <w:t>5%</w:t>
            </w:r>
          </w:p>
        </w:tc>
        <w:tc>
          <w:tcPr>
            <w:tcW w:type="dxa" w:w="3600"/>
          </w:tcPr>
          <w:p>
            <w:r/>
            <w:r>
              <w:rPr>
                <w:sz w:val="17"/>
              </w:rPr>
              <w:t>Not stated (figure cited in a 2011 review)</w:t>
            </w:r>
          </w:p>
        </w:tc>
        <w:tc>
          <w:tcPr>
            <w:tcW w:type="dxa" w:w="1944"/>
          </w:tcPr>
          <w:p>
            <w:r/>
            <w:r>
              <w:rPr>
                <w:sz w:val="17"/>
              </w:rPr>
              <w:t>DTU international review</w:t>
            </w:r>
          </w:p>
        </w:tc>
      </w:tr>
    </w:tbl>
    <w:p>
      <w:r>
        <w:rPr>
          <w:i/>
          <w:color w:val="555555"/>
          <w:sz w:val="16"/>
        </w:rPr>
        <w:t>Source: “Effects of new bus and rail rapid transit systems – an international review” (Technical University of Denmark, peer-reviewed). All figures are self-reported previous mode from rider surveys.</w:t>
      </w:r>
    </w:p>
    <w:p>
      <w:pPr>
        <w:ind w:left="216"/>
      </w:pPr>
      <w:r>
        <w:rPr>
          <w:b/>
          <w:color w:val="C02A2A"/>
          <w:sz w:val="19"/>
        </w:rPr>
        <w:t xml:space="preserve">Caveat. </w:t>
      </w:r>
      <w:r>
        <w:rPr>
          <w:i/>
          <w:color w:val="555555"/>
          <w:sz w:val="19"/>
        </w:rPr>
        <w:t>Istanbul is the nearest regional comparator and the most cautionary entry in this table: 4–9%, measured five years after opening, on a corridor with far higher ridership than Yerevan’s will carry. A second source in the review set reports 40% for Istanbul; that figure appears only in a secondary table and is irreconcilable with the peer-reviewed value. It should not be used.</w:t>
      </w:r>
    </w:p>
    <w:p>
      <w:pPr>
        <w:spacing w:before="200"/>
      </w:pPr>
      <w:r>
        <w:rPr>
          <w:b/>
          <w:color w:val="142A4A"/>
          <w:sz w:val="26"/>
        </w:rPr>
        <w:t>3. North American corridors — the effect of survey timing</w:t>
      </w:r>
    </w:p>
    <w:p>
      <w:r>
        <w:t>The United States evaluations matter less for their absolute values than for what they show about timing: they were carried out on a consistent onboard-survey method, and the interval between opening and survey is documented in every case. They cluster in a narrow band of roughly 15% to 25% regardless of whether the survey ran three months or six years after opening.</w:t>
      </w:r>
    </w:p>
    <w:p>
      <w:pPr>
        <w:spacing w:before="160"/>
      </w:pPr>
      <w:r>
        <w:rPr>
          <w:b/>
          <w:color w:val="006D77"/>
          <w:sz w:val="19"/>
        </w:rPr>
        <w:t>Table 2 — Share of BRT riders who previously made the trip by private car: US onboard surveys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42A4A"/>
          </w:tcPr>
          <w:p>
            <w:r/>
            <w:r>
              <w:rPr>
                <w:b/>
                <w:color w:val="FFFFFF"/>
                <w:sz w:val="17"/>
              </w:rPr>
              <w:t>City / corridor</w:t>
            </w:r>
          </w:p>
        </w:tc>
        <w:tc>
          <w:tcPr>
            <w:tcW w:type="dxa" w:w="1944"/>
            <w:shd w:val="clear" w:fill="142A4A"/>
          </w:tcPr>
          <w:p>
            <w:r/>
            <w:r>
              <w:rPr>
                <w:b/>
                <w:color w:val="FFFFFF"/>
                <w:sz w:val="17"/>
              </w:rPr>
              <w:t>Riders previously by car</w:t>
            </w:r>
          </w:p>
        </w:tc>
        <w:tc>
          <w:tcPr>
            <w:tcW w:type="dxa" w:w="3672"/>
            <w:shd w:val="clear" w:fill="142A4A"/>
          </w:tcPr>
          <w:p>
            <w:r/>
            <w:r>
              <w:rPr>
                <w:b/>
                <w:color w:val="FFFFFF"/>
                <w:sz w:val="17"/>
              </w:rPr>
              <w:t>When measured, relative to opening</w:t>
            </w:r>
          </w:p>
        </w:tc>
        <w:tc>
          <w:tcPr>
            <w:tcW w:type="dxa" w:w="1224"/>
            <w:shd w:val="clear" w:fill="142A4A"/>
          </w:tcPr>
          <w:p>
            <w:r/>
            <w:r>
              <w:rPr>
                <w:b/>
                <w:color w:val="FFFFFF"/>
                <w:sz w:val="17"/>
              </w:rPr>
              <w:t>Survey year</w:t>
            </w:r>
          </w:p>
        </w:tc>
      </w:tr>
      <w:tr>
        <w:tc>
          <w:tcPr>
            <w:tcW w:type="dxa" w:w="2736"/>
          </w:tcPr>
          <w:p>
            <w:r/>
            <w:r>
              <w:rPr>
                <w:sz w:val="17"/>
              </w:rPr>
              <w:t>Los Angeles, Orange Line</w:t>
            </w:r>
          </w:p>
        </w:tc>
        <w:tc>
          <w:tcPr>
            <w:tcW w:type="dxa" w:w="1944"/>
          </w:tcPr>
          <w:p>
            <w:r/>
            <w:r>
              <w:rPr>
                <w:sz w:val="17"/>
              </w:rPr>
              <w:t>16.9% (drive alone)</w:t>
            </w:r>
          </w:p>
        </w:tc>
        <w:tc>
          <w:tcPr>
            <w:tcW w:type="dxa" w:w="3672"/>
          </w:tcPr>
          <w:p>
            <w:r/>
            <w:r>
              <w:rPr>
                <w:sz w:val="17"/>
              </w:rPr>
              <w:t>Opened Oct 2005; surveyed Jan 2006 — 3 months after opening</w:t>
            </w:r>
          </w:p>
        </w:tc>
        <w:tc>
          <w:tcPr>
            <w:tcW w:type="dxa" w:w="1224"/>
          </w:tcPr>
          <w:p>
            <w:r/>
            <w:r>
              <w:rPr>
                <w:sz w:val="17"/>
              </w:rPr>
              <w:t>2006</w:t>
            </w:r>
          </w:p>
        </w:tc>
      </w:tr>
      <w:tr>
        <w:tc>
          <w:tcPr>
            <w:tcW w:type="dxa" w:w="2736"/>
          </w:tcPr>
          <w:p>
            <w:r/>
            <w:r>
              <w:rPr>
                <w:sz w:val="17"/>
              </w:rPr>
              <w:t>Los Angeles, Orange Line</w:t>
            </w:r>
          </w:p>
        </w:tc>
        <w:tc>
          <w:tcPr>
            <w:tcW w:type="dxa" w:w="1944"/>
          </w:tcPr>
          <w:p>
            <w:r/>
            <w:r>
              <w:rPr>
                <w:sz w:val="17"/>
              </w:rPr>
              <w:t>25% (16% alone + 9% carpool)</w:t>
            </w:r>
          </w:p>
        </w:tc>
        <w:tc>
          <w:tcPr>
            <w:tcW w:type="dxa" w:w="3672"/>
          </w:tcPr>
          <w:p>
            <w:r/>
            <w:r>
              <w:rPr>
                <w:sz w:val="17"/>
              </w:rPr>
              <w:t>Same corridor, surveyed Jun 2009 — nearly 4 years after opening</w:t>
            </w:r>
          </w:p>
        </w:tc>
        <w:tc>
          <w:tcPr>
            <w:tcW w:type="dxa" w:w="1224"/>
          </w:tcPr>
          <w:p>
            <w:r/>
            <w:r>
              <w:rPr>
                <w:sz w:val="17"/>
              </w:rPr>
              <w:t>2009</w:t>
            </w:r>
          </w:p>
        </w:tc>
      </w:tr>
      <w:tr>
        <w:tc>
          <w:tcPr>
            <w:tcW w:type="dxa" w:w="2736"/>
          </w:tcPr>
          <w:p>
            <w:r/>
            <w:r>
              <w:rPr>
                <w:sz w:val="17"/>
              </w:rPr>
              <w:t>Oakland, San Pablo Rapid</w:t>
            </w:r>
          </w:p>
        </w:tc>
        <w:tc>
          <w:tcPr>
            <w:tcW w:type="dxa" w:w="1944"/>
          </w:tcPr>
          <w:p>
            <w:r/>
            <w:r>
              <w:rPr>
                <w:sz w:val="17"/>
              </w:rPr>
              <w:t>24.3%</w:t>
            </w:r>
          </w:p>
        </w:tc>
        <w:tc>
          <w:tcPr>
            <w:tcW w:type="dxa" w:w="3672"/>
          </w:tcPr>
          <w:p>
            <w:r/>
            <w:r>
              <w:rPr>
                <w:sz w:val="17"/>
              </w:rPr>
              <w:t>Opened Jun 2003; surveyed 2004 — about 1 year after opening</w:t>
            </w:r>
          </w:p>
        </w:tc>
        <w:tc>
          <w:tcPr>
            <w:tcW w:type="dxa" w:w="1224"/>
          </w:tcPr>
          <w:p>
            <w:r/>
            <w:r>
              <w:rPr>
                <w:sz w:val="17"/>
              </w:rPr>
              <w:t>2004</w:t>
            </w:r>
          </w:p>
        </w:tc>
      </w:tr>
      <w:tr>
        <w:tc>
          <w:tcPr>
            <w:tcW w:type="dxa" w:w="2736"/>
          </w:tcPr>
          <w:p>
            <w:r/>
            <w:r>
              <w:rPr>
                <w:sz w:val="17"/>
              </w:rPr>
              <w:t>Kansas City, MAX</w:t>
            </w:r>
          </w:p>
        </w:tc>
        <w:tc>
          <w:tcPr>
            <w:tcW w:type="dxa" w:w="1944"/>
          </w:tcPr>
          <w:p>
            <w:r/>
            <w:r>
              <w:rPr>
                <w:sz w:val="17"/>
              </w:rPr>
              <w:t>24.3%</w:t>
            </w:r>
          </w:p>
        </w:tc>
        <w:tc>
          <w:tcPr>
            <w:tcW w:type="dxa" w:w="3672"/>
          </w:tcPr>
          <w:p>
            <w:r/>
            <w:r>
              <w:rPr>
                <w:sz w:val="17"/>
              </w:rPr>
              <w:t>Opening year not stated in sources</w:t>
            </w:r>
          </w:p>
        </w:tc>
        <w:tc>
          <w:tcPr>
            <w:tcW w:type="dxa" w:w="1224"/>
          </w:tcPr>
          <w:p>
            <w:r/>
            <w:r>
              <w:rPr>
                <w:sz w:val="17"/>
              </w:rPr>
              <w:t>2005</w:t>
            </w:r>
          </w:p>
        </w:tc>
      </w:tr>
      <w:tr>
        <w:tc>
          <w:tcPr>
            <w:tcW w:type="dxa" w:w="2736"/>
          </w:tcPr>
          <w:p>
            <w:r/>
            <w:r>
              <w:rPr>
                <w:sz w:val="17"/>
              </w:rPr>
              <w:t>Boston, Silver Line Waterfront</w:t>
            </w:r>
          </w:p>
        </w:tc>
        <w:tc>
          <w:tcPr>
            <w:tcW w:type="dxa" w:w="1944"/>
          </w:tcPr>
          <w:p>
            <w:r/>
            <w:r>
              <w:rPr>
                <w:sz w:val="17"/>
              </w:rPr>
              <w:t>22.1%</w:t>
            </w:r>
          </w:p>
        </w:tc>
        <w:tc>
          <w:tcPr>
            <w:tcW w:type="dxa" w:w="3672"/>
          </w:tcPr>
          <w:p>
            <w:r/>
            <w:r>
              <w:rPr>
                <w:sz w:val="17"/>
              </w:rPr>
              <w:t>Opened 2004; surveyed 2006 — about 2 years after opening</w:t>
            </w:r>
          </w:p>
        </w:tc>
        <w:tc>
          <w:tcPr>
            <w:tcW w:type="dxa" w:w="1224"/>
          </w:tcPr>
          <w:p>
            <w:r/>
            <w:r>
              <w:rPr>
                <w:sz w:val="17"/>
              </w:rPr>
              <w:t>2006</w:t>
            </w:r>
          </w:p>
        </w:tc>
      </w:tr>
      <w:tr>
        <w:tc>
          <w:tcPr>
            <w:tcW w:type="dxa" w:w="2736"/>
          </w:tcPr>
          <w:p>
            <w:r/>
            <w:r>
              <w:rPr>
                <w:sz w:val="17"/>
              </w:rPr>
              <w:t>Miami, South Miami-Dade Busway</w:t>
            </w:r>
          </w:p>
        </w:tc>
        <w:tc>
          <w:tcPr>
            <w:tcW w:type="dxa" w:w="1944"/>
          </w:tcPr>
          <w:p>
            <w:r/>
            <w:r>
              <w:rPr>
                <w:sz w:val="17"/>
              </w:rPr>
              <w:t>20.8%</w:t>
            </w:r>
          </w:p>
        </w:tc>
        <w:tc>
          <w:tcPr>
            <w:tcW w:type="dxa" w:w="3672"/>
          </w:tcPr>
          <w:p>
            <w:r/>
            <w:r>
              <w:rPr>
                <w:sz w:val="17"/>
              </w:rPr>
              <w:t>Opened 1997; surveyed 2003 — about 6 years after opening</w:t>
            </w:r>
          </w:p>
        </w:tc>
        <w:tc>
          <w:tcPr>
            <w:tcW w:type="dxa" w:w="1224"/>
          </w:tcPr>
          <w:p>
            <w:r/>
            <w:r>
              <w:rPr>
                <w:sz w:val="17"/>
              </w:rPr>
              <w:t>2003</w:t>
            </w:r>
          </w:p>
        </w:tc>
      </w:tr>
      <w:tr>
        <w:tc>
          <w:tcPr>
            <w:tcW w:type="dxa" w:w="2736"/>
          </w:tcPr>
          <w:p>
            <w:r/>
            <w:r>
              <w:rPr>
                <w:sz w:val="17"/>
              </w:rPr>
              <w:t>Las Vegas, MAX</w:t>
            </w:r>
          </w:p>
        </w:tc>
        <w:tc>
          <w:tcPr>
            <w:tcW w:type="dxa" w:w="1944"/>
          </w:tcPr>
          <w:p>
            <w:r/>
            <w:r>
              <w:rPr>
                <w:sz w:val="17"/>
              </w:rPr>
              <w:t>18.5%</w:t>
            </w:r>
          </w:p>
        </w:tc>
        <w:tc>
          <w:tcPr>
            <w:tcW w:type="dxa" w:w="3672"/>
          </w:tcPr>
          <w:p>
            <w:r/>
            <w:r>
              <w:rPr>
                <w:sz w:val="17"/>
              </w:rPr>
              <w:t>Opening year not stated in sources</w:t>
            </w:r>
          </w:p>
        </w:tc>
        <w:tc>
          <w:tcPr>
            <w:tcW w:type="dxa" w:w="1224"/>
          </w:tcPr>
          <w:p>
            <w:r/>
            <w:r>
              <w:rPr>
                <w:sz w:val="17"/>
              </w:rPr>
              <w:t>2005</w:t>
            </w:r>
          </w:p>
        </w:tc>
      </w:tr>
      <w:tr>
        <w:tc>
          <w:tcPr>
            <w:tcW w:type="dxa" w:w="2736"/>
          </w:tcPr>
          <w:p>
            <w:r/>
            <w:r>
              <w:rPr>
                <w:sz w:val="17"/>
              </w:rPr>
              <w:t>Cleveland, HealthLine</w:t>
            </w:r>
          </w:p>
        </w:tc>
        <w:tc>
          <w:tcPr>
            <w:tcW w:type="dxa" w:w="1944"/>
          </w:tcPr>
          <w:p>
            <w:r/>
            <w:r>
              <w:rPr>
                <w:sz w:val="17"/>
              </w:rPr>
              <w:t>17.5%</w:t>
            </w:r>
          </w:p>
        </w:tc>
        <w:tc>
          <w:tcPr>
            <w:tcW w:type="dxa" w:w="3672"/>
          </w:tcPr>
          <w:p>
            <w:r/>
            <w:r>
              <w:rPr>
                <w:sz w:val="17"/>
              </w:rPr>
              <w:t>Opened 2008; surveyed 2009 — about 1 year after opening</w:t>
            </w:r>
          </w:p>
        </w:tc>
        <w:tc>
          <w:tcPr>
            <w:tcW w:type="dxa" w:w="1224"/>
          </w:tcPr>
          <w:p>
            <w:r/>
            <w:r>
              <w:rPr>
                <w:sz w:val="17"/>
              </w:rPr>
              <w:t>2009</w:t>
            </w:r>
          </w:p>
        </w:tc>
      </w:tr>
      <w:tr>
        <w:tc>
          <w:tcPr>
            <w:tcW w:type="dxa" w:w="2736"/>
          </w:tcPr>
          <w:p>
            <w:r/>
            <w:r>
              <w:rPr>
                <w:sz w:val="17"/>
              </w:rPr>
              <w:t>Eugene, EmX Franklin corridor</w:t>
            </w:r>
          </w:p>
        </w:tc>
        <w:tc>
          <w:tcPr>
            <w:tcW w:type="dxa" w:w="1944"/>
          </w:tcPr>
          <w:p>
            <w:r/>
            <w:r>
              <w:rPr>
                <w:sz w:val="17"/>
              </w:rPr>
              <w:t>15.6%</w:t>
            </w:r>
          </w:p>
        </w:tc>
        <w:tc>
          <w:tcPr>
            <w:tcW w:type="dxa" w:w="3672"/>
          </w:tcPr>
          <w:p>
            <w:r/>
            <w:r>
              <w:rPr>
                <w:sz w:val="17"/>
              </w:rPr>
              <w:t>Opened Jan 2007; surveyed 2008 — about 1 year after opening</w:t>
            </w:r>
          </w:p>
        </w:tc>
        <w:tc>
          <w:tcPr>
            <w:tcW w:type="dxa" w:w="1224"/>
          </w:tcPr>
          <w:p>
            <w:r/>
            <w:r>
              <w:rPr>
                <w:sz w:val="17"/>
              </w:rPr>
              <w:t>2008</w:t>
            </w:r>
          </w:p>
        </w:tc>
      </w:tr>
    </w:tbl>
    <w:p>
      <w:r>
        <w:rPr>
          <w:i/>
          <w:color w:val="555555"/>
          <w:sz w:val="16"/>
        </w:rPr>
        <w:t>Source: Federal Transit Administration, “Metro Orange Line BRT Project Evaluation” (FTA Report No. 0004), consolidated onboard-survey table. Boston figure corroborated by the FTA Boston Silver Line report.</w:t>
      </w:r>
    </w:p>
    <w:p>
      <w:r>
        <w:rPr>
          <w:b/>
          <w:color w:val="142A4A"/>
        </w:rPr>
        <w:t xml:space="preserve">On durability. </w:t>
      </w:r>
      <w:r>
        <w:t>The two Los Angeles rows are the only true before-and-after pair in the record, and they are worth reading carefully rather than as a trend. Drive-alone diversion was 16.9% at three months and 16% at four years — essentially unchanged; the higher 2009 headline is explained by the later survey also counting former carpool passengers. The honest reading is that car diversion on this corridor was stable over four years, not that it grew.</w:t>
      </w:r>
    </w:p>
    <w:p>
      <w:pPr>
        <w:spacing w:before="200"/>
      </w:pPr>
      <w:r>
        <w:rPr>
          <w:b/>
          <w:color w:val="142A4A"/>
          <w:sz w:val="26"/>
        </w:rPr>
        <w:t>4. Cities where BRT replaces existing bus and minibus services</w:t>
      </w:r>
    </w:p>
    <w:p>
      <w:r>
        <w:t>This is the decisive group for Yerevan. Where a BRT is built over an existing dense bus or minibus network, the overwhelming majority of its riders transfer from those services, and car diversion collapses to low single digits — not because the BRT is worse, but because the people it carries were never in cars to begin with.</w:t>
      </w:r>
    </w:p>
    <w:p>
      <w:pPr>
        <w:spacing w:before="160"/>
      </w:pPr>
      <w:r>
        <w:rPr>
          <w:b/>
          <w:color w:val="006D77"/>
          <w:sz w:val="19"/>
        </w:rPr>
        <w:t>Table 3 — Car diversion and previous-mode composition where BRT replaces existing bus / paratransit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20"/>
            <w:shd w:val="clear" w:fill="142A4A"/>
          </w:tcPr>
          <w:p>
            <w:r/>
            <w:r>
              <w:rPr>
                <w:b/>
                <w:color w:val="FFFFFF"/>
                <w:sz w:val="17"/>
              </w:rPr>
              <w:t>City / corridor</w:t>
            </w:r>
          </w:p>
        </w:tc>
        <w:tc>
          <w:tcPr>
            <w:tcW w:type="dxa" w:w="1872"/>
            <w:shd w:val="clear" w:fill="142A4A"/>
          </w:tcPr>
          <w:p>
            <w:r/>
            <w:r>
              <w:rPr>
                <w:b/>
                <w:color w:val="FFFFFF"/>
                <w:sz w:val="17"/>
              </w:rPr>
              <w:t>Riders previously by car</w:t>
            </w:r>
          </w:p>
        </w:tc>
        <w:tc>
          <w:tcPr>
            <w:tcW w:type="dxa" w:w="3096"/>
            <w:shd w:val="clear" w:fill="142A4A"/>
          </w:tcPr>
          <w:p>
            <w:r/>
            <w:r>
              <w:rPr>
                <w:b/>
                <w:color w:val="FFFFFF"/>
                <w:sz w:val="17"/>
              </w:rPr>
              <w:t>When measured, relative to opening</w:t>
            </w:r>
          </w:p>
        </w:tc>
        <w:tc>
          <w:tcPr>
            <w:tcW w:type="dxa" w:w="2304"/>
            <w:shd w:val="clear" w:fill="142A4A"/>
          </w:tcPr>
          <w:p>
            <w:r/>
            <w:r>
              <w:rPr>
                <w:b/>
                <w:color w:val="FFFFFF"/>
                <w:sz w:val="17"/>
              </w:rPr>
              <w:t>Where the riders actually came from</w:t>
            </w:r>
          </w:p>
        </w:tc>
      </w:tr>
      <w:tr>
        <w:tc>
          <w:tcPr>
            <w:tcW w:type="dxa" w:w="2520"/>
          </w:tcPr>
          <w:p>
            <w:r/>
            <w:r>
              <w:rPr>
                <w:sz w:val="17"/>
              </w:rPr>
              <w:t>Bogotá, TransMilenio (Colombia)</w:t>
            </w:r>
          </w:p>
        </w:tc>
        <w:tc>
          <w:tcPr>
            <w:tcW w:type="dxa" w:w="1872"/>
          </w:tcPr>
          <w:p>
            <w:r/>
            <w:r>
              <w:rPr>
                <w:sz w:val="17"/>
              </w:rPr>
              <w:t>9%</w:t>
            </w:r>
          </w:p>
        </w:tc>
        <w:tc>
          <w:tcPr>
            <w:tcW w:type="dxa" w:w="3096"/>
          </w:tcPr>
          <w:p>
            <w:r/>
            <w:r>
              <w:rPr>
                <w:sz w:val="17"/>
              </w:rPr>
              <w:t>Opened Dec 2000; rider survey 2005 — about 5 years after opening</w:t>
            </w:r>
          </w:p>
        </w:tc>
        <w:tc>
          <w:tcPr>
            <w:tcW w:type="dxa" w:w="2304"/>
          </w:tcPr>
          <w:p>
            <w:r/>
            <w:r>
              <w:rPr>
                <w:sz w:val="17"/>
              </w:rPr>
              <w:t>City-wide private-vehicle trip share fell 18% → 11%, 1999–2005</w:t>
            </w:r>
          </w:p>
        </w:tc>
      </w:tr>
      <w:tr>
        <w:tc>
          <w:tcPr>
            <w:tcW w:type="dxa" w:w="2520"/>
          </w:tcPr>
          <w:p>
            <w:r/>
            <w:r>
              <w:rPr>
                <w:sz w:val="17"/>
              </w:rPr>
              <w:t>Bogotá, TransMilenio corridor</w:t>
            </w:r>
          </w:p>
        </w:tc>
        <w:tc>
          <w:tcPr>
            <w:tcW w:type="dxa" w:w="1872"/>
          </w:tcPr>
          <w:p>
            <w:r/>
            <w:r>
              <w:rPr>
                <w:sz w:val="17"/>
              </w:rPr>
              <w:t>~10% of corridor trips</w:t>
            </w:r>
          </w:p>
        </w:tc>
        <w:tc>
          <w:tcPr>
            <w:tcW w:type="dxa" w:w="3096"/>
          </w:tcPr>
          <w:p>
            <w:r/>
            <w:r>
              <w:rPr>
                <w:sz w:val="17"/>
              </w:rPr>
              <w:t>Corridor study 2001 — about 1 year after opening</w:t>
            </w:r>
          </w:p>
        </w:tc>
        <w:tc>
          <w:tcPr>
            <w:tcW w:type="dxa" w:w="2304"/>
          </w:tcPr>
          <w:p>
            <w:r/>
            <w:r>
              <w:rPr>
                <w:sz w:val="17"/>
              </w:rPr>
              <w:t>Trips that would otherwise have been made by private vehicle</w:t>
            </w:r>
          </w:p>
        </w:tc>
      </w:tr>
      <w:tr>
        <w:tc>
          <w:tcPr>
            <w:tcW w:type="dxa" w:w="2520"/>
          </w:tcPr>
          <w:p>
            <w:r/>
            <w:r>
              <w:rPr>
                <w:sz w:val="17"/>
              </w:rPr>
              <w:t>Jakarta, TransJakarta Corridor 1</w:t>
            </w:r>
          </w:p>
        </w:tc>
        <w:tc>
          <w:tcPr>
            <w:tcW w:type="dxa" w:w="1872"/>
          </w:tcPr>
          <w:p>
            <w:r/>
            <w:r>
              <w:rPr>
                <w:sz w:val="17"/>
              </w:rPr>
              <w:t>14% from cars (20% from all private motorised modes)</w:t>
            </w:r>
          </w:p>
        </w:tc>
        <w:tc>
          <w:tcPr>
            <w:tcW w:type="dxa" w:w="3096"/>
          </w:tcPr>
          <w:p>
            <w:r/>
            <w:r>
              <w:rPr>
                <w:sz w:val="17"/>
              </w:rPr>
              <w:t>Opened Jan 2004; surveyed early 2004 — less than 1 year after opening</w:t>
            </w:r>
          </w:p>
        </w:tc>
        <w:tc>
          <w:tcPr>
            <w:tcW w:type="dxa" w:w="2304"/>
          </w:tcPr>
          <w:p>
            <w:r/>
            <w:r>
              <w:rPr>
                <w:sz w:val="17"/>
              </w:rPr>
              <w:t>35% from non-AC buses, 32% from AC buses, 6% from motorcycles (n = 320)</w:t>
            </w:r>
          </w:p>
        </w:tc>
      </w:tr>
      <w:tr>
        <w:tc>
          <w:tcPr>
            <w:tcW w:type="dxa" w:w="2520"/>
          </w:tcPr>
          <w:p>
            <w:r/>
            <w:r>
              <w:rPr>
                <w:sz w:val="17"/>
              </w:rPr>
              <w:t>Lagos, BRT-Lite (Nigeria)</w:t>
            </w:r>
          </w:p>
        </w:tc>
        <w:tc>
          <w:tcPr>
            <w:tcW w:type="dxa" w:w="1872"/>
          </w:tcPr>
          <w:p>
            <w:r/>
            <w:r>
              <w:rPr>
                <w:sz w:val="17"/>
              </w:rPr>
              <w:t>4%</w:t>
            </w:r>
          </w:p>
        </w:tc>
        <w:tc>
          <w:tcPr>
            <w:tcW w:type="dxa" w:w="3096"/>
          </w:tcPr>
          <w:p>
            <w:r/>
            <w:r>
              <w:rPr>
                <w:sz w:val="17"/>
              </w:rPr>
              <w:t>Opened Mar 2008; surveyed late 2008 — less than 1 year after opening</w:t>
            </w:r>
          </w:p>
        </w:tc>
        <w:tc>
          <w:tcPr>
            <w:tcW w:type="dxa" w:w="2304"/>
          </w:tcPr>
          <w:p>
            <w:r/>
            <w:r>
              <w:rPr>
                <w:sz w:val="17"/>
              </w:rPr>
              <w:t>85% transferred from informal minibus taxis (danfos); 11% induced new trips</w:t>
            </w:r>
          </w:p>
        </w:tc>
      </w:tr>
      <w:tr>
        <w:tc>
          <w:tcPr>
            <w:tcW w:type="dxa" w:w="2520"/>
          </w:tcPr>
          <w:p>
            <w:r/>
            <w:r>
              <w:rPr>
                <w:sz w:val="17"/>
              </w:rPr>
              <w:t>Lahore, Metrobus (Pakistan)</w:t>
            </w:r>
          </w:p>
        </w:tc>
        <w:tc>
          <w:tcPr>
            <w:tcW w:type="dxa" w:w="1872"/>
          </w:tcPr>
          <w:p>
            <w:r/>
            <w:r>
              <w:rPr>
                <w:sz w:val="17"/>
              </w:rPr>
              <w:t>4%</w:t>
            </w:r>
          </w:p>
        </w:tc>
        <w:tc>
          <w:tcPr>
            <w:tcW w:type="dxa" w:w="3096"/>
          </w:tcPr>
          <w:p>
            <w:r/>
            <w:r>
              <w:rPr>
                <w:sz w:val="17"/>
              </w:rPr>
              <w:t>Opened Feb 2013; surveyed Feb 2015 — exactly 2 years after opening</w:t>
            </w:r>
          </w:p>
        </w:tc>
        <w:tc>
          <w:tcPr>
            <w:tcW w:type="dxa" w:w="2304"/>
          </w:tcPr>
          <w:p>
            <w:r/>
            <w:r>
              <w:rPr>
                <w:sz w:val="17"/>
              </w:rPr>
              <w:t>Questionnaire survey of 760 passengers</w:t>
            </w:r>
          </w:p>
        </w:tc>
      </w:tr>
      <w:tr>
        <w:tc>
          <w:tcPr>
            <w:tcW w:type="dxa" w:w="2520"/>
          </w:tcPr>
          <w:p>
            <w:r/>
            <w:r>
              <w:rPr>
                <w:sz w:val="17"/>
              </w:rPr>
              <w:t>Johannesburg, Rea Vaya (South Africa)</w:t>
            </w:r>
          </w:p>
        </w:tc>
        <w:tc>
          <w:tcPr>
            <w:tcW w:type="dxa" w:w="1872"/>
          </w:tcPr>
          <w:p>
            <w:r/>
            <w:r>
              <w:rPr>
                <w:sz w:val="17"/>
              </w:rPr>
              <w:t>~4% city-wide; 0% in the Soweto corridor survey</w:t>
            </w:r>
          </w:p>
        </w:tc>
        <w:tc>
          <w:tcPr>
            <w:tcW w:type="dxa" w:w="3096"/>
          </w:tcPr>
          <w:p>
            <w:r/>
            <w:r>
              <w:rPr>
                <w:sz w:val="17"/>
              </w:rPr>
              <w:t>Opened Aug 2009; surveyed 2011 — about 2 years after opening</w:t>
            </w:r>
          </w:p>
        </w:tc>
        <w:tc>
          <w:tcPr>
            <w:tcW w:type="dxa" w:w="2304"/>
          </w:tcPr>
          <w:p>
            <w:r/>
            <w:r>
              <w:rPr>
                <w:sz w:val="17"/>
              </w:rPr>
              <w:t>66% transferred from minibus taxis; remainder from conventional bus or rail</w:t>
            </w:r>
          </w:p>
        </w:tc>
      </w:tr>
      <w:tr>
        <w:tc>
          <w:tcPr>
            <w:tcW w:type="dxa" w:w="2520"/>
          </w:tcPr>
          <w:p>
            <w:r/>
            <w:r>
              <w:rPr>
                <w:sz w:val="17"/>
              </w:rPr>
              <w:t>Guangzhou, BRT (China)</w:t>
            </w:r>
          </w:p>
        </w:tc>
        <w:tc>
          <w:tcPr>
            <w:tcW w:type="dxa" w:w="1872"/>
          </w:tcPr>
          <w:p>
            <w:r/>
            <w:r>
              <w:rPr>
                <w:sz w:val="17"/>
              </w:rPr>
              <w:t>1.4%</w:t>
            </w:r>
          </w:p>
        </w:tc>
        <w:tc>
          <w:tcPr>
            <w:tcW w:type="dxa" w:w="3096"/>
          </w:tcPr>
          <w:p>
            <w:r/>
            <w:r>
              <w:rPr>
                <w:sz w:val="17"/>
              </w:rPr>
              <w:t>Opened Feb 2010; survey year not stated (cited in a 2012 report)</w:t>
            </w:r>
          </w:p>
        </w:tc>
        <w:tc>
          <w:tcPr>
            <w:tcW w:type="dxa" w:w="2304"/>
          </w:tcPr>
          <w:p>
            <w:r/>
            <w:r>
              <w:rPr>
                <w:sz w:val="17"/>
              </w:rPr>
              <w:t>84.6% from existing bus / paratransit; 11% from metro</w:t>
            </w:r>
          </w:p>
        </w:tc>
      </w:tr>
    </w:tbl>
    <w:p>
      <w:r>
        <w:rPr>
          <w:i/>
          <w:color w:val="555555"/>
          <w:sz w:val="16"/>
        </w:rPr>
        <w:t>Sources: FTA Bogotá TransMilenio applicability study (2006); ITDP Bus Rapid Transit Planning Guide (2007); Clean Air Asia, “Initiating Bus Rapid Transit in Jakarta”; Lagos BRT-Lite scheme evaluation; Lahore School of Economics (Batool et al.); Venter and Vaz (2011) for Rea Vaya; secondary reporting for Guangzhou.</w:t>
      </w:r>
    </w:p>
    <w:p>
      <w:pPr>
        <w:ind w:left="216"/>
      </w:pPr>
      <w:r>
        <w:rPr>
          <w:b/>
          <w:color w:val="C02A2A"/>
          <w:sz w:val="19"/>
        </w:rPr>
        <w:t xml:space="preserve">Read this one. </w:t>
      </w:r>
      <w:r>
        <w:rPr>
          <w:i/>
          <w:color w:val="555555"/>
          <w:sz w:val="19"/>
        </w:rPr>
        <w:t>Johannesburg is the clearest warning in the whole record. The corridor survey in Soweto found zero riders diverted from private cars while two thirds came off minibus taxis — and the city-wide shift from cars remained around 4%. A corridor can be a ridership success and a car-diversion failure at the same time.</w:t>
      </w:r>
    </w:p>
    <w:p>
      <w:pPr>
        <w:spacing w:before="200"/>
      </w:pPr>
      <w:r>
        <w:rPr>
          <w:b/>
          <w:color w:val="142A4A"/>
          <w:sz w:val="26"/>
        </w:rPr>
        <w:t>5. What this means for the Yerevan corridors</w:t>
      </w:r>
    </w:p>
    <w:p>
      <w:r>
        <w:t>Yerevan sits between the two groups, and closer to the second. Car ownership and the presence of a genuine driving alternative resemble the European cases; but the corridors selected for BRT are the city’s existing high-frequency public-transport spines, already carrying substantial bus and minibus volumes, which is precisely the condition that produces low car diversion in Bogotá, Guangzhou, Lagos and Johannesburg. The defensible planning assumption is therefore a car-diversion share at the lower end of the international range, in the order of 5–10% of corridor riders, and a city-wide car mode-share change of a few percentage points at most in the first years of operation.</w:t>
      </w:r>
    </w:p>
    <w:p>
      <w:r>
        <w:rPr>
          <w:b/>
          <w:color w:val="142A4A"/>
        </w:rPr>
        <w:t xml:space="preserve">Consistency with the local measurement. </w:t>
      </w:r>
      <w:r>
        <w:t>The measured Yerevan field survey supports treating this cautiously rather than optimistically. The daytime kerb is dominated by short-stay visitors — about 63% of vehicles stay one hour or less and 77% two hours or less — while genuine all-day commuters, the group most readily moved to transit, are only around 6% of observed vehicles. The commuter trips that a BRT is best placed to absorb are therefore a small fraction of the demand competing for the kerb. Mode shift is a real but slow-acting contribution to relieving parking pressure; it is not a substitute for the parking measures set out in this report.</w:t>
      </w:r>
    </w:p>
    <w:p>
      <w:r>
        <w:rPr>
          <w:b/>
          <w:color w:val="142A4A"/>
        </w:rPr>
        <w:t xml:space="preserve">Where the argument should rest instead. </w:t>
      </w:r>
      <w:r>
        <w:t>The case for removing kerb parking along the alignment does not rest on mode shift and should not be made to. It rests on the directly measured finding that peak displaced demand across the surveyed areas was 908 vehicles against 1,643 spaces removed — 55% — so the displaced demand is materially smaller than the supply withdrawn, provided the absorbing capacity is actually made available. Mode shift is a second-order benefit that accrues on top of that, over years rather than months, and it should be presented as such.</w:t>
      </w:r>
    </w:p>
    <w:p>
      <w:pPr>
        <w:spacing w:before="200"/>
      </w:pPr>
      <w:r>
        <w:rPr>
          <w:b/>
          <w:color w:val="142A4A"/>
          <w:sz w:val="26"/>
        </w:rPr>
        <w:t>6. Reliability of these figures</w:t>
      </w:r>
    </w:p>
    <w:p>
      <w:r>
        <w:t>Every percentage in Tables 1 to 3 derives from a rider reporting, after the fact, what they used to do. The sources are explicit that this method has systematic biases, all of which push in the same direction — towards overstating car diversion.</w:t>
      </w:r>
    </w:p>
    <w:p>
      <w:pPr>
        <w:pStyle w:val="ListBullet"/>
      </w:pPr>
      <w:r>
        <w:rPr>
          <w:b/>
        </w:rPr>
        <w:t xml:space="preserve">Recall and rationalisation bias — </w:t>
      </w:r>
      <w:r>
        <w:t>respondents retrospectively overestimate how bad the old car trip was, to rationalise the switch they have already made.</w:t>
      </w:r>
    </w:p>
    <w:p>
      <w:pPr>
        <w:pStyle w:val="ListBullet"/>
      </w:pPr>
      <w:r>
        <w:rPr>
          <w:b/>
        </w:rPr>
        <w:t xml:space="preserve">Social-desirability bias — </w:t>
      </w:r>
      <w:r>
        <w:t>riders over-report having switched from driving alone, to present an environmentally conscious choice to the surveyor.</w:t>
      </w:r>
    </w:p>
    <w:p>
      <w:pPr>
        <w:pStyle w:val="ListBullet"/>
      </w:pPr>
      <w:r>
        <w:rPr>
          <w:b/>
        </w:rPr>
        <w:t xml:space="preserve">Survivor bias — </w:t>
      </w:r>
      <w:r>
        <w:t>onboard surveys reach only the people still using the system. Those who tried the BRT and went back to driving — because of crowding or unreliability — are invisible, which inflates the apparent shift.</w:t>
      </w:r>
    </w:p>
    <w:p>
      <w:pPr>
        <w:pStyle w:val="ListBullet"/>
      </w:pPr>
      <w:r>
        <w:rPr>
          <w:b/>
        </w:rPr>
        <w:t xml:space="preserve">Honeymoon effect — </w:t>
      </w:r>
      <w:r>
        <w:t>surveys run soon after opening can capture novelty behaviour that reverts once traffic reaches a new equilibrium. This is why the interval in the third column of each table matters, and why the Los Angeles pair is instructive.</w:t>
      </w:r>
    </w:p>
    <w:p>
      <w:pPr>
        <w:pStyle w:val="ListBullet"/>
      </w:pPr>
      <w:r>
        <w:rPr>
          <w:b/>
        </w:rPr>
        <w:t xml:space="preserve">What the metric is not — </w:t>
      </w:r>
      <w:r>
        <w:t>a rider survey measures a share of people or trips, not distance travelled or vehicle-kilometres removed. Household travel surveys give the complete picture; traffic counts give objective volumes but cannot attribute them to mode switching.</w:t>
      </w:r>
    </w:p>
    <w:p>
      <w:pPr>
        <w:ind w:left="216"/>
      </w:pPr>
      <w:r>
        <w:rPr>
          <w:b/>
          <w:color w:val="C02A2A"/>
          <w:sz w:val="19"/>
        </w:rPr>
        <w:t xml:space="preserve">Caveat. </w:t>
      </w:r>
      <w:r>
        <w:rPr>
          <w:i/>
          <w:color w:val="555555"/>
          <w:sz w:val="19"/>
        </w:rPr>
        <w:t>The sources caution specifically against using corridor rider-survey percentages to claim a city-wide reduction in car use. Any figure carried into the report should be labelled with what it measures, when it was measured, and how long after opening.</w:t>
      </w:r>
    </w:p>
    <w:p>
      <w:pPr>
        <w:spacing w:before="200"/>
      </w:pPr>
      <w:r>
        <w:rPr>
          <w:b/>
          <w:color w:val="142A4A"/>
          <w:sz w:val="26"/>
        </w:rPr>
        <w:t>7. Figures encountered but not recommended for citation</w:t>
      </w:r>
    </w:p>
    <w:p>
      <w:r>
        <w:rPr>
          <w:color w:val="555555"/>
          <w:sz w:val="20"/>
        </w:rPr>
        <w:t>The literature search returned the following additional figures that could not be traced to an identifiable primary source, or that contradict a peer-reviewed value for the same corridor. They are recorded here so the project file is complete, and so they are not re-discovered later and used in good faith. They should not appear in the report.</w:t>
      </w:r>
    </w:p>
    <w:p>
      <w:pPr>
        <w:spacing w:before="160"/>
      </w:pPr>
      <w:r>
        <w:rPr>
          <w:b/>
          <w:color w:val="006D77"/>
          <w:sz w:val="19"/>
        </w:rPr>
        <w:t>Table 4 — Untraceable or contradicted figures (do not cite)</w:t>
      </w:r>
    </w:p>
    <w:tbl>
      <w:tblPr>
        <w:tblStyle w:val="TableGrid"/>
        <w:tblW w:type="auto" w:w="0"/>
        <w:jc w:val="center"/>
        <w:tblLook w:firstColumn="1" w:firstRow="1" w:lastColumn="0" w:lastRow="0" w:noHBand="0" w:noVBand="1" w:val="04A0"/>
      </w:tblPr>
      <w:tblGrid>
        <w:gridCol w:w="2880"/>
        <w:gridCol w:w="2880"/>
        <w:gridCol w:w="2880"/>
      </w:tblGrid>
      <w:tr>
        <w:tc>
          <w:tcPr>
            <w:tcW w:type="dxa" w:w="2520"/>
            <w:shd w:val="clear" w:fill="8A2020"/>
          </w:tcPr>
          <w:p>
            <w:r/>
            <w:r>
              <w:rPr>
                <w:b/>
                <w:color w:val="FFFFFF"/>
                <w:sz w:val="17"/>
              </w:rPr>
              <w:t>City / corridor</w:t>
            </w:r>
          </w:p>
        </w:tc>
        <w:tc>
          <w:tcPr>
            <w:tcW w:type="dxa" w:w="2448"/>
            <w:shd w:val="clear" w:fill="8A2020"/>
          </w:tcPr>
          <w:p>
            <w:r/>
            <w:r>
              <w:rPr>
                <w:b/>
                <w:color w:val="FFFFFF"/>
                <w:sz w:val="17"/>
              </w:rPr>
              <w:t>Figure reported</w:t>
            </w:r>
          </w:p>
        </w:tc>
        <w:tc>
          <w:tcPr>
            <w:tcW w:type="dxa" w:w="4824"/>
            <w:shd w:val="clear" w:fill="8A2020"/>
          </w:tcPr>
          <w:p>
            <w:r/>
            <w:r>
              <w:rPr>
                <w:b/>
                <w:color w:val="FFFFFF"/>
                <w:sz w:val="17"/>
              </w:rPr>
              <w:t>Why it is not used</w:t>
            </w:r>
          </w:p>
        </w:tc>
      </w:tr>
      <w:tr>
        <w:tc>
          <w:tcPr>
            <w:tcW w:type="dxa" w:w="2520"/>
          </w:tcPr>
          <w:p>
            <w:r/>
            <w:r>
              <w:rPr>
                <w:sz w:val="17"/>
              </w:rPr>
              <w:t>Istanbul, Metrobüs</w:t>
            </w:r>
          </w:p>
        </w:tc>
        <w:tc>
          <w:tcPr>
            <w:tcW w:type="dxa" w:w="2448"/>
          </w:tcPr>
          <w:p>
            <w:r/>
            <w:r>
              <w:rPr>
                <w:sz w:val="17"/>
              </w:rPr>
              <w:t>40% of riders previously by car</w:t>
            </w:r>
          </w:p>
        </w:tc>
        <w:tc>
          <w:tcPr>
            <w:tcW w:type="dxa" w:w="4824"/>
          </w:tcPr>
          <w:p>
            <w:r/>
            <w:r>
              <w:rPr>
                <w:sz w:val="17"/>
              </w:rPr>
              <w:t>Contradicts the peer-reviewed 4–9% for the same corridor; appears only in a secondary table</w:t>
            </w:r>
          </w:p>
        </w:tc>
      </w:tr>
      <w:tr>
        <w:tc>
          <w:tcPr>
            <w:tcW w:type="dxa" w:w="2520"/>
          </w:tcPr>
          <w:p>
            <w:r/>
            <w:r>
              <w:rPr>
                <w:sz w:val="17"/>
              </w:rPr>
              <w:t>Adelaide, O-Bahn</w:t>
            </w:r>
          </w:p>
        </w:tc>
        <w:tc>
          <w:tcPr>
            <w:tcW w:type="dxa" w:w="2448"/>
          </w:tcPr>
          <w:p>
            <w:r/>
            <w:r>
              <w:rPr>
                <w:sz w:val="17"/>
              </w:rPr>
              <w:t>40%</w:t>
            </w:r>
          </w:p>
        </w:tc>
        <w:tc>
          <w:tcPr>
            <w:tcW w:type="dxa" w:w="4824"/>
          </w:tcPr>
          <w:p>
            <w:r/>
            <w:r>
              <w:rPr>
                <w:sz w:val="17"/>
              </w:rPr>
              <w:t>Traceable only to an unpublished synthesis document with no source URL</w:t>
            </w:r>
          </w:p>
        </w:tc>
      </w:tr>
      <w:tr>
        <w:tc>
          <w:tcPr>
            <w:tcW w:type="dxa" w:w="2520"/>
          </w:tcPr>
          <w:p>
            <w:r/>
            <w:r>
              <w:rPr>
                <w:sz w:val="17"/>
              </w:rPr>
              <w:t>Bogotá, TransMilenio</w:t>
            </w:r>
          </w:p>
        </w:tc>
        <w:tc>
          <w:tcPr>
            <w:tcW w:type="dxa" w:w="2448"/>
          </w:tcPr>
          <w:p>
            <w:r/>
            <w:r>
              <w:rPr>
                <w:sz w:val="17"/>
              </w:rPr>
              <w:t>2.4%</w:t>
            </w:r>
          </w:p>
        </w:tc>
        <w:tc>
          <w:tcPr>
            <w:tcW w:type="dxa" w:w="4824"/>
          </w:tcPr>
          <w:p>
            <w:r/>
            <w:r>
              <w:rPr>
                <w:sz w:val="17"/>
              </w:rPr>
              <w:t>Same unpublished synthesis; contradicts the 9% in the FTA study</w:t>
            </w:r>
          </w:p>
        </w:tc>
      </w:tr>
      <w:tr>
        <w:tc>
          <w:tcPr>
            <w:tcW w:type="dxa" w:w="2520"/>
          </w:tcPr>
          <w:p>
            <w:r/>
            <w:r>
              <w:rPr>
                <w:sz w:val="17"/>
              </w:rPr>
              <w:t>Nantes, Busway</w:t>
            </w:r>
          </w:p>
        </w:tc>
        <w:tc>
          <w:tcPr>
            <w:tcW w:type="dxa" w:w="2448"/>
          </w:tcPr>
          <w:p>
            <w:r/>
            <w:r>
              <w:rPr>
                <w:sz w:val="17"/>
              </w:rPr>
              <w:t>30%</w:t>
            </w:r>
          </w:p>
        </w:tc>
        <w:tc>
          <w:tcPr>
            <w:tcW w:type="dxa" w:w="4824"/>
          </w:tcPr>
          <w:p>
            <w:r/>
            <w:r>
              <w:rPr>
                <w:sz w:val="17"/>
              </w:rPr>
              <w:t>Same unpublished synthesis; the peer-reviewed value for the same corridor is 29%</w:t>
            </w:r>
          </w:p>
        </w:tc>
      </w:tr>
      <w:tr>
        <w:tc>
          <w:tcPr>
            <w:tcW w:type="dxa" w:w="2520"/>
          </w:tcPr>
          <w:p>
            <w:r/>
            <w:r>
              <w:rPr>
                <w:sz w:val="17"/>
              </w:rPr>
              <w:t>Curitiba, RIT</w:t>
            </w:r>
          </w:p>
        </w:tc>
        <w:tc>
          <w:tcPr>
            <w:tcW w:type="dxa" w:w="2448"/>
          </w:tcPr>
          <w:p>
            <w:r/>
            <w:r>
              <w:rPr>
                <w:sz w:val="17"/>
              </w:rPr>
              <w:t>9%, and “one third of residents”</w:t>
            </w:r>
          </w:p>
        </w:tc>
        <w:tc>
          <w:tcPr>
            <w:tcW w:type="dxa" w:w="4824"/>
          </w:tcPr>
          <w:p>
            <w:r/>
            <w:r>
              <w:rPr>
                <w:sz w:val="17"/>
              </w:rPr>
              <w:t>Same unpublished synthesis; no survey year, and Curitiba opened in 1974</w:t>
            </w:r>
          </w:p>
        </w:tc>
      </w:tr>
      <w:tr>
        <w:tc>
          <w:tcPr>
            <w:tcW w:type="dxa" w:w="2520"/>
          </w:tcPr>
          <w:p>
            <w:r/>
            <w:r>
              <w:rPr>
                <w:sz w:val="17"/>
              </w:rPr>
              <w:t>Mexico City, Metrobús</w:t>
            </w:r>
          </w:p>
        </w:tc>
        <w:tc>
          <w:tcPr>
            <w:tcW w:type="dxa" w:w="2448"/>
          </w:tcPr>
          <w:p>
            <w:r/>
            <w:r>
              <w:rPr>
                <w:sz w:val="17"/>
              </w:rPr>
              <w:t>6%</w:t>
            </w:r>
          </w:p>
        </w:tc>
        <w:tc>
          <w:tcPr>
            <w:tcW w:type="dxa" w:w="4824"/>
          </w:tcPr>
          <w:p>
            <w:r/>
            <w:r>
              <w:rPr>
                <w:sz w:val="17"/>
              </w:rPr>
              <w:t>Same unpublished synthesis; no survey year stated</w:t>
            </w:r>
          </w:p>
        </w:tc>
      </w:tr>
      <w:tr>
        <w:tc>
          <w:tcPr>
            <w:tcW w:type="dxa" w:w="2520"/>
          </w:tcPr>
          <w:p>
            <w:r/>
            <w:r>
              <w:rPr>
                <w:sz w:val="17"/>
              </w:rPr>
              <w:t>Beijing, BRT Line 1</w:t>
            </w:r>
          </w:p>
        </w:tc>
        <w:tc>
          <w:tcPr>
            <w:tcW w:type="dxa" w:w="2448"/>
          </w:tcPr>
          <w:p>
            <w:r/>
            <w:r>
              <w:rPr>
                <w:sz w:val="17"/>
              </w:rPr>
              <w:t>25%</w:t>
            </w:r>
          </w:p>
        </w:tc>
        <w:tc>
          <w:tcPr>
            <w:tcW w:type="dxa" w:w="4824"/>
          </w:tcPr>
          <w:p>
            <w:r/>
            <w:r>
              <w:rPr>
                <w:sz w:val="17"/>
              </w:rPr>
              <w:t>Secondary table; contradicts the 12% in the peer-reviewed review</w:t>
            </w:r>
          </w:p>
        </w:tc>
      </w:tr>
      <w:tr>
        <w:tc>
          <w:tcPr>
            <w:tcW w:type="dxa" w:w="2520"/>
          </w:tcPr>
          <w:p>
            <w:r/>
            <w:r>
              <w:rPr>
                <w:sz w:val="17"/>
              </w:rPr>
              <w:t>Houston / Vancouver / Las Vegas / Nagoya</w:t>
            </w:r>
          </w:p>
        </w:tc>
        <w:tc>
          <w:tcPr>
            <w:tcW w:type="dxa" w:w="2448"/>
          </w:tcPr>
          <w:p>
            <w:r/>
            <w:r>
              <w:rPr>
                <w:sz w:val="17"/>
              </w:rPr>
              <w:t>23%, 23%, 23%, 10%</w:t>
            </w:r>
          </w:p>
        </w:tc>
        <w:tc>
          <w:tcPr>
            <w:tcW w:type="dxa" w:w="4824"/>
          </w:tcPr>
          <w:p>
            <w:r/>
            <w:r>
              <w:rPr>
                <w:sz w:val="17"/>
              </w:rPr>
              <w:t>Secondary compilation table with no year or method for any entry</w:t>
            </w:r>
          </w:p>
        </w:tc>
      </w:tr>
    </w:tbl>
    <w:p>
      <w:pPr>
        <w:ind w:left="216"/>
      </w:pPr>
      <w:r>
        <w:rPr>
          <w:b/>
          <w:color w:val="C02A2A"/>
          <w:sz w:val="19"/>
        </w:rPr>
        <w:t xml:space="preserve">Source hygiene. </w:t>
      </w:r>
      <w:r>
        <w:rPr>
          <w:i/>
          <w:color w:val="555555"/>
          <w:sz w:val="19"/>
        </w:rPr>
        <w:t>One further source imported by the automated search was an AI-generated encyclopaedia page. It contributed no figure used above and should be disregarded entirely.</w:t>
      </w:r>
    </w:p>
    <w:p>
      <w:pPr>
        <w:spacing w:before="200"/>
      </w:pPr>
      <w:r>
        <w:rPr>
          <w:b/>
          <w:color w:val="142A4A"/>
          <w:sz w:val="26"/>
        </w:rPr>
        <w:t>8. Proposed insertion text (short form)</w:t>
      </w:r>
    </w:p>
    <w:p>
      <w:r>
        <w:rPr>
          <w:color w:val="555555"/>
          <w:sz w:val="20"/>
        </w:rPr>
        <w:t>If a single paragraph is preferred to the full subchapter, the following is the minimum defensible statement and can be inserted directly into the mitigation-measures discussion under M0.</w:t>
      </w:r>
    </w:p>
    <w:p>
      <w:pPr>
        <w:ind w:left="360" w:right="360"/>
      </w:pPr>
      <w:r>
        <w:rPr>
          <w:i/>
          <w:sz w:val="20"/>
        </w:rPr>
        <w:t>International experience indicates that the corridor itself absorbs a real but modest share of private-car travel, and that the size of that share depends on what the BRT replaces. Rider surveys on European and North American corridors report that between 5% and 29% of passengers previously made the same trip by car — Istanbul’s Metrobüs, the nearest regional comparator, recorded 4–9% five years after opening. Where BRT is built over an existing dense bus or minibus network, however, the figure falls to the low single digits: 9% in Bogotá, 4% in Lagos and Lahore, 1.4% in Guangzhou, and effectively zero in the surveyed Soweto corridor of Johannesburg, because the great majority of riders transfer from services they were already using rather than from cars. Yerevan’s corridors follow existing high-ridership public-transport spines and should therefore be planned on the lower assumption. This is consistent with the field survey, which found that genuine all-day commuters — the trips a BRT is best able to absorb — account for only about 6% of observed kerb parking, against 63% staying one hour or less. Modal shift should accordingly be treated as a gradual, second-order contribution to relieving parking pressure rather than as a substitute for the parking measures proposed here; the case for the kerb reallocation rests on the directly measured finding that peak displaced demand equals only 55% of the spaces removed.</w:t>
      </w:r>
    </w:p>
    <w:p>
      <w:pPr>
        <w:spacing w:before="200"/>
      </w:pPr>
      <w:r>
        <w:rPr>
          <w:b/>
          <w:color w:val="006D77"/>
          <w:sz w:val="23"/>
        </w:rPr>
        <w:t>Sources</w:t>
      </w:r>
    </w:p>
    <w:p>
      <w:pPr>
        <w:pStyle w:val="ListBullet"/>
      </w:pPr>
      <w:r>
        <w:rPr>
          <w:color w:val="555555"/>
          <w:sz w:val="17"/>
        </w:rPr>
        <w:t>Effects of new bus and rail rapid transit systems – an international review. Technical University of Denmark (peer-reviewed).</w:t>
      </w:r>
    </w:p>
    <w:p>
      <w:pPr>
        <w:pStyle w:val="ListBullet"/>
      </w:pPr>
      <w:r>
        <w:rPr>
          <w:color w:val="555555"/>
          <w:sz w:val="17"/>
        </w:rPr>
        <w:t>Federal Transit Administration, Metro Orange Line BRT Project Evaluation, FTA Report No. 0004.</w:t>
      </w:r>
    </w:p>
    <w:p>
      <w:pPr>
        <w:pStyle w:val="ListBullet"/>
      </w:pPr>
      <w:r>
        <w:rPr>
          <w:color w:val="555555"/>
          <w:sz w:val="17"/>
        </w:rPr>
        <w:t>Federal Transit Administration, Applicability of Bogotá’s TransMilenio BRT System to the United States (2006).</w:t>
      </w:r>
    </w:p>
    <w:p>
      <w:pPr>
        <w:pStyle w:val="ListBullet"/>
      </w:pPr>
      <w:r>
        <w:rPr>
          <w:color w:val="555555"/>
          <w:sz w:val="17"/>
        </w:rPr>
        <w:t>Federal Transit Administration, Boston Silver Line BRT report.</w:t>
      </w:r>
    </w:p>
    <w:p>
      <w:pPr>
        <w:pStyle w:val="ListBullet"/>
      </w:pPr>
      <w:r>
        <w:rPr>
          <w:color w:val="555555"/>
          <w:sz w:val="17"/>
        </w:rPr>
        <w:t>ITDP, Bus Rapid Transit Planning Guide (2007), and the online BRT Planning Guide chapters on corridor selection and traffic-volume estimation.</w:t>
      </w:r>
    </w:p>
    <w:p>
      <w:pPr>
        <w:pStyle w:val="ListBullet"/>
      </w:pPr>
      <w:r>
        <w:rPr>
          <w:color w:val="555555"/>
          <w:sz w:val="17"/>
        </w:rPr>
        <w:t>Clean Air Asia, Initiating Bus Rapid Transit in Jakarta, Indonesia.</w:t>
      </w:r>
    </w:p>
    <w:p>
      <w:pPr>
        <w:pStyle w:val="ListBullet"/>
      </w:pPr>
      <w:r>
        <w:rPr>
          <w:color w:val="555555"/>
          <w:sz w:val="17"/>
        </w:rPr>
        <w:t>Lagos BRT-Lite: Africa’s First Bus Rapid Transit Scheme — Scheme Evaluation Summary Report.</w:t>
      </w:r>
    </w:p>
    <w:p>
      <w:pPr>
        <w:pStyle w:val="ListBullet"/>
      </w:pPr>
      <w:r>
        <w:rPr>
          <w:color w:val="555555"/>
          <w:sz w:val="17"/>
        </w:rPr>
        <w:t>Batool et al., A Policy Move towards Sustainable Urban Transport in Pakistan: Measuring the Social, Environmental and Economic Impacts of the Lahore BRT System. Lahore School of Economics.</w:t>
      </w:r>
    </w:p>
    <w:p>
      <w:pPr>
        <w:pStyle w:val="ListBullet"/>
      </w:pPr>
      <w:r>
        <w:rPr>
          <w:color w:val="555555"/>
          <w:sz w:val="17"/>
        </w:rPr>
        <w:t>Impact of ‘light’ bus rapid transit (BRT-light) on traffic and emissions in a travel corridor.</w:t>
      </w:r>
    </w:p>
    <w:p>
      <w:pPr>
        <w:pStyle w:val="ListBullet"/>
      </w:pPr>
      <w:r>
        <w:rPr>
          <w:color w:val="555555"/>
          <w:sz w:val="17"/>
        </w:rPr>
        <w:t>Wilshire BRT Before and After Report (2017).</w:t>
      </w:r>
    </w:p>
    <w:p>
      <w:r>
        <w:rPr>
          <w:i/>
          <w:color w:val="555555"/>
          <w:sz w:val="16"/>
        </w:rPr>
        <w:t>Compiled 24 July 2026 from a structured review of 50 international sources. Figures are reproduced as stated in the sources; where a source did not state a survey year or an opening year, this is shown rather than inferred.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