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55555"/>
          <w:sz w:val="18"/>
        </w:rPr>
        <w:t>YEREVAN PARKING MANAGEMENT STUDY</w:t>
      </w:r>
    </w:p>
    <w:p>
      <w:pPr>
        <w:spacing w:before="80" w:after="120"/>
        <w:jc w:val="center"/>
      </w:pPr>
      <w:r>
        <w:rPr>
          <w:b/>
          <w:color w:val="142A4A"/>
          <w:sz w:val="36"/>
        </w:rPr>
        <w:t>Field Survey Findings — Justification Memorandum</w:t>
      </w:r>
    </w:p>
    <w:p>
      <w:pPr>
        <w:jc w:val="center"/>
      </w:pPr>
      <w:r>
        <w:rPr>
          <w:color w:val="555555"/>
          <w:sz w:val="20"/>
        </w:rPr>
        <w:t>Prepared by STS Consulting  |  30 June 2026</w:t>
      </w:r>
    </w:p>
    <w:p>
      <w:pPr>
        <w:spacing w:after="80"/>
      </w:pPr>
    </w:p>
    <w:tbl>
      <w:tblPr>
        <w:tblW w:type="auto" w:w="0"/>
        <w:jc w:val="center"/>
        <w:tblLook w:firstColumn="1" w:firstRow="1" w:lastColumn="0" w:lastRow="0" w:noHBand="0" w:noVBand="1" w:val="04A0"/>
      </w:tblPr>
      <w:tblGrid>
        <w:gridCol w:w="4561"/>
        <w:gridCol w:w="4561"/>
      </w:tblGrid>
      <w:tr>
        <w:tc>
          <w:tcPr>
            <w:tcW w:type="dxa" w:w="4561"/>
            <w:shd w:val="clear" w:color="auto" w:fill="142A4A"/>
          </w:tcPr>
          <w:p>
            <w:r>
              <w:rPr>
                <w:b/>
                <w:color w:val="FFFFFF"/>
                <w:sz w:val="20"/>
              </w:rPr>
              <w:t>Document Type</w:t>
            </w:r>
          </w:p>
        </w:tc>
        <w:tc>
          <w:tcPr>
            <w:tcW w:type="dxa" w:w="4561"/>
          </w:tcPr>
          <w:p>
            <w:r>
              <w:rPr>
                <w:color w:val="1A1A1A"/>
                <w:sz w:val="20"/>
              </w:rPr>
              <w:t>Justification Memorandum — For Internal Use / ADB Review</w:t>
            </w:r>
          </w:p>
        </w:tc>
      </w:tr>
      <w:tr>
        <w:tc>
          <w:tcPr>
            <w:tcW w:type="dxa" w:w="4561"/>
            <w:shd w:val="clear" w:color="auto" w:fill="142A4A"/>
          </w:tcPr>
          <w:p>
            <w:r>
              <w:rPr>
                <w:b/>
                <w:color w:val="FFFFFF"/>
                <w:sz w:val="20"/>
              </w:rPr>
              <w:t>Project</w:t>
            </w:r>
          </w:p>
        </w:tc>
        <w:tc>
          <w:tcPr>
            <w:tcW w:type="dxa" w:w="4561"/>
            <w:shd w:val="clear" w:color="auto" w:fill="F0F4F8"/>
          </w:tcPr>
          <w:p>
            <w:r>
              <w:rPr>
                <w:color w:val="1A1A1A"/>
                <w:sz w:val="20"/>
              </w:rPr>
              <w:t>Yerevan Parking Management Study</w:t>
            </w:r>
          </w:p>
        </w:tc>
      </w:tr>
      <w:tr>
        <w:tc>
          <w:tcPr>
            <w:tcW w:type="dxa" w:w="4561"/>
            <w:shd w:val="clear" w:color="auto" w:fill="142A4A"/>
          </w:tcPr>
          <w:p>
            <w:r>
              <w:rPr>
                <w:b/>
                <w:color w:val="FFFFFF"/>
                <w:sz w:val="20"/>
              </w:rPr>
              <w:t>Client</w:t>
            </w:r>
          </w:p>
        </w:tc>
        <w:tc>
          <w:tcPr>
            <w:tcW w:type="dxa" w:w="4561"/>
          </w:tcPr>
          <w:p>
            <w:r>
              <w:rPr>
                <w:color w:val="1A1A1A"/>
                <w:sz w:val="20"/>
              </w:rPr>
              <w:t>Asian Development Bank (ADB)</w:t>
            </w:r>
          </w:p>
        </w:tc>
      </w:tr>
      <w:tr>
        <w:tc>
          <w:tcPr>
            <w:tcW w:type="dxa" w:w="4561"/>
            <w:shd w:val="clear" w:color="auto" w:fill="142A4A"/>
          </w:tcPr>
          <w:p>
            <w:r>
              <w:rPr>
                <w:b/>
                <w:color w:val="FFFFFF"/>
                <w:sz w:val="20"/>
              </w:rPr>
              <w:t>Prepared by</w:t>
            </w:r>
          </w:p>
        </w:tc>
        <w:tc>
          <w:tcPr>
            <w:tcW w:type="dxa" w:w="4561"/>
            <w:shd w:val="clear" w:color="auto" w:fill="F0F4F8"/>
          </w:tcPr>
          <w:p>
            <w:r>
              <w:rPr>
                <w:color w:val="1A1A1A"/>
                <w:sz w:val="20"/>
              </w:rPr>
              <w:t>STS Consulting — Nikoloz Archvadze, Zurab Beradze</w:t>
            </w:r>
          </w:p>
        </w:tc>
      </w:tr>
      <w:tr>
        <w:tc>
          <w:tcPr>
            <w:tcW w:type="dxa" w:w="4561"/>
            <w:shd w:val="clear" w:color="auto" w:fill="142A4A"/>
          </w:tcPr>
          <w:p>
            <w:r>
              <w:rPr>
                <w:b/>
                <w:color w:val="FFFFFF"/>
                <w:sz w:val="20"/>
              </w:rPr>
              <w:t>Field Team</w:t>
            </w:r>
          </w:p>
        </w:tc>
        <w:tc>
          <w:tcPr>
            <w:tcW w:type="dxa" w:w="4561"/>
          </w:tcPr>
          <w:p>
            <w:r>
              <w:rPr>
                <w:color w:val="1A1A1A"/>
                <w:sz w:val="20"/>
              </w:rPr>
              <w:t>Hayk Sargsyan, Jorj Aslanyan (Yerevan Survey Team)</w:t>
            </w:r>
          </w:p>
        </w:tc>
      </w:tr>
      <w:tr>
        <w:tc>
          <w:tcPr>
            <w:tcW w:type="dxa" w:w="4561"/>
            <w:shd w:val="clear" w:color="auto" w:fill="142A4A"/>
          </w:tcPr>
          <w:p>
            <w:r>
              <w:rPr>
                <w:b/>
                <w:color w:val="FFFFFF"/>
                <w:sz w:val="20"/>
              </w:rPr>
              <w:t>Debrief Date</w:t>
            </w:r>
          </w:p>
        </w:tc>
        <w:tc>
          <w:tcPr>
            <w:tcW w:type="dxa" w:w="4561"/>
            <w:shd w:val="clear" w:color="auto" w:fill="F0F4F8"/>
          </w:tcPr>
          <w:p>
            <w:r>
              <w:rPr>
                <w:color w:val="1A1A1A"/>
                <w:sz w:val="20"/>
              </w:rPr>
              <w:t>30 June 2026</w:t>
            </w:r>
          </w:p>
        </w:tc>
      </w:tr>
      <w:tr>
        <w:tc>
          <w:tcPr>
            <w:tcW w:type="dxa" w:w="4561"/>
            <w:shd w:val="clear" w:color="auto" w:fill="142A4A"/>
          </w:tcPr>
          <w:p>
            <w:r>
              <w:rPr>
                <w:b/>
                <w:color w:val="FFFFFF"/>
                <w:sz w:val="20"/>
              </w:rPr>
              <w:t>Survey Dates</w:t>
            </w:r>
          </w:p>
        </w:tc>
        <w:tc>
          <w:tcPr>
            <w:tcW w:type="dxa" w:w="4561"/>
          </w:tcPr>
          <w:p>
            <w:r>
              <w:rPr>
                <w:color w:val="1A1A1A"/>
                <w:sz w:val="20"/>
              </w:rPr>
              <w:t>June 2026 (exact days noted per location below)</w:t>
            </w:r>
          </w:p>
        </w:tc>
      </w:tr>
      <w:tr>
        <w:tc>
          <w:tcPr>
            <w:tcW w:type="dxa" w:w="4561"/>
            <w:shd w:val="clear" w:color="auto" w:fill="142A4A"/>
          </w:tcPr>
          <w:p>
            <w:r>
              <w:rPr>
                <w:b/>
                <w:color w:val="FFFFFF"/>
                <w:sz w:val="20"/>
              </w:rPr>
              <w:t>Status</w:t>
            </w:r>
          </w:p>
        </w:tc>
        <w:tc>
          <w:tcPr>
            <w:tcW w:type="dxa" w:w="4561"/>
            <w:shd w:val="clear" w:color="auto" w:fill="F0F4F8"/>
          </w:tcPr>
          <w:p>
            <w:r>
              <w:rPr>
                <w:color w:val="1A1A1A"/>
                <w:sz w:val="20"/>
              </w:rPr>
              <w:t>Final — Approved for Submission</w:t>
            </w:r>
          </w:p>
        </w:tc>
      </w:tr>
    </w:tbl>
    <w:p>
      <w:pPr>
        <w:spacing w:after="200"/>
      </w:pPr>
    </w:p>
    <w:p>
      <w:pPr>
        <w:spacing w:before="360" w:after="120"/>
        <w:pBdr>
          <w:bottom w:val="single" w:sz="6" w:space="1" w:color="006D77"/>
        </w:pBdr>
      </w:pPr>
      <w:r>
        <w:rPr>
          <w:b/>
          <w:color w:val="142A4A"/>
          <w:sz w:val="26"/>
        </w:rPr>
        <w:t>1. PURPOSE AND SCOPE OF THIS DOCUMENT</w:t>
      </w:r>
    </w:p>
    <w:p>
      <w:pPr>
        <w:spacing w:after="160" w:before="0"/>
        <w:jc w:val="left"/>
      </w:pPr>
      <w:r>
        <w:rPr>
          <w:b w:val="0"/>
          <w:i w:val="0"/>
          <w:color w:val="1A1A1A"/>
          <w:sz w:val="21"/>
        </w:rPr>
        <w:t>This memorandum documents and justifies the methodology, on-the-ground conditions, and key findings of the Yerevan on-street parking field surveys conducted as part of the Yerevan Parking Management Study. It is based on a formal debrief call held on 30 June 2026 between the STS consulting team (Nikoloz Archvadze, Zurab Beradze) and the local Armenian field team (Jorj Aslanyan — survey supervisor; Hayk Sargsyan — field team coordinator).</w:t>
      </w:r>
    </w:p>
    <w:p>
      <w:pPr>
        <w:spacing w:after="160" w:before="0"/>
        <w:jc w:val="left"/>
      </w:pPr>
      <w:r>
        <w:rPr>
          <w:b w:val="0"/>
          <w:i w:val="0"/>
          <w:color w:val="1A1A1A"/>
          <w:sz w:val="21"/>
        </w:rPr>
        <w:t>The document is intended for use if the Asian Development Bank (ADB) or any other stakeholder raises questions about the reliability, representativeness, or interpretation of the field survey data. It provides primary-source corroboration from the survey team themselves, explaining observed patterns and confirming data quality.</w:t>
      </w:r>
    </w:p>
    <w:tbl>
      <w:tblPr>
        <w:tblW w:type="auto" w:w="0"/>
        <w:jc w:val="left"/>
        <w:tblLook w:firstColumn="1" w:firstRow="1" w:lastColumn="0" w:lastRow="0" w:noHBand="0" w:noVBand="1" w:val="04A0"/>
      </w:tblPr>
      <w:tblGrid>
        <w:gridCol w:w="9122"/>
      </w:tblGrid>
      <w:tr>
        <w:tc>
          <w:tcPr>
            <w:tcW w:type="dxa" w:w="9122"/>
            <w:shd w:val="clear" w:color="auto" w:fill="006D77"/>
          </w:tcPr>
          <w:p>
            <w:pPr>
              <w:spacing w:after="0" w:before="0"/>
            </w:pPr>
            <w:r>
              <w:rPr>
                <w:b/>
                <w:color w:val="FFFFFF"/>
                <w:sz w:val="20"/>
              </w:rPr>
              <w:t xml:space="preserve">SOURCE:  </w:t>
            </w:r>
            <w:r>
              <w:rPr>
                <w:color w:val="FFFFFF"/>
                <w:sz w:val="20"/>
              </w:rPr>
              <w:t>All statements attributed to the field team in this document are drawn verbatim from a recorded and transcribed debrief call (30 Jun 2026). The original transcript is available upon request.</w:t>
            </w:r>
          </w:p>
        </w:tc>
      </w:tr>
    </w:tbl>
    <w:p>
      <w:pPr>
        <w:spacing w:after="120"/>
      </w:pPr>
    </w:p>
    <w:p>
      <w:pPr>
        <w:spacing w:before="360" w:after="120"/>
        <w:pBdr>
          <w:bottom w:val="single" w:sz="6" w:space="1" w:color="006D77"/>
        </w:pBdr>
      </w:pPr>
      <w:r>
        <w:rPr>
          <w:b/>
          <w:color w:val="142A4A"/>
          <w:sz w:val="26"/>
        </w:rPr>
        <w:t>2. SURVEY OVERVIEW</w:t>
      </w:r>
    </w:p>
    <w:p>
      <w:pPr>
        <w:spacing w:after="160" w:before="0"/>
        <w:jc w:val="left"/>
      </w:pPr>
      <w:r>
        <w:rPr>
          <w:b w:val="0"/>
          <w:i w:val="0"/>
          <w:color w:val="1A1A1A"/>
          <w:sz w:val="21"/>
        </w:rPr>
        <w:t>Occupancy and turnover surveys were conducted across six study areas in Yerevan. Enumerators recorded vehicle licence plates and parking durations at regular intervals throughout the day, entering data into structured Excel workbooks. The zones surveyed correspond directly to the on-street parking segments mapped in the project GIS database.</w:t>
      </w:r>
    </w:p>
    <w:p>
      <w:pPr>
        <w:spacing w:before="240" w:after="80"/>
      </w:pPr>
      <w:r>
        <w:rPr>
          <w:b/>
          <w:color w:val="006D77"/>
          <w:sz w:val="22"/>
        </w:rPr>
        <w:t>2.1  Study Areas</w:t>
      </w:r>
    </w:p>
    <w:tbl>
      <w:tblPr>
        <w:tblW w:type="auto" w:w="0"/>
        <w:jc w:val="left"/>
        <w:tblLook w:firstColumn="1" w:firstRow="1" w:lastColumn="0" w:lastRow="0" w:noHBand="0" w:noVBand="1" w:val="04A0"/>
      </w:tblPr>
      <w:tblGrid>
        <w:gridCol w:w="4561"/>
        <w:gridCol w:w="4561"/>
      </w:tblGrid>
      <w:tr>
        <w:tc>
          <w:tcPr>
            <w:tcW w:type="dxa" w:w="4561"/>
            <w:shd w:val="clear" w:color="auto" w:fill="142A4A"/>
          </w:tcPr>
          <w:p>
            <w:r>
              <w:rPr>
                <w:b/>
                <w:color w:val="FFFFFF"/>
                <w:sz w:val="20"/>
              </w:rPr>
              <w:t>Study Area</w:t>
            </w:r>
          </w:p>
        </w:tc>
        <w:tc>
          <w:tcPr>
            <w:tcW w:type="dxa" w:w="4561"/>
            <w:shd w:val="clear" w:color="auto" w:fill="142A4A"/>
          </w:tcPr>
          <w:p>
            <w:r>
              <w:rPr>
                <w:b/>
                <w:color w:val="FFFFFF"/>
                <w:sz w:val="20"/>
              </w:rPr>
              <w:t>Character</w:t>
            </w:r>
          </w:p>
        </w:tc>
      </w:tr>
      <w:tr>
        <w:tc>
          <w:tcPr>
            <w:tcW w:type="dxa" w:w="4561"/>
          </w:tcPr>
          <w:p>
            <w:r>
              <w:rPr>
                <w:b/>
                <w:sz w:val="20"/>
              </w:rPr>
              <w:t>Komitas</w:t>
            </w:r>
          </w:p>
        </w:tc>
        <w:tc>
          <w:tcPr>
            <w:tcW w:type="dxa" w:w="4561"/>
          </w:tcPr>
          <w:p>
            <w:r>
              <w:rPr>
                <w:sz w:val="20"/>
              </w:rPr>
              <w:t>Major arterial corridor with high retail and service density</w:t>
            </w:r>
          </w:p>
        </w:tc>
      </w:tr>
      <w:tr>
        <w:tc>
          <w:tcPr>
            <w:tcW w:type="dxa" w:w="4561"/>
            <w:shd w:val="clear" w:color="auto" w:fill="F0F4F8"/>
          </w:tcPr>
          <w:p>
            <w:r>
              <w:rPr>
                <w:b/>
                <w:sz w:val="20"/>
              </w:rPr>
              <w:t>Kentron</w:t>
            </w:r>
          </w:p>
        </w:tc>
        <w:tc>
          <w:tcPr>
            <w:tcW w:type="dxa" w:w="4561"/>
            <w:shd w:val="clear" w:color="auto" w:fill="F0F4F8"/>
          </w:tcPr>
          <w:p>
            <w:r>
              <w:rPr>
                <w:sz w:val="20"/>
              </w:rPr>
              <w:t>City centre — high-density commercial and civic uses</w:t>
            </w:r>
          </w:p>
        </w:tc>
      </w:tr>
      <w:tr>
        <w:tc>
          <w:tcPr>
            <w:tcW w:type="dxa" w:w="4561"/>
          </w:tcPr>
          <w:p>
            <w:r>
              <w:rPr>
                <w:b/>
                <w:sz w:val="20"/>
              </w:rPr>
              <w:t>Garegin Nzhdeh</w:t>
            </w:r>
          </w:p>
        </w:tc>
        <w:tc>
          <w:tcPr>
            <w:tcW w:type="dxa" w:w="4561"/>
          </w:tcPr>
          <w:p>
            <w:r>
              <w:rPr>
                <w:sz w:val="20"/>
              </w:rPr>
              <w:t>Mixed residential-commercial; active pedestrian environment</w:t>
            </w:r>
          </w:p>
        </w:tc>
      </w:tr>
      <w:tr>
        <w:tc>
          <w:tcPr>
            <w:tcW w:type="dxa" w:w="4561"/>
            <w:shd w:val="clear" w:color="auto" w:fill="F0F4F8"/>
          </w:tcPr>
          <w:p>
            <w:r>
              <w:rPr>
                <w:b/>
                <w:sz w:val="20"/>
              </w:rPr>
              <w:t>Gai Avenue (Mega)</w:t>
            </w:r>
          </w:p>
        </w:tc>
        <w:tc>
          <w:tcPr>
            <w:tcW w:type="dxa" w:w="4561"/>
            <w:shd w:val="clear" w:color="auto" w:fill="F0F4F8"/>
          </w:tcPr>
          <w:p>
            <w:r>
              <w:rPr>
                <w:sz w:val="20"/>
              </w:rPr>
              <w:t>Suburban retail corridor adjacent to Mega Mall</w:t>
            </w:r>
          </w:p>
        </w:tc>
      </w:tr>
      <w:tr>
        <w:tc>
          <w:tcPr>
            <w:tcW w:type="dxa" w:w="4561"/>
          </w:tcPr>
          <w:p>
            <w:r>
              <w:rPr>
                <w:b/>
                <w:sz w:val="20"/>
              </w:rPr>
              <w:t>Shiraz &amp; Hasratyan</w:t>
            </w:r>
          </w:p>
        </w:tc>
        <w:tc>
          <w:tcPr>
            <w:tcW w:type="dxa" w:w="4561"/>
          </w:tcPr>
          <w:p>
            <w:r>
              <w:rPr>
                <w:sz w:val="20"/>
              </w:rPr>
              <w:t>Residential-adjacent streets; lower commercial intensity</w:t>
            </w:r>
          </w:p>
        </w:tc>
      </w:tr>
      <w:tr>
        <w:tc>
          <w:tcPr>
            <w:tcW w:type="dxa" w:w="4561"/>
            <w:shd w:val="clear" w:color="auto" w:fill="F0F4F8"/>
          </w:tcPr>
          <w:p>
            <w:r>
              <w:rPr>
                <w:b/>
                <w:sz w:val="20"/>
              </w:rPr>
              <w:t>Malatia-Sebastia</w:t>
            </w:r>
          </w:p>
        </w:tc>
        <w:tc>
          <w:tcPr>
            <w:tcW w:type="dxa" w:w="4561"/>
            <w:shd w:val="clear" w:color="auto" w:fill="F0F4F8"/>
          </w:tcPr>
          <w:p>
            <w:r>
              <w:rPr>
                <w:sz w:val="20"/>
              </w:rPr>
              <w:t>Outer district; mix of residential and local commerce</w:t>
            </w:r>
          </w:p>
        </w:tc>
      </w:tr>
    </w:tbl>
    <w:p>
      <w:pPr>
        <w:spacing w:after="120"/>
      </w:pPr>
    </w:p>
    <w:p>
      <w:pPr>
        <w:spacing w:before="360" w:after="120"/>
        <w:pBdr>
          <w:bottom w:val="single" w:sz="6" w:space="1" w:color="006D77"/>
        </w:pBdr>
      </w:pPr>
      <w:r>
        <w:rPr>
          <w:b/>
          <w:color w:val="142A4A"/>
          <w:sz w:val="26"/>
        </w:rPr>
        <w:t>3. DATA QUALITY ASSURANCE</w:t>
      </w:r>
    </w:p>
    <w:p>
      <w:pPr>
        <w:spacing w:before="240" w:after="80"/>
      </w:pPr>
      <w:r>
        <w:rPr>
          <w:b/>
          <w:color w:val="006D77"/>
          <w:sz w:val="22"/>
        </w:rPr>
        <w:t>3.1  Supervisor-Level Review</w:t>
      </w:r>
    </w:p>
    <w:p>
      <w:pPr>
        <w:spacing w:after="80" w:before="0"/>
        <w:jc w:val="left"/>
      </w:pPr>
      <w:r>
        <w:rPr>
          <w:b w:val="0"/>
          <w:i w:val="0"/>
          <w:color w:val="1A1A1A"/>
          <w:sz w:val="21"/>
        </w:rPr>
        <w:t>The field team was led by Jorj Aslanyan, who served as on-site supervisor across the majority of survey days. He confirmed during the debrief call:</w:t>
      </w:r>
    </w:p>
    <w:p>
      <w:pPr>
        <w:pStyle w:val="ListBullet"/>
        <w:spacing w:after="60" w:before="0"/>
        <w:ind w:left="360"/>
      </w:pPr>
      <w:r>
        <w:rPr>
          <w:color w:val="1A1A1A"/>
          <w:sz w:val="21"/>
        </w:rPr>
        <w:t>He was personally present in the field for four of the six survey days — for extended periods of eight to nine hours — and was present at others in a supervisory capacity.</w:t>
      </w:r>
    </w:p>
    <w:p>
      <w:pPr>
        <w:pStyle w:val="ListBullet"/>
        <w:spacing w:after="60" w:before="0"/>
        <w:ind w:left="360"/>
      </w:pPr>
      <w:r>
        <w:rPr>
          <w:color w:val="1A1A1A"/>
          <w:sz w:val="21"/>
        </w:rPr>
        <w:t>After each survey day he reviewed all Excel workbooks submitted by enumerators, checking for duplicate entries, cross-zone double-counting, and data-entry errors.</w:t>
      </w:r>
    </w:p>
    <w:p>
      <w:pPr>
        <w:pStyle w:val="ListBullet"/>
        <w:spacing w:after="60" w:before="0"/>
        <w:ind w:left="360"/>
      </w:pPr>
      <w:r>
        <w:rPr>
          <w:color w:val="1A1A1A"/>
          <w:sz w:val="21"/>
        </w:rPr>
        <w:t>Errors identified during review (e.g. a car recorded twice in adjacent zones during a transition) were corrected before the files were forwarded to the STS team.</w:t>
      </w:r>
    </w:p>
    <w:p>
      <w:pPr>
        <w:pStyle w:val="ListBullet"/>
        <w:spacing w:after="60" w:before="0"/>
        <w:ind w:left="360"/>
      </w:pPr>
      <w:r>
        <w:rPr>
          <w:color w:val="1A1A1A"/>
          <w:sz w:val="21"/>
        </w:rPr>
        <w:t>Any anomaly flagged by enumerators in the field was communicated to the supervisor in real time, who directed the appropriate corrective action.</w:t>
      </w:r>
    </w:p>
    <w:p>
      <w:pPr>
        <w:spacing w:after="200" w:before="0"/>
        <w:jc w:val="left"/>
      </w:pPr>
      <w:r>
        <w:rPr>
          <w:b w:val="0"/>
          <w:i/>
          <w:color w:val="555555"/>
          <w:sz w:val="21"/>
        </w:rPr>
        <w:t>In the supervisor's own words: "I always checked all these results myself. I was always in contact with [the enumerators]. After that I reviewed all the Excel files and also checked all these results." (Transcript, 23:31–23:51)</w:t>
      </w:r>
    </w:p>
    <w:p>
      <w:pPr>
        <w:spacing w:before="240" w:after="80"/>
      </w:pPr>
      <w:r>
        <w:rPr>
          <w:b/>
          <w:color w:val="006D77"/>
          <w:sz w:val="22"/>
        </w:rPr>
        <w:t>3.2  Real-Time Cross-Checking During Surveys</w:t>
      </w:r>
    </w:p>
    <w:p>
      <w:pPr>
        <w:spacing w:after="80" w:before="0"/>
        <w:jc w:val="left"/>
      </w:pPr>
      <w:r>
        <w:rPr>
          <w:b w:val="0"/>
          <w:i w:val="0"/>
          <w:color w:val="1A1A1A"/>
          <w:sz w:val="21"/>
        </w:rPr>
        <w:t>Beyond post-hoc review, the supervisor described active quality management during data collection:</w:t>
      </w:r>
    </w:p>
    <w:p>
      <w:pPr>
        <w:pStyle w:val="ListBullet"/>
        <w:spacing w:after="60" w:before="0"/>
        <w:ind w:left="360"/>
      </w:pPr>
      <w:r>
        <w:rPr>
          <w:color w:val="1A1A1A"/>
          <w:sz w:val="21"/>
        </w:rPr>
        <w:t>Enumerators who recorded the same vehicle in overlapping zones were identified and directed to exclude the duplicate entry.</w:t>
      </w:r>
    </w:p>
    <w:p>
      <w:pPr>
        <w:pStyle w:val="ListBullet"/>
        <w:spacing w:after="60" w:before="0"/>
        <w:ind w:left="360"/>
      </w:pPr>
      <w:r>
        <w:rPr>
          <w:color w:val="1A1A1A"/>
          <w:sz w:val="21"/>
        </w:rPr>
        <w:t>The supervisor personally observed parking behaviour at first hand — e.g. watching individual vehicles move between zones — to validate enumerator records.</w:t>
      </w:r>
    </w:p>
    <w:p>
      <w:pPr>
        <w:pStyle w:val="ListBullet"/>
        <w:spacing w:after="60" w:before="0"/>
        <w:ind w:left="360"/>
      </w:pPr>
      <w:r>
        <w:rPr>
          <w:color w:val="1A1A1A"/>
          <w:sz w:val="21"/>
        </w:rPr>
        <w:t>Licence plate sequences were compared hour-by-hour within each workbook to detect implausible repetitions.</w:t>
      </w:r>
    </w:p>
    <w:tbl>
      <w:tblPr>
        <w:tblW w:type="auto" w:w="0"/>
        <w:jc w:val="left"/>
        <w:tblLook w:firstColumn="1" w:firstRow="1" w:lastColumn="0" w:lastRow="0" w:noHBand="0" w:noVBand="1" w:val="04A0"/>
      </w:tblPr>
      <w:tblGrid>
        <w:gridCol w:w="9122"/>
      </w:tblGrid>
      <w:tr>
        <w:tc>
          <w:tcPr>
            <w:tcW w:type="dxa" w:w="9122"/>
            <w:shd w:val="clear" w:color="auto" w:fill="142A4A"/>
          </w:tcPr>
          <w:p>
            <w:pPr>
              <w:spacing w:after="0" w:before="0"/>
            </w:pPr>
            <w:r>
              <w:rPr>
                <w:b/>
                <w:color w:val="FFFFFF"/>
                <w:sz w:val="20"/>
              </w:rPr>
              <w:t xml:space="preserve">METHODOLOGY:  </w:t>
            </w:r>
            <w:r>
              <w:rPr>
                <w:color w:val="FFFFFF"/>
                <w:sz w:val="20"/>
              </w:rPr>
              <w:t>Zone-crossover events (a vehicle leaving one zone and re-parking in an adjacent zone within the same survey period) are treated as two distinct parking events, each with its own start time. This is consistent with standard parking survey methodology — the vehicle's dwell in each zone is independent and short.</w:t>
            </w:r>
          </w:p>
        </w:tc>
      </w:tr>
    </w:tbl>
    <w:p>
      <w:pPr>
        <w:spacing w:after="120"/>
      </w:pPr>
    </w:p>
    <w:p>
      <w:pPr>
        <w:spacing w:before="360" w:after="120"/>
        <w:pBdr>
          <w:bottom w:val="single" w:sz="6" w:space="1" w:color="006D77"/>
        </w:pBdr>
      </w:pPr>
      <w:r>
        <w:rPr>
          <w:b/>
          <w:color w:val="142A4A"/>
          <w:sz w:val="26"/>
        </w:rPr>
        <w:t>4. ON-SITE CONDITIONS AND EXCEPTIONS</w:t>
      </w:r>
    </w:p>
    <w:p>
      <w:pPr>
        <w:spacing w:after="160" w:before="0"/>
        <w:jc w:val="left"/>
      </w:pPr>
      <w:r>
        <w:rPr>
          <w:b w:val="0"/>
          <w:i w:val="0"/>
          <w:color w:val="1A1A1A"/>
          <w:sz w:val="21"/>
        </w:rPr>
        <w:t>The field team reported several site-specific conditions that affected individual zones during the survey period. Each condition was identified, communicated to the STS team, and handled in a documented manner.</w:t>
      </w:r>
    </w:p>
    <w:p>
      <w:pPr>
        <w:spacing w:before="240" w:after="80"/>
      </w:pPr>
      <w:r>
        <w:rPr>
          <w:b/>
          <w:color w:val="006D77"/>
          <w:sz w:val="22"/>
        </w:rPr>
        <w:t>4.1  Zones with No Parking Due to Road Works or Traffic-Rule Changes</w:t>
      </w:r>
    </w:p>
    <w:p>
      <w:pPr>
        <w:spacing w:after="80" w:before="0"/>
        <w:jc w:val="left"/>
      </w:pPr>
      <w:r>
        <w:rPr>
          <w:b w:val="0"/>
          <w:i w:val="0"/>
          <w:color w:val="1A1A1A"/>
          <w:sz w:val="21"/>
        </w:rPr>
        <w:t>In certain zones parking was physically unavailable at the time of the survey due to active road works or recent changes to traffic regulations:</w:t>
      </w:r>
    </w:p>
    <w:p>
      <w:pPr>
        <w:pStyle w:val="ListBullet"/>
        <w:spacing w:after="60" w:before="0"/>
        <w:ind w:left="360"/>
      </w:pPr>
      <w:r>
        <w:rPr>
          <w:b/>
          <w:color w:val="1A1A1A"/>
          <w:sz w:val="21"/>
        </w:rPr>
        <w:t xml:space="preserve">Moskovyan Street — </w:t>
      </w:r>
      <w:r>
        <w:rPr>
          <w:color w:val="1A1A1A"/>
          <w:sz w:val="21"/>
        </w:rPr>
        <w:t>Moskovyan Street: the street's traffic direction was changed to one-way, making parking on one side prohibited under revised traffic rules.</w:t>
      </w:r>
    </w:p>
    <w:p>
      <w:pPr>
        <w:pStyle w:val="ListBullet"/>
        <w:spacing w:after="60" w:before="0"/>
        <w:ind w:left="360"/>
      </w:pPr>
      <w:r>
        <w:rPr>
          <w:b/>
          <w:color w:val="1A1A1A"/>
          <w:sz w:val="21"/>
        </w:rPr>
        <w:t xml:space="preserve">Republic Square — </w:t>
      </w:r>
      <w:r>
        <w:rPr>
          <w:color w:val="1A1A1A"/>
          <w:sz w:val="21"/>
        </w:rPr>
        <w:t>Republic Square vicinity: a specific zone adjacent to the square was subject to a no-parking restriction.</w:t>
      </w:r>
    </w:p>
    <w:p>
      <w:pPr>
        <w:pStyle w:val="ListBullet"/>
        <w:spacing w:after="60" w:before="0"/>
        <w:ind w:left="360"/>
      </w:pPr>
      <w:r>
        <w:rPr>
          <w:b/>
          <w:color w:val="1A1A1A"/>
          <w:sz w:val="21"/>
        </w:rPr>
        <w:t xml:space="preserve">Malatia-Sebastia — </w:t>
      </w:r>
      <w:r>
        <w:rPr>
          <w:color w:val="1A1A1A"/>
          <w:sz w:val="21"/>
        </w:rPr>
        <w:t>Malatia-Sebastia (two locations): zones where parking was not possible due to physical conditions at the time of survey.</w:t>
      </w:r>
    </w:p>
    <w:p>
      <w:pPr>
        <w:spacing w:after="80" w:before="0"/>
        <w:jc w:val="left"/>
      </w:pPr>
      <w:r>
        <w:rPr>
          <w:b w:val="0"/>
          <w:i/>
          <w:color w:val="555555"/>
          <w:sz w:val="21"/>
        </w:rPr>
        <w:t>The supervisor stated: "There were no closed streets, but there were places where road works were being carried out and cars could not park. And in some zones, traffic rules in Armenia had changed — the street became one-way and parking there is not allowed." (Transcript, 9:17–10:44)</w:t>
      </w:r>
    </w:p>
    <w:tbl>
      <w:tblPr>
        <w:tblW w:type="auto" w:w="0"/>
        <w:jc w:val="left"/>
        <w:tblLook w:firstColumn="1" w:firstRow="1" w:lastColumn="0" w:lastRow="0" w:noHBand="0" w:noVBand="1" w:val="04A0"/>
      </w:tblPr>
      <w:tblGrid>
        <w:gridCol w:w="9122"/>
      </w:tblGrid>
      <w:tr>
        <w:tc>
          <w:tcPr>
            <w:tcW w:type="dxa" w:w="9122"/>
            <w:shd w:val="clear" w:color="auto" w:fill="006D77"/>
          </w:tcPr>
          <w:p>
            <w:pPr>
              <w:spacing w:after="0" w:before="0"/>
            </w:pPr>
            <w:r>
              <w:rPr>
                <w:b/>
                <w:color w:val="FFFFFF"/>
                <w:sz w:val="20"/>
              </w:rPr>
              <w:t xml:space="preserve">HANDLING:  </w:t>
            </w:r>
            <w:r>
              <w:rPr>
                <w:color w:val="FFFFFF"/>
                <w:sz w:val="20"/>
              </w:rPr>
              <w:t>Zones where parking was prohibited at the time of survey were recorded as empty (zero occupancy). They are included in the zone inventory but excluded from occupancy rate calculations to avoid deflating the supply figures artificially.</w:t>
            </w:r>
          </w:p>
        </w:tc>
      </w:tr>
    </w:tbl>
    <w:p>
      <w:pPr>
        <w:spacing w:after="120"/>
      </w:pPr>
    </w:p>
    <w:p>
      <w:pPr>
        <w:spacing w:before="240" w:after="80"/>
      </w:pPr>
      <w:r>
        <w:rPr>
          <w:b/>
          <w:color w:val="006D77"/>
          <w:sz w:val="22"/>
        </w:rPr>
        <w:t>4.2  Zone Substitutions — Inaccessible Survey Points</w:t>
      </w:r>
    </w:p>
    <w:p>
      <w:pPr>
        <w:spacing w:after="80" w:before="0"/>
        <w:jc w:val="left"/>
      </w:pPr>
      <w:r>
        <w:rPr>
          <w:b w:val="0"/>
          <w:i w:val="0"/>
          <w:color w:val="1A1A1A"/>
          <w:sz w:val="21"/>
        </w:rPr>
        <w:t>Two zones could not be surveyed as originally designated and were substituted with adjacent zones of equivalent character after coordination with the field coordinator (Hayk Sargsyan):</w:t>
      </w:r>
    </w:p>
    <w:p>
      <w:pPr>
        <w:pStyle w:val="ListBullet"/>
        <w:spacing w:after="60" w:before="0"/>
        <w:ind w:left="360"/>
      </w:pPr>
      <w:r>
        <w:rPr>
          <w:b/>
          <w:color w:val="1A1A1A"/>
          <w:sz w:val="21"/>
        </w:rPr>
        <w:t xml:space="preserve">Malatia-Sebastia substitution — </w:t>
      </w:r>
      <w:r>
        <w:rPr>
          <w:color w:val="1A1A1A"/>
          <w:sz w:val="21"/>
        </w:rPr>
        <w:t>Malatia-Sebastia: the designated zone was inaccessible; the team contacted the coordinator, who authorised an equivalent replacement zone approximately one block away.</w:t>
      </w:r>
    </w:p>
    <w:p>
      <w:pPr>
        <w:pStyle w:val="ListBullet"/>
        <w:spacing w:after="60" w:before="0"/>
        <w:ind w:left="360"/>
      </w:pPr>
      <w:r>
        <w:rPr>
          <w:b/>
          <w:color w:val="1A1A1A"/>
          <w:sz w:val="21"/>
        </w:rPr>
        <w:t xml:space="preserve">Kaipoghot / Gai Avenue — </w:t>
      </w:r>
      <w:r>
        <w:rPr>
          <w:color w:val="1A1A1A"/>
          <w:sz w:val="21"/>
        </w:rPr>
        <w:t>Kaipoghot (Gai Avenue area): a zone designated as part of the Mercedes-Benz dealership parking was closed to public access. The zone was excluded and the survey continued on adjacent street segments.</w:t>
      </w:r>
    </w:p>
    <w:p>
      <w:pPr>
        <w:spacing w:after="200" w:before="0"/>
        <w:jc w:val="left"/>
      </w:pPr>
      <w:r>
        <w:rPr>
          <w:b w:val="0"/>
          <w:i w:val="0"/>
          <w:color w:val="555555"/>
          <w:sz w:val="21"/>
        </w:rPr>
        <w:t>Zone substitutions were approved in real time by the project coordinator and are reflected in the final zone inventory.</w:t>
      </w:r>
    </w:p>
    <w:p>
      <w:pPr>
        <w:spacing w:before="240" w:after="80"/>
      </w:pPr>
      <w:r>
        <w:rPr>
          <w:b/>
          <w:color w:val="006D77"/>
          <w:sz w:val="22"/>
        </w:rPr>
        <w:t>4.3  Time-Restricted Zones (Komitas, Zone 115)</w:t>
      </w:r>
    </w:p>
    <w:p>
      <w:pPr>
        <w:spacing w:after="200" w:before="0"/>
        <w:jc w:val="left"/>
      </w:pPr>
      <w:r>
        <w:rPr>
          <w:b w:val="0"/>
          <w:i w:val="0"/>
          <w:color w:val="1A1A1A"/>
          <w:sz w:val="21"/>
        </w:rPr>
        <w:t>Zone 115 in the Komitas area operated under a chain-barrier system (Armenian: 'шланг-баун') that restricted entry after approximately 21:00–22:00. The supervisor confirmed this restriction with on-site parking attendants. Vehicles already parked before the closure were recorded as overnight stayers and their licence plates noted in each subsequent hourly observation.</w:t>
      </w:r>
    </w:p>
    <w:p>
      <w:pPr>
        <w:spacing w:before="240" w:after="80"/>
      </w:pPr>
      <w:r>
        <w:rPr>
          <w:b/>
          <w:color w:val="006D77"/>
          <w:sz w:val="22"/>
        </w:rPr>
        <w:t>4.4  Locations with Low Daytime Demand (Kerkurov Street)</w:t>
      </w:r>
    </w:p>
    <w:p>
      <w:pPr>
        <w:spacing w:after="80" w:before="0"/>
        <w:jc w:val="left"/>
      </w:pPr>
      <w:r>
        <w:rPr>
          <w:b w:val="0"/>
          <w:i w:val="0"/>
          <w:color w:val="1A1A1A"/>
          <w:sz w:val="21"/>
        </w:rPr>
        <w:t>Kerkurov Street (surveyed as part of the Komitas corridor) displayed near-zero occupancy during midday hours. The supervisor personally visited the location after receiving enumerator reports and confirmed the observation — the street lacks adjacent attractors that generate daytime parking demand. Demand picked up after 18:00 as residents returned home.</w:t>
      </w:r>
    </w:p>
    <w:p>
      <w:pPr>
        <w:spacing w:after="200" w:before="0"/>
        <w:jc w:val="left"/>
      </w:pPr>
      <w:r>
        <w:rPr>
          <w:b w:val="0"/>
          <w:i/>
          <w:color w:val="555555"/>
          <w:sz w:val="21"/>
        </w:rPr>
        <w:t>The supervisor stated: "First, when people said there were no cars, they sent photos. I went there myself, looked, and indeed there were no cars." (Transcript, 15:41–16:05)</w:t>
      </w:r>
    </w:p>
    <w:p>
      <w:pPr>
        <w:spacing w:before="240" w:after="80"/>
      </w:pPr>
      <w:r>
        <w:rPr>
          <w:b/>
          <w:color w:val="006D77"/>
          <w:sz w:val="22"/>
        </w:rPr>
        <w:t>4.5  Long-Term / All-Day Parked Vehicles</w:t>
      </w:r>
    </w:p>
    <w:p>
      <w:pPr>
        <w:spacing w:after="80" w:before="0"/>
        <w:jc w:val="left"/>
      </w:pPr>
      <w:r>
        <w:rPr>
          <w:b w:val="0"/>
          <w:i w:val="0"/>
          <w:color w:val="1A1A1A"/>
          <w:sz w:val="21"/>
        </w:rPr>
        <w:t>A small number of vehicles remained stationary throughout the entire survey window. These were:</w:t>
      </w:r>
    </w:p>
    <w:p>
      <w:pPr>
        <w:pStyle w:val="ListBullet"/>
        <w:spacing w:after="60" w:before="0"/>
        <w:ind w:left="360"/>
      </w:pPr>
      <w:r>
        <w:rPr>
          <w:color w:val="1A1A1A"/>
          <w:sz w:val="21"/>
        </w:rPr>
        <w:t>Recorded with their licence plates in every hourly observation (not excluded from the dataset).</w:t>
      </w:r>
    </w:p>
    <w:p>
      <w:pPr>
        <w:pStyle w:val="ListBullet"/>
        <w:spacing w:after="60" w:before="0"/>
        <w:ind w:left="360"/>
      </w:pPr>
      <w:r>
        <w:rPr>
          <w:color w:val="1A1A1A"/>
          <w:sz w:val="21"/>
        </w:rPr>
        <w:t>Counted as a single vehicle for occupancy purposes but contributing a full-day dwell time to the turnover distribution.</w:t>
      </w:r>
    </w:p>
    <w:p>
      <w:pPr>
        <w:pStyle w:val="ListBullet"/>
        <w:spacing w:after="60" w:before="0"/>
        <w:ind w:left="360"/>
      </w:pPr>
      <w:r>
        <w:rPr>
          <w:color w:val="1A1A1A"/>
          <w:sz w:val="21"/>
        </w:rPr>
        <w:t>Estimated at approximately 10 vehicles across the Komitas corridor (the area with the longest supervisor coverage of 8–9 hours).</w:t>
      </w:r>
    </w:p>
    <w:p>
      <w:pPr>
        <w:spacing w:after="200" w:before="0"/>
        <w:jc w:val="left"/>
      </w:pPr>
      <w:r>
        <w:rPr>
          <w:b w:val="0"/>
          <w:i w:val="0"/>
          <w:color w:val="555555"/>
          <w:sz w:val="21"/>
        </w:rPr>
        <w:t>These vehicles do not distort the short-stay percentages because they appear as a distinct long-dwell cohort, not as repeated short-stay events.</w:t>
      </w:r>
    </w:p>
    <w:p>
      <w:pPr>
        <w:spacing w:before="240" w:after="80"/>
      </w:pPr>
      <w:r>
        <w:rPr>
          <w:b/>
          <w:color w:val="006D77"/>
          <w:sz w:val="22"/>
        </w:rPr>
        <w:t>4.6  Taxi and Courier Vehicle Activity</w:t>
      </w:r>
    </w:p>
    <w:p>
      <w:pPr>
        <w:spacing w:after="80" w:before="0"/>
        <w:jc w:val="left"/>
      </w:pPr>
      <w:r>
        <w:rPr>
          <w:b w:val="0"/>
          <w:i w:val="0"/>
          <w:color w:val="1A1A1A"/>
          <w:sz w:val="21"/>
        </w:rPr>
        <w:t>Several zones — notably in the Komitas and Garegin Nzhdeh areas — had identifiable clusters of taxi and delivery-courier vehicles. These vehicles exhibit a characteristic pattern: short stays interspersed with departures and returns. The supervisor noted:</w:t>
      </w:r>
    </w:p>
    <w:p>
      <w:pPr>
        <w:pStyle w:val="ListBullet"/>
        <w:spacing w:after="60" w:before="0"/>
        <w:ind w:left="360"/>
      </w:pPr>
      <w:r>
        <w:rPr>
          <w:color w:val="1A1A1A"/>
          <w:sz w:val="21"/>
        </w:rPr>
        <w:t>Taxis typically occupy a fixed 'waiting point', leave when dispatched, and return after completing a job.</w:t>
      </w:r>
    </w:p>
    <w:p>
      <w:pPr>
        <w:pStyle w:val="ListBullet"/>
        <w:spacing w:after="60" w:before="0"/>
        <w:ind w:left="360"/>
      </w:pPr>
      <w:r>
        <w:rPr>
          <w:color w:val="1A1A1A"/>
          <w:sz w:val="21"/>
        </w:rPr>
        <w:t>Food-delivery couriers (working fast-food and restaurant areas) park briefly, collect orders, and cycle rapidly through the same spots.</w:t>
      </w:r>
    </w:p>
    <w:p>
      <w:pPr>
        <w:pStyle w:val="ListBullet"/>
        <w:spacing w:after="60" w:before="0"/>
        <w:ind w:left="360"/>
      </w:pPr>
      <w:r>
        <w:rPr>
          <w:color w:val="1A1A1A"/>
          <w:sz w:val="21"/>
        </w:rPr>
        <w:t>These behaviours are real demand patterns, not data artefacts, and are correctly captured by the survey methodology.</w:t>
      </w:r>
    </w:p>
    <w:p>
      <w:pPr>
        <w:spacing w:before="360" w:after="120"/>
        <w:pBdr>
          <w:bottom w:val="single" w:sz="6" w:space="1" w:color="006D77"/>
        </w:pBdr>
      </w:pPr>
      <w:r>
        <w:rPr>
          <w:b/>
          <w:color w:val="142A4A"/>
          <w:sz w:val="26"/>
        </w:rPr>
        <w:t>5. JUSTIFICATION OF KEY ANALYTICAL FINDINGS</w:t>
      </w:r>
    </w:p>
    <w:p>
      <w:pPr>
        <w:spacing w:before="240" w:after="80"/>
      </w:pPr>
      <w:r>
        <w:rPr>
          <w:b/>
          <w:color w:val="006D77"/>
          <w:sz w:val="22"/>
        </w:rPr>
        <w:t>5.1  62% of Parking Events Last Less Than One Hour</w:t>
      </w:r>
    </w:p>
    <w:p>
      <w:pPr>
        <w:spacing w:after="80" w:before="0"/>
        <w:jc w:val="left"/>
      </w:pPr>
      <w:r>
        <w:rPr>
          <w:b w:val="0"/>
          <w:i w:val="0"/>
          <w:color w:val="1A1A1A"/>
          <w:sz w:val="21"/>
        </w:rPr>
        <w:t>The headline finding that approximately 62% of observed parking events had a duration of under one hour was explicitly reviewed with the field supervisor during the debrief. He confirmed this was logical and expected, for the following reasons:</w:t>
      </w:r>
    </w:p>
    <w:p>
      <w:pPr>
        <w:pStyle w:val="ListBullet"/>
        <w:spacing w:after="60" w:before="0"/>
        <w:ind w:left="360"/>
      </w:pPr>
      <w:r>
        <w:rPr>
          <w:color w:val="1A1A1A"/>
          <w:sz w:val="21"/>
        </w:rPr>
        <w:t>Commercial land use: all six survey areas are characterised by high concentrations of retail outlets, supermarkets, service businesses (barbershops, pharmacies), fast-food restaurants, and offices — trip purposes that generate short-stay demand.</w:t>
      </w:r>
    </w:p>
    <w:p>
      <w:pPr>
        <w:pStyle w:val="ListBullet"/>
        <w:spacing w:after="60" w:before="0"/>
        <w:ind w:left="360"/>
      </w:pPr>
      <w:r>
        <w:rPr>
          <w:color w:val="1A1A1A"/>
          <w:sz w:val="21"/>
        </w:rPr>
        <w:t>Zone-crossover inflation: when a driver parks in one zone, moves forward to an adjacent zone (e.g. to be closer to a destination), and parks again, each event is recorded as a separate short stay. This inflates the count of sub-one-hour events without being a data error — both events are real and correctly observed.</w:t>
      </w:r>
    </w:p>
    <w:p>
      <w:pPr>
        <w:pStyle w:val="ListBullet"/>
        <w:spacing w:after="60" w:before="0"/>
        <w:ind w:left="360"/>
      </w:pPr>
      <w:r>
        <w:rPr>
          <w:color w:val="1A1A1A"/>
          <w:sz w:val="21"/>
        </w:rPr>
        <w:t>Taxi and courier cycling: as described in §4.6, high-turnover vehicle categories contribute disproportionately to the short-stay count.</w:t>
      </w:r>
    </w:p>
    <w:p>
      <w:pPr>
        <w:spacing w:after="200" w:before="0"/>
        <w:jc w:val="left"/>
      </w:pPr>
      <w:r>
        <w:rPr>
          <w:b w:val="0"/>
          <w:i/>
          <w:color w:val="555555"/>
          <w:sz w:val="21"/>
        </w:rPr>
        <w:t>The supervisor's verbatim confirmation: "I think this is logical. I can explain it because... these streets have many shops, many supermarkets, many services — barber shops or whatever. Cars will not stay very long. They came, did their business, and left." (Transcript, 24:08–24:45)</w:t>
      </w:r>
    </w:p>
    <w:p>
      <w:pPr>
        <w:spacing w:before="240" w:after="80"/>
      </w:pPr>
      <w:r>
        <w:rPr>
          <w:b/>
          <w:color w:val="006D77"/>
          <w:sz w:val="22"/>
        </w:rPr>
        <w:t>5.2  Approximately 1% of Observed Vehicles Parked Illegally</w:t>
      </w:r>
    </w:p>
    <w:p>
      <w:pPr>
        <w:spacing w:after="80" w:before="0"/>
        <w:jc w:val="left"/>
      </w:pPr>
      <w:r>
        <w:rPr>
          <w:b w:val="0"/>
          <w:i w:val="0"/>
          <w:color w:val="1A1A1A"/>
          <w:sz w:val="21"/>
        </w:rPr>
        <w:t>Across all six survey areas, the proportion of vehicles recorded in prohibited or non-designated parking positions was approximately 1%. The supervisor confirmed this was an accurate and expected result for the following reasons:</w:t>
      </w:r>
    </w:p>
    <w:p>
      <w:pPr>
        <w:pStyle w:val="ListBullet"/>
        <w:spacing w:after="60" w:before="0"/>
        <w:ind w:left="360"/>
      </w:pPr>
      <w:r>
        <w:rPr>
          <w:color w:val="1A1A1A"/>
          <w:sz w:val="21"/>
        </w:rPr>
        <w:t>Zone design: the survey zones forwarded to the field team covered designated legal parking spaces. Areas where parking is structurally prohibited (e.g. bus stops, no-stopping zones, pedestrian areas) were not included within the survey zone boundaries. In the supervisor's words: '99% of the zones you sent us were legal parking zones.' (Transcript, 20:23)</w:t>
      </w:r>
    </w:p>
    <w:p>
      <w:pPr>
        <w:pStyle w:val="ListBullet"/>
        <w:spacing w:after="60" w:before="0"/>
        <w:ind w:left="360"/>
      </w:pPr>
      <w:r>
        <w:rPr>
          <w:color w:val="1A1A1A"/>
          <w:sz w:val="21"/>
        </w:rPr>
        <w:t>Enforcement environment: all six study areas are characterised by dense camera coverage and active police presence. Drivers in these corridors are aware of enforcement and largely comply. The supervisor noted: 'There are many cameras and many police officers. People cannot freely park on the pavement.' (Transcript, 21:58–22:05)</w:t>
      </w:r>
    </w:p>
    <w:p>
      <w:pPr>
        <w:pStyle w:val="ListBullet"/>
        <w:spacing w:after="60" w:before="0"/>
        <w:ind w:left="360"/>
      </w:pPr>
      <w:r>
        <w:rPr>
          <w:color w:val="1A1A1A"/>
          <w:sz w:val="21"/>
        </w:rPr>
        <w:t>Central locations: the survey areas are the busiest, most visible streets in Yerevan. The supervisor distinguished these from peripheral areas where informal parking is more common: 'People do not park normally at the edges of the city. Near tram lines or outside their own homes they may park incorrectly. Here, in these busy areas — no.' (Transcript, 22:10–22:35)</w:t>
      </w:r>
    </w:p>
    <w:tbl>
      <w:tblPr>
        <w:tblW w:type="auto" w:w="0"/>
        <w:jc w:val="left"/>
        <w:tblLook w:firstColumn="1" w:firstRow="1" w:lastColumn="0" w:lastRow="0" w:noHBand="0" w:noVBand="1" w:val="04A0"/>
      </w:tblPr>
      <w:tblGrid>
        <w:gridCol w:w="9122"/>
      </w:tblGrid>
      <w:tr>
        <w:tc>
          <w:tcPr>
            <w:tcW w:type="dxa" w:w="9122"/>
            <w:shd w:val="clear" w:color="auto" w:fill="006D77"/>
          </w:tcPr>
          <w:p>
            <w:pPr>
              <w:spacing w:after="0" w:before="0"/>
            </w:pPr>
            <w:r>
              <w:rPr>
                <w:b/>
                <w:color w:val="FFFFFF"/>
                <w:sz w:val="20"/>
              </w:rPr>
              <w:t xml:space="preserve">CONTEXT:  </w:t>
            </w:r>
            <w:r>
              <w:rPr>
                <w:color w:val="FFFFFF"/>
                <w:sz w:val="20"/>
              </w:rPr>
              <w:t>A low illegal parking rate is not a signal of under-reporting — it reflects the enforcement reality of the specific corridors studied. High illegality rates would be expected in residential back-streets, which were outside the survey scope.</w:t>
            </w:r>
          </w:p>
        </w:tc>
      </w:tr>
    </w:tbl>
    <w:p>
      <w:pPr>
        <w:spacing w:after="120"/>
      </w:pPr>
    </w:p>
    <w:p>
      <w:pPr>
        <w:spacing w:before="240" w:after="80"/>
      </w:pPr>
      <w:r>
        <w:rPr>
          <w:b/>
          <w:color w:val="006D77"/>
          <w:sz w:val="22"/>
        </w:rPr>
        <w:t>5.3  Morning Peak at 07:00–08:00 Higher Than 09:00</w:t>
      </w:r>
    </w:p>
    <w:p>
      <w:pPr>
        <w:spacing w:after="200" w:before="0"/>
        <w:jc w:val="left"/>
      </w:pPr>
      <w:r>
        <w:rPr>
          <w:b w:val="0"/>
          <w:i w:val="0"/>
          <w:color w:val="1A1A1A"/>
          <w:sz w:val="21"/>
        </w:rPr>
        <w:t>The supervisor observed — consistent with the analytical data — that occupancy at 07:00–08:00 tended to be higher than at 09:00 in several zones. He attributed this to commuter behaviour: workers park near their workplace early and retrieve vehicles late, leaving a gap at mid-morning as turnover occurs. This is consistent with standard commuter parking demand patterns.</w:t>
      </w:r>
    </w:p>
    <w:p>
      <w:pPr>
        <w:spacing w:before="240" w:after="80"/>
      </w:pPr>
      <w:r>
        <w:rPr>
          <w:b/>
          <w:color w:val="006D77"/>
          <w:sz w:val="22"/>
        </w:rPr>
        <w:t>5.4  Hasratyan — Asymmetric Demand Across Street Sides</w:t>
      </w:r>
    </w:p>
    <w:p>
      <w:pPr>
        <w:spacing w:after="200" w:before="0"/>
        <w:jc w:val="left"/>
      </w:pPr>
      <w:r>
        <w:rPr>
          <w:b w:val="0"/>
          <w:i w:val="0"/>
          <w:color w:val="1A1A1A"/>
          <w:sz w:val="21"/>
        </w:rPr>
        <w:t>On Krikor Hasratyan Street, the supervisor described an observed asymmetry: the eastern side of the street, which fronts active retail, had consistently higher occupancy than the western side, which faces an unactivated frontage. Drivers unable to find space on the eastern side crossed to park on the western side — yielding a counterintuitive pattern where a less-attractive kerb appeared occupied due to overflow. This is correctly captured by zone-level analysis.</w:t>
      </w:r>
    </w:p>
    <w:p>
      <w:pPr>
        <w:spacing w:before="240" w:after="80"/>
      </w:pPr>
      <w:r>
        <w:rPr>
          <w:b/>
          <w:color w:val="006D77"/>
          <w:sz w:val="22"/>
        </w:rPr>
        <w:t>5.5  Inter-Hour Gaps in Individual Vehicle Records</w:t>
      </w:r>
    </w:p>
    <w:p>
      <w:pPr>
        <w:spacing w:after="80" w:before="0"/>
        <w:jc w:val="left"/>
      </w:pPr>
      <w:r>
        <w:rPr>
          <w:b w:val="0"/>
          <w:i w:val="0"/>
          <w:color w:val="1A1A1A"/>
          <w:sz w:val="21"/>
        </w:rPr>
        <w:t>The analytical dataset includes instances where the same vehicle licence plate appears in hour 1, is absent in hours 2–3, and reappears in hour 4. This is genuine behaviour — not a data error — and reflects:</w:t>
      </w:r>
    </w:p>
    <w:p>
      <w:pPr>
        <w:pStyle w:val="ListBullet"/>
        <w:spacing w:after="60" w:before="0"/>
        <w:ind w:left="360"/>
      </w:pPr>
      <w:r>
        <w:rPr>
          <w:color w:val="1A1A1A"/>
          <w:sz w:val="21"/>
        </w:rPr>
        <w:t>Residents who park in the morning, leave for work, and return in the evening.</w:t>
      </w:r>
    </w:p>
    <w:p>
      <w:pPr>
        <w:pStyle w:val="ListBullet"/>
        <w:spacing w:after="60" w:before="0"/>
        <w:ind w:left="360"/>
      </w:pPr>
      <w:r>
        <w:rPr>
          <w:color w:val="1A1A1A"/>
          <w:sz w:val="21"/>
        </w:rPr>
        <w:t>Taxi drivers who occupy a waiting spot, respond to a call, and return to the same spot.</w:t>
      </w:r>
    </w:p>
    <w:p>
      <w:pPr>
        <w:pStyle w:val="ListBullet"/>
        <w:spacing w:after="60" w:before="0"/>
        <w:ind w:left="360"/>
      </w:pPr>
      <w:r>
        <w:rPr>
          <w:color w:val="1A1A1A"/>
          <w:sz w:val="21"/>
        </w:rPr>
        <w:t>Delivery vehicles cycling between the depot and the same delivery zone.</w:t>
      </w:r>
    </w:p>
    <w:p>
      <w:pPr>
        <w:spacing w:after="200" w:before="0"/>
        <w:jc w:val="left"/>
      </w:pPr>
      <w:r>
        <w:rPr>
          <w:b w:val="0"/>
          <w:i/>
          <w:color w:val="555555"/>
          <w:sz w:val="21"/>
        </w:rPr>
        <w:t>The supervisor confirmed this pattern: "I only just told you that there were places where several cars were parked for several hours, then they left. And later in the evening they came back. I think these are people who live near this parking area." (Transcript, 27:37–27:52)</w:t>
      </w:r>
    </w:p>
    <w:p>
      <w:pPr>
        <w:spacing w:before="360" w:after="120"/>
        <w:pBdr>
          <w:bottom w:val="single" w:sz="6" w:space="1" w:color="006D77"/>
        </w:pBdr>
      </w:pPr>
      <w:r>
        <w:rPr>
          <w:b/>
          <w:color w:val="142A4A"/>
          <w:sz w:val="26"/>
        </w:rPr>
        <w:t>6. EXTERNAL CONDITIONS DURING THE SURVEY PERIOD</w:t>
      </w:r>
    </w:p>
    <w:p>
      <w:pPr>
        <w:spacing w:before="240" w:after="80"/>
      </w:pPr>
      <w:r>
        <w:rPr>
          <w:b/>
          <w:color w:val="006D77"/>
          <w:sz w:val="22"/>
        </w:rPr>
        <w:t>6.1  Weather</w:t>
      </w:r>
    </w:p>
    <w:p>
      <w:pPr>
        <w:spacing w:after="200" w:before="0"/>
        <w:jc w:val="left"/>
      </w:pPr>
      <w:r>
        <w:rPr>
          <w:b w:val="0"/>
          <w:i w:val="0"/>
          <w:color w:val="1A1A1A"/>
          <w:sz w:val="21"/>
        </w:rPr>
        <w:t>The supervisor confirmed that no rain occurred on any of the survey days in which he was personally present (four of the six survey days). Weather conditions were described as normal and conducive to regular parking behaviour. Adverse weather was not identified as a potential confounding factor.</w:t>
      </w:r>
    </w:p>
    <w:p>
      <w:pPr>
        <w:spacing w:before="240" w:after="80"/>
      </w:pPr>
      <w:r>
        <w:rPr>
          <w:b/>
          <w:color w:val="006D77"/>
          <w:sz w:val="22"/>
        </w:rPr>
        <w:t>6.2  Special Events</w:t>
      </w:r>
    </w:p>
    <w:p>
      <w:pPr>
        <w:spacing w:after="80" w:before="0"/>
        <w:jc w:val="left"/>
      </w:pPr>
      <w:r>
        <w:rPr>
          <w:b w:val="0"/>
          <w:i w:val="0"/>
          <w:color w:val="1A1A1A"/>
          <w:sz w:val="21"/>
        </w:rPr>
        <w:t>A concert was held at Republic Square during the survey period. The field coordinator and supervisor assessed its potential impact:</w:t>
      </w:r>
    </w:p>
    <w:p>
      <w:pPr>
        <w:pStyle w:val="ListBullet"/>
        <w:spacing w:after="60" w:before="0"/>
        <w:ind w:left="360"/>
      </w:pPr>
      <w:r>
        <w:rPr>
          <w:color w:val="1A1A1A"/>
          <w:sz w:val="21"/>
        </w:rPr>
        <w:t>Concert-goers travel to Republic Square primarily on foot or by public transport — not by private car — because no surface parking is available at the square itself.</w:t>
      </w:r>
    </w:p>
    <w:p>
      <w:pPr>
        <w:pStyle w:val="ListBullet"/>
        <w:spacing w:after="60" w:before="0"/>
        <w:ind w:left="360"/>
      </w:pPr>
      <w:r>
        <w:rPr>
          <w:color w:val="1A1A1A"/>
          <w:sz w:val="21"/>
        </w:rPr>
        <w:t>The survey zones near Republic Square cover the surrounding streets, not the square itself. Vehicles already parked in those streets would not vacate due to the event.</w:t>
      </w:r>
    </w:p>
    <w:p>
      <w:pPr>
        <w:pStyle w:val="ListBullet"/>
        <w:spacing w:after="60" w:before="0"/>
        <w:ind w:left="360"/>
      </w:pPr>
      <w:r>
        <w:rPr>
          <w:color w:val="1A1A1A"/>
          <w:sz w:val="21"/>
        </w:rPr>
        <w:t>Political rallies and public gatherings in Yerevan centre are similarly pedestrian-dominated and do not create abnormal parking demand.</w:t>
      </w:r>
    </w:p>
    <w:p>
      <w:pPr>
        <w:spacing w:after="200" w:before="0"/>
        <w:jc w:val="left"/>
      </w:pPr>
      <w:r>
        <w:rPr>
          <w:b w:val="0"/>
          <w:i/>
          <w:color w:val="555555"/>
          <w:sz w:val="21"/>
        </w:rPr>
        <w:t>In the coordinator's words: "Even when these pre-election campaigns take place, when they go out in central Yerevan, they go on foot. Those who are already parked stay parked — they are doing their own business. So, can this seriously affect the results? No." (Transcript, 34:15–34:50)</w:t>
      </w:r>
    </w:p>
    <w:p>
      <w:pPr>
        <w:spacing w:before="360" w:after="120"/>
        <w:pBdr>
          <w:bottom w:val="single" w:sz="6" w:space="1" w:color="006D77"/>
        </w:pBdr>
      </w:pPr>
      <w:r>
        <w:rPr>
          <w:b/>
          <w:color w:val="142A4A"/>
          <w:sz w:val="26"/>
        </w:rPr>
        <w:t>7. SUMMARY — POTENTIAL ADB CHALLENGES AND RESPONSES</w:t>
      </w:r>
    </w:p>
    <w:tbl>
      <w:tblPr>
        <w:tblW w:type="auto" w:w="0"/>
        <w:jc w:val="left"/>
        <w:tblLook w:firstColumn="1" w:firstRow="1" w:lastColumn="0" w:lastRow="0" w:noHBand="0" w:noVBand="1" w:val="04A0"/>
      </w:tblPr>
      <w:tblGrid>
        <w:gridCol w:w="4561"/>
        <w:gridCol w:w="4561"/>
      </w:tblGrid>
      <w:tr>
        <w:tc>
          <w:tcPr>
            <w:tcW w:type="dxa" w:w="4561"/>
            <w:shd w:val="clear" w:color="auto" w:fill="142A4A"/>
          </w:tcPr>
          <w:p>
            <w:r>
              <w:rPr>
                <w:b/>
                <w:color w:val="FFFFFF"/>
                <w:sz w:val="20"/>
              </w:rPr>
              <w:t>Potential Challenge / Query</w:t>
            </w:r>
          </w:p>
        </w:tc>
        <w:tc>
          <w:tcPr>
            <w:tcW w:type="dxa" w:w="4561"/>
            <w:shd w:val="clear" w:color="auto" w:fill="142A4A"/>
          </w:tcPr>
          <w:p>
            <w:r>
              <w:rPr>
                <w:b/>
                <w:color w:val="FFFFFF"/>
                <w:sz w:val="20"/>
              </w:rPr>
              <w:t>Response</w:t>
            </w:r>
          </w:p>
        </w:tc>
      </w:tr>
      <w:tr>
        <w:tc>
          <w:tcPr>
            <w:tcW w:type="dxa" w:w="4561"/>
          </w:tcPr>
          <w:p>
            <w:r>
              <w:rPr>
                <w:b/>
                <w:sz w:val="20"/>
              </w:rPr>
              <w:t>Why is the short-stay rate (&lt; 1 hr) so high at 62%?</w:t>
            </w:r>
          </w:p>
        </w:tc>
        <w:tc>
          <w:tcPr>
            <w:tcW w:type="dxa" w:w="4561"/>
          </w:tcPr>
          <w:p>
            <w:r>
              <w:rPr>
                <w:sz w:val="20"/>
              </w:rPr>
              <w:t>Expected given the commercial land use mix. Confirmed by field supervisor as logical based on direct observation. Zone-crossover events and courier/taxi cycling contribute to the count without inflating it erroneously.</w:t>
            </w:r>
          </w:p>
        </w:tc>
      </w:tr>
      <w:tr>
        <w:tc>
          <w:tcPr>
            <w:tcW w:type="dxa" w:w="4561"/>
            <w:shd w:val="clear" w:color="auto" w:fill="EEF2F6"/>
          </w:tcPr>
          <w:p>
            <w:r>
              <w:rPr>
                <w:b/>
                <w:sz w:val="20"/>
              </w:rPr>
              <w:t>Why is illegal parking only ~1% — is it under-reported?</w:t>
            </w:r>
          </w:p>
        </w:tc>
        <w:tc>
          <w:tcPr>
            <w:tcW w:type="dxa" w:w="4561"/>
            <w:shd w:val="clear" w:color="auto" w:fill="EEF2F6"/>
          </w:tcPr>
          <w:p>
            <w:r>
              <w:rPr>
                <w:sz w:val="20"/>
              </w:rPr>
              <w:t>Survey zones were defined to cover legal parking areas. Enforcement-heavy central corridors with cameras and police presence produce genuine compliance. Not under-reporting — scope design.</w:t>
            </w:r>
          </w:p>
        </w:tc>
      </w:tr>
      <w:tr>
        <w:tc>
          <w:tcPr>
            <w:tcW w:type="dxa" w:w="4561"/>
          </w:tcPr>
          <w:p>
            <w:r>
              <w:rPr>
                <w:b/>
                <w:sz w:val="20"/>
              </w:rPr>
              <w:t>Were any zones inaccessible or changed without notice?</w:t>
            </w:r>
          </w:p>
        </w:tc>
        <w:tc>
          <w:tcPr>
            <w:tcW w:type="dxa" w:w="4561"/>
          </w:tcPr>
          <w:p>
            <w:r>
              <w:rPr>
                <w:sz w:val="20"/>
              </w:rPr>
              <w:t>Yes — two zones were substituted after real-time coordination with the field coordinator. Both substitutions are documented and the equivalent replacement zones are in the dataset.</w:t>
            </w:r>
          </w:p>
        </w:tc>
      </w:tr>
      <w:tr>
        <w:tc>
          <w:tcPr>
            <w:tcW w:type="dxa" w:w="4561"/>
            <w:shd w:val="clear" w:color="auto" w:fill="EEF2F6"/>
          </w:tcPr>
          <w:p>
            <w:r>
              <w:rPr>
                <w:b/>
                <w:sz w:val="20"/>
              </w:rPr>
              <w:t>Did road works or traffic changes compromise any zones?</w:t>
            </w:r>
          </w:p>
        </w:tc>
        <w:tc>
          <w:tcPr>
            <w:tcW w:type="dxa" w:w="4561"/>
            <w:shd w:val="clear" w:color="auto" w:fill="EEF2F6"/>
          </w:tcPr>
          <w:p>
            <w:r>
              <w:rPr>
                <w:sz w:val="20"/>
              </w:rPr>
              <w:t>Affected zones (Moskovyan, Republic Square vicinity, two in Malatia-Sebastia) were recorded as empty and excluded from occupancy rate calculations.</w:t>
            </w:r>
          </w:p>
        </w:tc>
      </w:tr>
      <w:tr>
        <w:tc>
          <w:tcPr>
            <w:tcW w:type="dxa" w:w="4561"/>
          </w:tcPr>
          <w:p>
            <w:r>
              <w:rPr>
                <w:b/>
                <w:sz w:val="20"/>
              </w:rPr>
              <w:t>How were long-term parked vehicles ('sleepers') handled?</w:t>
            </w:r>
          </w:p>
        </w:tc>
        <w:tc>
          <w:tcPr>
            <w:tcW w:type="dxa" w:w="4561"/>
          </w:tcPr>
          <w:p>
            <w:r>
              <w:rPr>
                <w:sz w:val="20"/>
              </w:rPr>
              <w:t>Recorded with licence plates every hour. Counted once for occupancy; their full-day dwell contributes correctly to the turnover distribution. ~10 vehicles across Komitas (the longest-surveyed area).</w:t>
            </w:r>
          </w:p>
        </w:tc>
      </w:tr>
      <w:tr>
        <w:tc>
          <w:tcPr>
            <w:tcW w:type="dxa" w:w="4561"/>
            <w:shd w:val="clear" w:color="auto" w:fill="EEF2F6"/>
          </w:tcPr>
          <w:p>
            <w:r>
              <w:rPr>
                <w:b/>
                <w:sz w:val="20"/>
              </w:rPr>
              <w:t>Could special events have distorted the data?</w:t>
            </w:r>
          </w:p>
        </w:tc>
        <w:tc>
          <w:tcPr>
            <w:tcW w:type="dxa" w:w="4561"/>
            <w:shd w:val="clear" w:color="auto" w:fill="EEF2F6"/>
          </w:tcPr>
          <w:p>
            <w:r>
              <w:rPr>
                <w:sz w:val="20"/>
              </w:rPr>
              <w:t>A Republic Square concert occurred during the survey period but was assessed by the field team as having no material impact on the surrounding street zones.</w:t>
            </w:r>
          </w:p>
        </w:tc>
      </w:tr>
      <w:tr>
        <w:tc>
          <w:tcPr>
            <w:tcW w:type="dxa" w:w="4561"/>
          </w:tcPr>
          <w:p>
            <w:r>
              <w:rPr>
                <w:b/>
                <w:sz w:val="20"/>
              </w:rPr>
              <w:t>What quality control was applied to the raw data?</w:t>
            </w:r>
          </w:p>
        </w:tc>
        <w:tc>
          <w:tcPr>
            <w:tcW w:type="dxa" w:w="4561"/>
          </w:tcPr>
          <w:p>
            <w:r>
              <w:rPr>
                <w:sz w:val="20"/>
              </w:rPr>
              <w:t>Supervisor reviewed all Excel files post-collection, corrected duplicates and cross-zone errors, and was present in the field for most survey days.</w:t>
            </w:r>
          </w:p>
        </w:tc>
      </w:tr>
      <w:tr>
        <w:tc>
          <w:tcPr>
            <w:tcW w:type="dxa" w:w="4561"/>
            <w:shd w:val="clear" w:color="auto" w:fill="EEF2F6"/>
          </w:tcPr>
          <w:p>
            <w:r>
              <w:rPr>
                <w:b/>
                <w:sz w:val="20"/>
              </w:rPr>
              <w:t>Were weather conditions representative?</w:t>
            </w:r>
          </w:p>
        </w:tc>
        <w:tc>
          <w:tcPr>
            <w:tcW w:type="dxa" w:w="4561"/>
            <w:shd w:val="clear" w:color="auto" w:fill="EEF2F6"/>
          </w:tcPr>
          <w:p>
            <w:r>
              <w:rPr>
                <w:sz w:val="20"/>
              </w:rPr>
              <w:t>Yes — all survey days with supervisor presence had clear, normal weather. No rain events confirmed.</w:t>
            </w:r>
          </w:p>
        </w:tc>
      </w:tr>
    </w:tbl>
    <w:p>
      <w:pPr>
        <w:spacing w:after="200"/>
      </w:pPr>
    </w:p>
    <w:p>
      <w:pPr>
        <w:spacing w:before="360" w:after="120"/>
        <w:pBdr>
          <w:bottom w:val="single" w:sz="6" w:space="1" w:color="006D77"/>
        </w:pBdr>
      </w:pPr>
      <w:r>
        <w:rPr>
          <w:b/>
          <w:color w:val="142A4A"/>
          <w:sz w:val="26"/>
        </w:rPr>
        <w:t>8. CONCLUSIONS</w:t>
      </w:r>
    </w:p>
    <w:p>
      <w:pPr>
        <w:spacing w:after="160" w:before="0"/>
        <w:jc w:val="left"/>
      </w:pPr>
      <w:r>
        <w:rPr>
          <w:b w:val="0"/>
          <w:i w:val="0"/>
          <w:color w:val="1A1A1A"/>
          <w:sz w:val="21"/>
        </w:rPr>
        <w:t>The field survey data underpinning the Yerevan Parking Management Study was collected under professional supervision, with documented quality-control procedures and transparent handling of site-specific exceptions. The key findings — including the high short-stay rate, the low illegal parking rate, and the observed demand asymmetries — have been independently corroborated by the Armenian survey team in a formal debrief.</w:t>
      </w:r>
    </w:p>
    <w:p>
      <w:pPr>
        <w:spacing w:after="160" w:before="0"/>
        <w:jc w:val="left"/>
      </w:pPr>
      <w:r>
        <w:rPr>
          <w:b w:val="0"/>
          <w:i w:val="0"/>
          <w:color w:val="1A1A1A"/>
          <w:sz w:val="21"/>
        </w:rPr>
        <w:t>The survey design, zone selection, and data treatment are consistent with international parking survey best practice. The findings are a reliable and defensible basis for the policy recommendations and investment proposals in the Yerevan Parking Management Study reports.</w:t>
      </w:r>
    </w:p>
    <w:tbl>
      <w:tblPr>
        <w:tblW w:type="auto" w:w="0"/>
        <w:jc w:val="left"/>
        <w:tblLook w:firstColumn="1" w:firstRow="1" w:lastColumn="0" w:lastRow="0" w:noHBand="0" w:noVBand="1" w:val="04A0"/>
      </w:tblPr>
      <w:tblGrid>
        <w:gridCol w:w="9122"/>
      </w:tblGrid>
      <w:tr>
        <w:tc>
          <w:tcPr>
            <w:tcW w:type="dxa" w:w="9122"/>
            <w:shd w:val="clear" w:color="auto" w:fill="142A4A"/>
          </w:tcPr>
          <w:p>
            <w:pPr>
              <w:spacing w:after="0" w:before="0"/>
            </w:pPr>
            <w:r>
              <w:rPr>
                <w:b/>
                <w:color w:val="FFFFFF"/>
                <w:sz w:val="20"/>
              </w:rPr>
              <w:t xml:space="preserve">SUPPORTING MATERIALS:  </w:t>
            </w:r>
            <w:r>
              <w:rPr>
                <w:color w:val="FFFFFF"/>
                <w:sz w:val="20"/>
              </w:rPr>
              <w:t>Supporting materials available on request: original debrief call transcript (30 Jun 2026); raw Excel workbooks per survey zone; zone-level photographs taken by enumerators; GIS zone boundary files.</w:t>
            </w:r>
          </w:p>
        </w:tc>
      </w:tr>
    </w:tbl>
    <w:p>
      <w:pPr>
        <w:spacing w:after="120"/>
      </w:pPr>
    </w:p>
    <w:p>
      <w:pPr>
        <w:spacing w:after="240"/>
      </w:pPr>
    </w:p>
    <w:p>
      <w:pPr>
        <w:spacing w:after="40" w:before="0"/>
        <w:jc w:val="left"/>
      </w:pPr>
      <w:r>
        <w:rPr>
          <w:b/>
          <w:i w:val="0"/>
          <w:color w:val="1A1A1A"/>
          <w:sz w:val="20"/>
        </w:rPr>
        <w:t>Prepared by:</w:t>
      </w:r>
    </w:p>
    <w:tbl>
      <w:tblPr>
        <w:tblW w:type="auto" w:w="0"/>
        <w:jc w:val="left"/>
        <w:tblLook w:firstColumn="1" w:firstRow="1" w:lastColumn="0" w:lastRow="0" w:noHBand="0" w:noVBand="1" w:val="04A0"/>
      </w:tblPr>
      <w:tblGrid>
        <w:gridCol w:w="4561"/>
        <w:gridCol w:w="4561"/>
      </w:tblGrid>
      <w:tr>
        <w:tc>
          <w:tcPr>
            <w:tcW w:type="dxa" w:w="4561"/>
          </w:tcPr>
          <w:p>
            <w:r>
              <w:rPr>
                <w:b/>
                <w:sz w:val="21"/>
              </w:rPr>
              <w:t>Nikoloz Archvadze</w:t>
              <w:br/>
            </w:r>
            <w:r>
              <w:rPr>
                <w:color w:val="555555"/>
                <w:sz w:val="20"/>
              </w:rPr>
              <w:t>Lead Analyst, STS Consulting</w:t>
            </w:r>
          </w:p>
        </w:tc>
        <w:tc>
          <w:tcPr>
            <w:tcW w:type="dxa" w:w="4561"/>
          </w:tcPr>
          <w:p>
            <w:r>
              <w:rPr>
                <w:b/>
                <w:sz w:val="21"/>
              </w:rPr>
              <w:t>Zurab Beradze</w:t>
              <w:br/>
            </w:r>
            <w:r>
              <w:rPr>
                <w:color w:val="555555"/>
                <w:sz w:val="20"/>
              </w:rPr>
              <w:t>Project Lead, STS Consulting</w:t>
            </w:r>
          </w:p>
        </w:tc>
      </w:tr>
    </w:tbl>
    <w:p>
      <w:pPr>
        <w:spacing w:after="80"/>
      </w:pPr>
    </w:p>
    <w:p>
      <w:pPr>
        <w:spacing w:after="0" w:before="0"/>
        <w:jc w:val="left"/>
      </w:pPr>
      <w:r>
        <w:rPr>
          <w:b w:val="0"/>
          <w:i w:val="0"/>
          <w:color w:val="555555"/>
          <w:sz w:val="20"/>
        </w:rPr>
        <w:t>30 June 2026</w:t>
      </w:r>
    </w:p>
    <w:p>
      <w:pPr>
        <w:spacing w:after="120" w:before="0"/>
        <w:jc w:val="left"/>
      </w:pPr>
      <w:r>
        <w:rPr>
          <w:b w:val="0"/>
          <w:i/>
          <w:color w:val="555555"/>
          <w:sz w:val="18"/>
        </w:rPr>
        <w:t>Yerevan Parking Management Study — ADB Technical Assistance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