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A4A"/>
          <w:sz w:val="32"/>
        </w:rPr>
        <w:t>Illegal Parking Share — Field Survey Statistics</w:t>
      </w:r>
    </w:p>
    <w:p>
      <w:pPr>
        <w:spacing w:after="80"/>
      </w:pPr>
      <w:r>
        <w:rPr>
          <w:i w:val="0"/>
          <w:sz w:val="22"/>
        </w:rPr>
        <w:t>This note summarises illegal parking observations recorded across all six field survey areas in Yerevan. Data are drawn directly from the raw survey workbooks (one per area) with no intermediary processing. A vehicle observation is classified as 'Illegal' where the surveyor coded the Legal/Illegal column as 'I – Illegal'; all other coded observations are treated as legal.</w:t>
      </w:r>
    </w:p>
    <w:p>
      <w:pPr>
        <w:spacing w:after="80"/>
      </w:pPr>
      <w:r>
        <w:rPr>
          <w:i w:val="0"/>
          <w:sz w:val="22"/>
        </w:rPr>
        <w:t>Total observations across all areas: 21,181  |  Illegal observations: 45  |  Overall illegal share: 0.21%</w:t>
      </w:r>
    </w:p>
    <w:p>
      <w:r>
        <w:rPr>
          <w:b/>
          <w:color w:val="006D77"/>
          <w:sz w:val="26"/>
        </w:rPr>
        <w:t>1. Illegal Share by Survey Area</w:t>
      </w:r>
    </w:p>
    <w:tbl>
      <w:tblPr>
        <w:tblStyle w:val="TableGrid"/>
        <w:tblW w:type="auto" w:w="0"/>
        <w:tblLook w:firstColumn="1" w:firstRow="1" w:lastColumn="0" w:lastRow="0" w:noHBand="0" w:noVBand="1" w:val="04A0"/>
      </w:tblPr>
      <w:tblGrid>
        <w:gridCol w:w="2160"/>
        <w:gridCol w:w="2160"/>
        <w:gridCol w:w="2160"/>
        <w:gridCol w:w="2160"/>
      </w:tblGrid>
      <w:tr>
        <w:tc>
          <w:tcPr>
            <w:tcW w:type="dxa" w:w="3456"/>
            <w:shd w:val="clear" w:fill="142A4A"/>
          </w:tcPr>
          <w:p>
            <w:pPr>
              <w:jc w:val="left"/>
            </w:pPr>
            <w:r/>
            <w:r>
              <w:rPr>
                <w:b/>
                <w:i w:val="0"/>
                <w:color w:val="FFFFFF"/>
                <w:sz w:val="20"/>
              </w:rPr>
              <w:t>Survey Area</w:t>
            </w:r>
          </w:p>
        </w:tc>
        <w:tc>
          <w:tcPr>
            <w:tcW w:type="dxa" w:w="1872"/>
            <w:shd w:val="clear" w:fill="142A4A"/>
          </w:tcPr>
          <w:p>
            <w:pPr>
              <w:jc w:val="center"/>
            </w:pPr>
            <w:r/>
            <w:r>
              <w:rPr>
                <w:b/>
                <w:i w:val="0"/>
                <w:color w:val="FFFFFF"/>
                <w:sz w:val="20"/>
              </w:rPr>
              <w:t>Total Obs.</w:t>
            </w:r>
          </w:p>
        </w:tc>
        <w:tc>
          <w:tcPr>
            <w:tcW w:type="dxa" w:w="1872"/>
            <w:shd w:val="clear" w:fill="142A4A"/>
          </w:tcPr>
          <w:p>
            <w:pPr>
              <w:jc w:val="center"/>
            </w:pPr>
            <w:r/>
            <w:r>
              <w:rPr>
                <w:b/>
                <w:i w:val="0"/>
                <w:color w:val="FFFFFF"/>
                <w:sz w:val="20"/>
              </w:rPr>
              <w:t>Illegal Obs.</w:t>
            </w:r>
          </w:p>
        </w:tc>
        <w:tc>
          <w:tcPr>
            <w:tcW w:type="dxa" w:w="2160"/>
            <w:shd w:val="clear" w:fill="142A4A"/>
          </w:tcPr>
          <w:p>
            <w:pPr>
              <w:jc w:val="center"/>
            </w:pPr>
            <w:r/>
            <w:r>
              <w:rPr>
                <w:b/>
                <w:i w:val="0"/>
                <w:color w:val="FFFFFF"/>
                <w:sz w:val="20"/>
              </w:rPr>
              <w:t>Illegal Share (%)</w:t>
            </w:r>
          </w:p>
        </w:tc>
      </w:tr>
      <w:tr>
        <w:tc>
          <w:tcPr>
            <w:tcW w:type="dxa" w:w="2160"/>
            <w:shd w:val="clear" w:fill="FFFFFF"/>
          </w:tcPr>
          <w:p>
            <w:pPr>
              <w:jc w:val="left"/>
            </w:pPr>
            <w:r/>
            <w:r>
              <w:rPr>
                <w:b w:val="0"/>
                <w:i w:val="0"/>
                <w:sz w:val="20"/>
              </w:rPr>
              <w:t>Komitas</w:t>
            </w:r>
          </w:p>
        </w:tc>
        <w:tc>
          <w:tcPr>
            <w:tcW w:type="dxa" w:w="2160"/>
            <w:shd w:val="clear" w:fill="FFFFFF"/>
          </w:tcPr>
          <w:p>
            <w:pPr>
              <w:jc w:val="right"/>
            </w:pPr>
            <w:r/>
            <w:r>
              <w:rPr>
                <w:b w:val="0"/>
                <w:i w:val="0"/>
                <w:sz w:val="20"/>
              </w:rPr>
              <w:t>3,876</w:t>
            </w:r>
          </w:p>
        </w:tc>
        <w:tc>
          <w:tcPr>
            <w:tcW w:type="dxa" w:w="2160"/>
            <w:shd w:val="clear" w:fill="FFFFFF"/>
          </w:tcPr>
          <w:p>
            <w:pPr>
              <w:jc w:val="right"/>
            </w:pPr>
            <w:r/>
            <w:r>
              <w:rPr>
                <w:b/>
                <w:i w:val="0"/>
                <w:color w:val="C02A2A"/>
                <w:sz w:val="20"/>
              </w:rPr>
              <w:t>44</w:t>
            </w:r>
          </w:p>
        </w:tc>
        <w:tc>
          <w:tcPr>
            <w:tcW w:type="dxa" w:w="2160"/>
            <w:shd w:val="clear" w:fill="FFFFFF"/>
          </w:tcPr>
          <w:p>
            <w:pPr>
              <w:jc w:val="right"/>
            </w:pPr>
            <w:r/>
            <w:r>
              <w:rPr>
                <w:b/>
                <w:i w:val="0"/>
                <w:color w:val="C02A2A"/>
                <w:sz w:val="20"/>
              </w:rPr>
              <w:t>1.14%</w:t>
            </w:r>
          </w:p>
        </w:tc>
      </w:tr>
      <w:tr>
        <w:tc>
          <w:tcPr>
            <w:tcW w:type="dxa" w:w="2160"/>
            <w:shd w:val="clear" w:fill="F2F2F2"/>
          </w:tcPr>
          <w:p>
            <w:pPr>
              <w:jc w:val="left"/>
            </w:pPr>
            <w:r/>
            <w:r>
              <w:rPr>
                <w:b w:val="0"/>
                <w:i w:val="0"/>
                <w:sz w:val="20"/>
              </w:rPr>
              <w:t>Shiraz &amp; Hasratyan</w:t>
            </w:r>
          </w:p>
        </w:tc>
        <w:tc>
          <w:tcPr>
            <w:tcW w:type="dxa" w:w="2160"/>
            <w:shd w:val="clear" w:fill="F2F2F2"/>
          </w:tcPr>
          <w:p>
            <w:pPr>
              <w:jc w:val="right"/>
            </w:pPr>
            <w:r/>
            <w:r>
              <w:rPr>
                <w:b w:val="0"/>
                <w:i w:val="0"/>
                <w:sz w:val="20"/>
              </w:rPr>
              <w:t>2,022</w:t>
            </w:r>
          </w:p>
        </w:tc>
        <w:tc>
          <w:tcPr>
            <w:tcW w:type="dxa" w:w="2160"/>
            <w:shd w:val="clear" w:fill="F2F2F2"/>
          </w:tcPr>
          <w:p>
            <w:pPr>
              <w:jc w:val="right"/>
            </w:pPr>
            <w:r/>
            <w:r>
              <w:rPr>
                <w:b/>
                <w:i w:val="0"/>
                <w:color w:val="C02A2A"/>
                <w:sz w:val="20"/>
              </w:rPr>
              <w:t>1</w:t>
            </w:r>
          </w:p>
        </w:tc>
        <w:tc>
          <w:tcPr>
            <w:tcW w:type="dxa" w:w="2160"/>
            <w:shd w:val="clear" w:fill="F2F2F2"/>
          </w:tcPr>
          <w:p>
            <w:pPr>
              <w:jc w:val="right"/>
            </w:pPr>
            <w:r/>
            <w:r>
              <w:rPr>
                <w:b/>
                <w:i w:val="0"/>
                <w:color w:val="C02A2A"/>
                <w:sz w:val="20"/>
              </w:rPr>
              <w:t>0.05%</w:t>
            </w:r>
          </w:p>
        </w:tc>
      </w:tr>
      <w:tr>
        <w:tc>
          <w:tcPr>
            <w:tcW w:type="dxa" w:w="2160"/>
            <w:shd w:val="clear" w:fill="FFFFFF"/>
          </w:tcPr>
          <w:p>
            <w:pPr>
              <w:jc w:val="left"/>
            </w:pPr>
            <w:r/>
            <w:r>
              <w:rPr>
                <w:b w:val="0"/>
                <w:i w:val="0"/>
                <w:sz w:val="20"/>
              </w:rPr>
              <w:t>Garegin Nzhdeh</w:t>
            </w:r>
          </w:p>
        </w:tc>
        <w:tc>
          <w:tcPr>
            <w:tcW w:type="dxa" w:w="2160"/>
            <w:shd w:val="clear" w:fill="FFFFFF"/>
          </w:tcPr>
          <w:p>
            <w:pPr>
              <w:jc w:val="right"/>
            </w:pPr>
            <w:r/>
            <w:r>
              <w:rPr>
                <w:b w:val="0"/>
                <w:i w:val="0"/>
                <w:sz w:val="20"/>
              </w:rPr>
              <w:t>3,241</w:t>
            </w:r>
          </w:p>
        </w:tc>
        <w:tc>
          <w:tcPr>
            <w:tcW w:type="dxa" w:w="2160"/>
            <w:shd w:val="clear" w:fill="FFFFFF"/>
          </w:tcPr>
          <w:p>
            <w:pPr>
              <w:jc w:val="right"/>
            </w:pPr>
            <w:r/>
            <w:r>
              <w:rPr>
                <w:b w:val="0"/>
                <w:i w:val="0"/>
                <w:sz w:val="20"/>
              </w:rPr>
              <w:t>0</w:t>
            </w:r>
          </w:p>
        </w:tc>
        <w:tc>
          <w:tcPr>
            <w:tcW w:type="dxa" w:w="2160"/>
            <w:shd w:val="clear" w:fill="FFFFFF"/>
          </w:tcPr>
          <w:p>
            <w:pPr>
              <w:jc w:val="right"/>
            </w:pPr>
            <w:r/>
            <w:r>
              <w:rPr>
                <w:b w:val="0"/>
                <w:i w:val="0"/>
                <w:sz w:val="20"/>
              </w:rPr>
              <w:t>0.00%</w:t>
            </w:r>
          </w:p>
        </w:tc>
      </w:tr>
      <w:tr>
        <w:tc>
          <w:tcPr>
            <w:tcW w:type="dxa" w:w="2160"/>
            <w:shd w:val="clear" w:fill="F2F2F2"/>
          </w:tcPr>
          <w:p>
            <w:pPr>
              <w:jc w:val="left"/>
            </w:pPr>
            <w:r/>
            <w:r>
              <w:rPr>
                <w:b w:val="0"/>
                <w:i w:val="0"/>
                <w:sz w:val="20"/>
              </w:rPr>
              <w:t>Kentron</w:t>
            </w:r>
          </w:p>
        </w:tc>
        <w:tc>
          <w:tcPr>
            <w:tcW w:type="dxa" w:w="2160"/>
            <w:shd w:val="clear" w:fill="F2F2F2"/>
          </w:tcPr>
          <w:p>
            <w:pPr>
              <w:jc w:val="right"/>
            </w:pPr>
            <w:r/>
            <w:r>
              <w:rPr>
                <w:b w:val="0"/>
                <w:i w:val="0"/>
                <w:sz w:val="20"/>
              </w:rPr>
              <w:t>6,706</w:t>
            </w:r>
          </w:p>
        </w:tc>
        <w:tc>
          <w:tcPr>
            <w:tcW w:type="dxa" w:w="2160"/>
            <w:shd w:val="clear" w:fill="F2F2F2"/>
          </w:tcPr>
          <w:p>
            <w:pPr>
              <w:jc w:val="right"/>
            </w:pPr>
            <w:r/>
            <w:r>
              <w:rPr>
                <w:b w:val="0"/>
                <w:i w:val="0"/>
                <w:sz w:val="20"/>
              </w:rPr>
              <w:t>0</w:t>
            </w:r>
          </w:p>
        </w:tc>
        <w:tc>
          <w:tcPr>
            <w:tcW w:type="dxa" w:w="2160"/>
            <w:shd w:val="clear" w:fill="F2F2F2"/>
          </w:tcPr>
          <w:p>
            <w:pPr>
              <w:jc w:val="right"/>
            </w:pPr>
            <w:r/>
            <w:r>
              <w:rPr>
                <w:b w:val="0"/>
                <w:i w:val="0"/>
                <w:sz w:val="20"/>
              </w:rPr>
              <w:t>0.00%</w:t>
            </w:r>
          </w:p>
        </w:tc>
      </w:tr>
      <w:tr>
        <w:tc>
          <w:tcPr>
            <w:tcW w:type="dxa" w:w="2160"/>
            <w:shd w:val="clear" w:fill="FFFFFF"/>
          </w:tcPr>
          <w:p>
            <w:pPr>
              <w:jc w:val="left"/>
            </w:pPr>
            <w:r/>
            <w:r>
              <w:rPr>
                <w:b w:val="0"/>
                <w:i w:val="0"/>
                <w:sz w:val="20"/>
              </w:rPr>
              <w:t>Malatia-Sebastia</w:t>
            </w:r>
          </w:p>
        </w:tc>
        <w:tc>
          <w:tcPr>
            <w:tcW w:type="dxa" w:w="2160"/>
            <w:shd w:val="clear" w:fill="FFFFFF"/>
          </w:tcPr>
          <w:p>
            <w:pPr>
              <w:jc w:val="right"/>
            </w:pPr>
            <w:r/>
            <w:r>
              <w:rPr>
                <w:b w:val="0"/>
                <w:i w:val="0"/>
                <w:sz w:val="20"/>
              </w:rPr>
              <w:t>3,778</w:t>
            </w:r>
          </w:p>
        </w:tc>
        <w:tc>
          <w:tcPr>
            <w:tcW w:type="dxa" w:w="2160"/>
            <w:shd w:val="clear" w:fill="FFFFFF"/>
          </w:tcPr>
          <w:p>
            <w:pPr>
              <w:jc w:val="right"/>
            </w:pPr>
            <w:r/>
            <w:r>
              <w:rPr>
                <w:b w:val="0"/>
                <w:i w:val="0"/>
                <w:sz w:val="20"/>
              </w:rPr>
              <w:t>0</w:t>
            </w:r>
          </w:p>
        </w:tc>
        <w:tc>
          <w:tcPr>
            <w:tcW w:type="dxa" w:w="2160"/>
            <w:shd w:val="clear" w:fill="FFFFFF"/>
          </w:tcPr>
          <w:p>
            <w:pPr>
              <w:jc w:val="right"/>
            </w:pPr>
            <w:r/>
            <w:r>
              <w:rPr>
                <w:b w:val="0"/>
                <w:i w:val="0"/>
                <w:sz w:val="20"/>
              </w:rPr>
              <w:t>0.00%</w:t>
            </w:r>
          </w:p>
        </w:tc>
      </w:tr>
      <w:tr>
        <w:tc>
          <w:tcPr>
            <w:tcW w:type="dxa" w:w="2160"/>
            <w:shd w:val="clear" w:fill="F2F2F2"/>
          </w:tcPr>
          <w:p>
            <w:pPr>
              <w:jc w:val="left"/>
            </w:pPr>
            <w:r/>
            <w:r>
              <w:rPr>
                <w:b w:val="0"/>
                <w:i w:val="0"/>
                <w:sz w:val="20"/>
              </w:rPr>
              <w:t>Gai Avenue / Mega Mall</w:t>
            </w:r>
          </w:p>
        </w:tc>
        <w:tc>
          <w:tcPr>
            <w:tcW w:type="dxa" w:w="2160"/>
            <w:shd w:val="clear" w:fill="F2F2F2"/>
          </w:tcPr>
          <w:p>
            <w:pPr>
              <w:jc w:val="right"/>
            </w:pPr>
            <w:r/>
            <w:r>
              <w:rPr>
                <w:b w:val="0"/>
                <w:i w:val="0"/>
                <w:sz w:val="20"/>
              </w:rPr>
              <w:t>1,558</w:t>
            </w:r>
          </w:p>
        </w:tc>
        <w:tc>
          <w:tcPr>
            <w:tcW w:type="dxa" w:w="2160"/>
            <w:shd w:val="clear" w:fill="F2F2F2"/>
          </w:tcPr>
          <w:p>
            <w:pPr>
              <w:jc w:val="right"/>
            </w:pPr>
            <w:r/>
            <w:r>
              <w:rPr>
                <w:b w:val="0"/>
                <w:i w:val="0"/>
                <w:sz w:val="20"/>
              </w:rPr>
              <w:t>0</w:t>
            </w:r>
          </w:p>
        </w:tc>
        <w:tc>
          <w:tcPr>
            <w:tcW w:type="dxa" w:w="2160"/>
            <w:shd w:val="clear" w:fill="F2F2F2"/>
          </w:tcPr>
          <w:p>
            <w:pPr>
              <w:jc w:val="right"/>
            </w:pPr>
            <w:r/>
            <w:r>
              <w:rPr>
                <w:b w:val="0"/>
                <w:i w:val="0"/>
                <w:sz w:val="20"/>
              </w:rPr>
              <w:t>0.00%</w:t>
            </w:r>
          </w:p>
        </w:tc>
      </w:tr>
    </w:tbl>
    <w:p/>
    <w:p>
      <w:pPr>
        <w:spacing w:after="120"/>
      </w:pPr>
      <w:r>
        <w:rPr>
          <w:b/>
          <w:sz w:val="22"/>
        </w:rPr>
        <w:t xml:space="preserve">Overall (all areas combined): </w:t>
      </w:r>
      <w:r>
        <w:rPr>
          <w:color w:val="C02A2A"/>
          <w:sz w:val="22"/>
        </w:rPr>
        <w:t>45 illegal observations out of 21,181 total = 0.21%</w:t>
      </w:r>
    </w:p>
    <w:p>
      <w:r>
        <w:rPr>
          <w:b/>
          <w:color w:val="006D77"/>
          <w:sz w:val="26"/>
        </w:rPr>
        <w:t>2. Zones with Illegal Observations</w:t>
      </w:r>
    </w:p>
    <w:p>
      <w:pPr>
        <w:spacing w:after="80"/>
      </w:pPr>
      <w:r>
        <w:rPr>
          <w:i w:val="0"/>
          <w:sz w:val="22"/>
        </w:rPr>
        <w:t>21 survey zones (out of 203 total on-street zones) recorded at least one illegal parking observation. All are located in the Komitas area, except one zone in Shiraz &amp; Hasratyan.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42A4A"/>
          </w:tcPr>
          <w:p>
            <w:pPr>
              <w:jc w:val="left"/>
            </w:pPr>
            <w:r/>
            <w:r>
              <w:rPr>
                <w:b/>
                <w:i w:val="0"/>
                <w:color w:val="FFFFFF"/>
                <w:sz w:val="20"/>
              </w:rPr>
              <w:t>Zone</w:t>
            </w:r>
          </w:p>
        </w:tc>
        <w:tc>
          <w:tcPr>
            <w:tcW w:type="dxa" w:w="3168"/>
            <w:shd w:val="clear" w:fill="142A4A"/>
          </w:tcPr>
          <w:p>
            <w:pPr>
              <w:jc w:val="center"/>
            </w:pPr>
            <w:r/>
            <w:r>
              <w:rPr>
                <w:b/>
                <w:i w:val="0"/>
                <w:color w:val="FFFFFF"/>
                <w:sz w:val="20"/>
              </w:rPr>
              <w:t>Survey Area</w:t>
            </w:r>
          </w:p>
        </w:tc>
        <w:tc>
          <w:tcPr>
            <w:tcW w:type="dxa" w:w="1728"/>
            <w:shd w:val="clear" w:fill="142A4A"/>
          </w:tcPr>
          <w:p>
            <w:pPr>
              <w:jc w:val="center"/>
            </w:pPr>
            <w:r/>
            <w:r>
              <w:rPr>
                <w:b/>
                <w:i w:val="0"/>
                <w:color w:val="FFFFFF"/>
                <w:sz w:val="20"/>
              </w:rPr>
              <w:t>Illegal Obs.</w:t>
            </w:r>
          </w:p>
        </w:tc>
        <w:tc>
          <w:tcPr>
            <w:tcW w:type="dxa" w:w="1728"/>
            <w:shd w:val="clear" w:fill="142A4A"/>
          </w:tcPr>
          <w:p>
            <w:pPr>
              <w:jc w:val="center"/>
            </w:pPr>
            <w:r/>
            <w:r>
              <w:rPr>
                <w:b/>
                <w:i w:val="0"/>
                <w:color w:val="FFFFFF"/>
                <w:sz w:val="20"/>
              </w:rPr>
              <w:t>Total Obs.</w:t>
            </w:r>
          </w:p>
        </w:tc>
        <w:tc>
          <w:tcPr>
            <w:tcW w:type="dxa" w:w="1728"/>
            <w:shd w:val="clear" w:fill="142A4A"/>
          </w:tcPr>
          <w:p>
            <w:pPr>
              <w:jc w:val="center"/>
            </w:pPr>
            <w:r/>
            <w:r>
              <w:rPr>
                <w:b/>
                <w:i w:val="0"/>
                <w:color w:val="FFFFFF"/>
                <w:sz w:val="20"/>
              </w:rPr>
              <w:t>Share (%)</w:t>
            </w:r>
          </w:p>
        </w:tc>
      </w:tr>
      <w:tr>
        <w:tc>
          <w:tcPr>
            <w:tcW w:type="dxa" w:w="1728"/>
            <w:shd w:val="clear" w:fill="FFFFFF"/>
          </w:tcPr>
          <w:p>
            <w:pPr>
              <w:jc w:val="center"/>
            </w:pPr>
            <w:r/>
            <w:r>
              <w:rPr>
                <w:b w:val="0"/>
                <w:i w:val="0"/>
                <w:sz w:val="20"/>
              </w:rPr>
              <w:t>84</w:t>
            </w:r>
          </w:p>
        </w:tc>
        <w:tc>
          <w:tcPr>
            <w:tcW w:type="dxa" w:w="1728"/>
            <w:shd w:val="clear" w:fill="FFFFFF"/>
          </w:tcPr>
          <w:p>
            <w:pPr>
              <w:jc w:val="left"/>
            </w:pPr>
            <w:r/>
            <w:r>
              <w:rPr>
                <w:b w:val="0"/>
                <w:i w:val="0"/>
                <w:sz w:val="20"/>
              </w:rPr>
              <w:t>Komitas</w:t>
            </w:r>
          </w:p>
        </w:tc>
        <w:tc>
          <w:tcPr>
            <w:tcW w:type="dxa" w:w="1728"/>
            <w:shd w:val="clear" w:fill="FFFFFF"/>
          </w:tcPr>
          <w:p>
            <w:pPr>
              <w:jc w:val="right"/>
            </w:pPr>
            <w:r/>
            <w:r>
              <w:rPr>
                <w:b/>
                <w:i w:val="0"/>
                <w:color w:val="C02A2A"/>
                <w:sz w:val="20"/>
              </w:rPr>
              <w:t>6</w:t>
            </w:r>
          </w:p>
        </w:tc>
        <w:tc>
          <w:tcPr>
            <w:tcW w:type="dxa" w:w="1728"/>
            <w:shd w:val="clear" w:fill="FFFFFF"/>
          </w:tcPr>
          <w:p>
            <w:pPr>
              <w:jc w:val="right"/>
            </w:pPr>
            <w:r/>
            <w:r>
              <w:rPr>
                <w:b w:val="0"/>
                <w:i w:val="0"/>
                <w:sz w:val="20"/>
              </w:rPr>
              <w:t>92</w:t>
            </w:r>
          </w:p>
        </w:tc>
        <w:tc>
          <w:tcPr>
            <w:tcW w:type="dxa" w:w="1728"/>
            <w:shd w:val="clear" w:fill="FFFFFF"/>
          </w:tcPr>
          <w:p>
            <w:pPr>
              <w:jc w:val="right"/>
            </w:pPr>
            <w:r/>
            <w:r>
              <w:rPr>
                <w:b/>
                <w:i w:val="0"/>
                <w:color w:val="C02A2A"/>
                <w:sz w:val="20"/>
              </w:rPr>
              <w:t>6.5%</w:t>
            </w:r>
          </w:p>
        </w:tc>
      </w:tr>
      <w:tr>
        <w:tc>
          <w:tcPr>
            <w:tcW w:type="dxa" w:w="1728"/>
            <w:shd w:val="clear" w:fill="F2F2F2"/>
          </w:tcPr>
          <w:p>
            <w:pPr>
              <w:jc w:val="center"/>
            </w:pPr>
            <w:r/>
            <w:r>
              <w:rPr>
                <w:b w:val="0"/>
                <w:i w:val="0"/>
                <w:sz w:val="20"/>
              </w:rPr>
              <w:t>110</w:t>
            </w:r>
          </w:p>
        </w:tc>
        <w:tc>
          <w:tcPr>
            <w:tcW w:type="dxa" w:w="1728"/>
            <w:shd w:val="clear" w:fill="F2F2F2"/>
          </w:tcPr>
          <w:p>
            <w:pPr>
              <w:jc w:val="left"/>
            </w:pPr>
            <w:r/>
            <w:r>
              <w:rPr>
                <w:b w:val="0"/>
                <w:i w:val="0"/>
                <w:sz w:val="20"/>
              </w:rPr>
              <w:t>Komitas</w:t>
            </w:r>
          </w:p>
        </w:tc>
        <w:tc>
          <w:tcPr>
            <w:tcW w:type="dxa" w:w="1728"/>
            <w:shd w:val="clear" w:fill="F2F2F2"/>
          </w:tcPr>
          <w:p>
            <w:pPr>
              <w:jc w:val="right"/>
            </w:pPr>
            <w:r/>
            <w:r>
              <w:rPr>
                <w:b/>
                <w:i w:val="0"/>
                <w:color w:val="C02A2A"/>
                <w:sz w:val="20"/>
              </w:rPr>
              <w:t>5</w:t>
            </w:r>
          </w:p>
        </w:tc>
        <w:tc>
          <w:tcPr>
            <w:tcW w:type="dxa" w:w="1728"/>
            <w:shd w:val="clear" w:fill="F2F2F2"/>
          </w:tcPr>
          <w:p>
            <w:pPr>
              <w:jc w:val="right"/>
            </w:pPr>
            <w:r/>
            <w:r>
              <w:rPr>
                <w:b w:val="0"/>
                <w:i w:val="0"/>
                <w:sz w:val="20"/>
              </w:rPr>
              <w:t>81</w:t>
            </w:r>
          </w:p>
        </w:tc>
        <w:tc>
          <w:tcPr>
            <w:tcW w:type="dxa" w:w="1728"/>
            <w:shd w:val="clear" w:fill="F2F2F2"/>
          </w:tcPr>
          <w:p>
            <w:pPr>
              <w:jc w:val="right"/>
            </w:pPr>
            <w:r/>
            <w:r>
              <w:rPr>
                <w:b/>
                <w:i w:val="0"/>
                <w:color w:val="C02A2A"/>
                <w:sz w:val="20"/>
              </w:rPr>
              <w:t>6.2%</w:t>
            </w:r>
          </w:p>
        </w:tc>
      </w:tr>
      <w:tr>
        <w:tc>
          <w:tcPr>
            <w:tcW w:type="dxa" w:w="1728"/>
            <w:shd w:val="clear" w:fill="FFFFFF"/>
          </w:tcPr>
          <w:p>
            <w:pPr>
              <w:jc w:val="center"/>
            </w:pPr>
            <w:r/>
            <w:r>
              <w:rPr>
                <w:b w:val="0"/>
                <w:i w:val="0"/>
                <w:sz w:val="20"/>
              </w:rPr>
              <w:t>109</w:t>
            </w:r>
          </w:p>
        </w:tc>
        <w:tc>
          <w:tcPr>
            <w:tcW w:type="dxa" w:w="1728"/>
            <w:shd w:val="clear" w:fill="FFFFFF"/>
          </w:tcPr>
          <w:p>
            <w:pPr>
              <w:jc w:val="left"/>
            </w:pPr>
            <w:r/>
            <w:r>
              <w:rPr>
                <w:b w:val="0"/>
                <w:i w:val="0"/>
                <w:sz w:val="20"/>
              </w:rPr>
              <w:t>Komitas</w:t>
            </w:r>
          </w:p>
        </w:tc>
        <w:tc>
          <w:tcPr>
            <w:tcW w:type="dxa" w:w="1728"/>
            <w:shd w:val="clear" w:fill="FFFFFF"/>
          </w:tcPr>
          <w:p>
            <w:pPr>
              <w:jc w:val="right"/>
            </w:pPr>
            <w:r/>
            <w:r>
              <w:rPr>
                <w:b/>
                <w:i w:val="0"/>
                <w:color w:val="C02A2A"/>
                <w:sz w:val="20"/>
              </w:rPr>
              <w:t>3</w:t>
            </w:r>
          </w:p>
        </w:tc>
        <w:tc>
          <w:tcPr>
            <w:tcW w:type="dxa" w:w="1728"/>
            <w:shd w:val="clear" w:fill="FFFFFF"/>
          </w:tcPr>
          <w:p>
            <w:pPr>
              <w:jc w:val="right"/>
            </w:pPr>
            <w:r/>
            <w:r>
              <w:rPr>
                <w:b w:val="0"/>
                <w:i w:val="0"/>
                <w:sz w:val="20"/>
              </w:rPr>
              <w:t>50</w:t>
            </w:r>
          </w:p>
        </w:tc>
        <w:tc>
          <w:tcPr>
            <w:tcW w:type="dxa" w:w="1728"/>
            <w:shd w:val="clear" w:fill="FFFFFF"/>
          </w:tcPr>
          <w:p>
            <w:pPr>
              <w:jc w:val="right"/>
            </w:pPr>
            <w:r/>
            <w:r>
              <w:rPr>
                <w:b/>
                <w:i w:val="0"/>
                <w:color w:val="C02A2A"/>
                <w:sz w:val="20"/>
              </w:rPr>
              <w:t>6.0%</w:t>
            </w:r>
          </w:p>
        </w:tc>
      </w:tr>
      <w:tr>
        <w:tc>
          <w:tcPr>
            <w:tcW w:type="dxa" w:w="1728"/>
            <w:shd w:val="clear" w:fill="F2F2F2"/>
          </w:tcPr>
          <w:p>
            <w:pPr>
              <w:jc w:val="center"/>
            </w:pPr>
            <w:r/>
            <w:r>
              <w:rPr>
                <w:b w:val="0"/>
                <w:i w:val="0"/>
                <w:sz w:val="20"/>
              </w:rPr>
              <w:t>101</w:t>
            </w:r>
          </w:p>
        </w:tc>
        <w:tc>
          <w:tcPr>
            <w:tcW w:type="dxa" w:w="1728"/>
            <w:shd w:val="clear" w:fill="F2F2F2"/>
          </w:tcPr>
          <w:p>
            <w:pPr>
              <w:jc w:val="left"/>
            </w:pPr>
            <w:r/>
            <w:r>
              <w:rPr>
                <w:b w:val="0"/>
                <w:i w:val="0"/>
                <w:sz w:val="20"/>
              </w:rPr>
              <w:t>Komitas</w:t>
            </w:r>
          </w:p>
        </w:tc>
        <w:tc>
          <w:tcPr>
            <w:tcW w:type="dxa" w:w="1728"/>
            <w:shd w:val="clear" w:fill="F2F2F2"/>
          </w:tcPr>
          <w:p>
            <w:pPr>
              <w:jc w:val="right"/>
            </w:pPr>
            <w:r/>
            <w:r>
              <w:rPr>
                <w:b/>
                <w:i w:val="0"/>
                <w:color w:val="C02A2A"/>
                <w:sz w:val="20"/>
              </w:rPr>
              <w:t>1</w:t>
            </w:r>
          </w:p>
        </w:tc>
        <w:tc>
          <w:tcPr>
            <w:tcW w:type="dxa" w:w="1728"/>
            <w:shd w:val="clear" w:fill="F2F2F2"/>
          </w:tcPr>
          <w:p>
            <w:pPr>
              <w:jc w:val="right"/>
            </w:pPr>
            <w:r/>
            <w:r>
              <w:rPr>
                <w:b w:val="0"/>
                <w:i w:val="0"/>
                <w:sz w:val="20"/>
              </w:rPr>
              <w:t>23</w:t>
            </w:r>
          </w:p>
        </w:tc>
        <w:tc>
          <w:tcPr>
            <w:tcW w:type="dxa" w:w="1728"/>
            <w:shd w:val="clear" w:fill="F2F2F2"/>
          </w:tcPr>
          <w:p>
            <w:pPr>
              <w:jc w:val="right"/>
            </w:pPr>
            <w:r/>
            <w:r>
              <w:rPr>
                <w:b/>
                <w:i w:val="0"/>
                <w:color w:val="C02A2A"/>
                <w:sz w:val="20"/>
              </w:rPr>
              <w:t>4.3%</w:t>
            </w:r>
          </w:p>
        </w:tc>
      </w:tr>
      <w:tr>
        <w:tc>
          <w:tcPr>
            <w:tcW w:type="dxa" w:w="1728"/>
            <w:shd w:val="clear" w:fill="FFFFFF"/>
          </w:tcPr>
          <w:p>
            <w:pPr>
              <w:jc w:val="center"/>
            </w:pPr>
            <w:r/>
            <w:r>
              <w:rPr>
                <w:b w:val="0"/>
                <w:i w:val="0"/>
                <w:sz w:val="20"/>
              </w:rPr>
              <w:t>96</w:t>
            </w:r>
          </w:p>
        </w:tc>
        <w:tc>
          <w:tcPr>
            <w:tcW w:type="dxa" w:w="1728"/>
            <w:shd w:val="clear" w:fill="FFFFFF"/>
          </w:tcPr>
          <w:p>
            <w:pPr>
              <w:jc w:val="left"/>
            </w:pPr>
            <w:r/>
            <w:r>
              <w:rPr>
                <w:b w:val="0"/>
                <w:i w:val="0"/>
                <w:sz w:val="20"/>
              </w:rPr>
              <w:t>Komitas</w:t>
            </w:r>
          </w:p>
        </w:tc>
        <w:tc>
          <w:tcPr>
            <w:tcW w:type="dxa" w:w="1728"/>
            <w:shd w:val="clear" w:fill="FFFFFF"/>
          </w:tcPr>
          <w:p>
            <w:pPr>
              <w:jc w:val="right"/>
            </w:pPr>
            <w:r/>
            <w:r>
              <w:rPr>
                <w:b/>
                <w:i w:val="0"/>
                <w:color w:val="C02A2A"/>
                <w:sz w:val="20"/>
              </w:rPr>
              <w:t>3</w:t>
            </w:r>
          </w:p>
        </w:tc>
        <w:tc>
          <w:tcPr>
            <w:tcW w:type="dxa" w:w="1728"/>
            <w:shd w:val="clear" w:fill="FFFFFF"/>
          </w:tcPr>
          <w:p>
            <w:pPr>
              <w:jc w:val="right"/>
            </w:pPr>
            <w:r/>
            <w:r>
              <w:rPr>
                <w:b w:val="0"/>
                <w:i w:val="0"/>
                <w:sz w:val="20"/>
              </w:rPr>
              <w:t>80</w:t>
            </w:r>
          </w:p>
        </w:tc>
        <w:tc>
          <w:tcPr>
            <w:tcW w:type="dxa" w:w="1728"/>
            <w:shd w:val="clear" w:fill="FFFFFF"/>
          </w:tcPr>
          <w:p>
            <w:pPr>
              <w:jc w:val="right"/>
            </w:pPr>
            <w:r/>
            <w:r>
              <w:rPr>
                <w:b/>
                <w:i w:val="0"/>
                <w:color w:val="C02A2A"/>
                <w:sz w:val="20"/>
              </w:rPr>
              <w:t>3.8%</w:t>
            </w:r>
          </w:p>
        </w:tc>
      </w:tr>
      <w:tr>
        <w:tc>
          <w:tcPr>
            <w:tcW w:type="dxa" w:w="1728"/>
            <w:shd w:val="clear" w:fill="F2F2F2"/>
          </w:tcPr>
          <w:p>
            <w:pPr>
              <w:jc w:val="center"/>
            </w:pPr>
            <w:r/>
            <w:r>
              <w:rPr>
                <w:b w:val="0"/>
                <w:i w:val="0"/>
                <w:sz w:val="20"/>
              </w:rPr>
              <w:t>98</w:t>
            </w:r>
          </w:p>
        </w:tc>
        <w:tc>
          <w:tcPr>
            <w:tcW w:type="dxa" w:w="1728"/>
            <w:shd w:val="clear" w:fill="F2F2F2"/>
          </w:tcPr>
          <w:p>
            <w:pPr>
              <w:jc w:val="left"/>
            </w:pPr>
            <w:r/>
            <w:r>
              <w:rPr>
                <w:b w:val="0"/>
                <w:i w:val="0"/>
                <w:sz w:val="20"/>
              </w:rPr>
              <w:t>Komitas</w:t>
            </w:r>
          </w:p>
        </w:tc>
        <w:tc>
          <w:tcPr>
            <w:tcW w:type="dxa" w:w="1728"/>
            <w:shd w:val="clear" w:fill="F2F2F2"/>
          </w:tcPr>
          <w:p>
            <w:pPr>
              <w:jc w:val="right"/>
            </w:pPr>
            <w:r/>
            <w:r>
              <w:rPr>
                <w:b/>
                <w:i w:val="0"/>
                <w:color w:val="C02A2A"/>
                <w:sz w:val="20"/>
              </w:rPr>
              <w:t>2</w:t>
            </w:r>
          </w:p>
        </w:tc>
        <w:tc>
          <w:tcPr>
            <w:tcW w:type="dxa" w:w="1728"/>
            <w:shd w:val="clear" w:fill="F2F2F2"/>
          </w:tcPr>
          <w:p>
            <w:pPr>
              <w:jc w:val="right"/>
            </w:pPr>
            <w:r/>
            <w:r>
              <w:rPr>
                <w:b w:val="0"/>
                <w:i w:val="0"/>
                <w:sz w:val="20"/>
              </w:rPr>
              <w:t>60</w:t>
            </w:r>
          </w:p>
        </w:tc>
        <w:tc>
          <w:tcPr>
            <w:tcW w:type="dxa" w:w="1728"/>
            <w:shd w:val="clear" w:fill="F2F2F2"/>
          </w:tcPr>
          <w:p>
            <w:pPr>
              <w:jc w:val="right"/>
            </w:pPr>
            <w:r/>
            <w:r>
              <w:rPr>
                <w:b/>
                <w:i w:val="0"/>
                <w:color w:val="C02A2A"/>
                <w:sz w:val="20"/>
              </w:rPr>
              <w:t>3.3%</w:t>
            </w:r>
          </w:p>
        </w:tc>
      </w:tr>
      <w:tr>
        <w:tc>
          <w:tcPr>
            <w:tcW w:type="dxa" w:w="1728"/>
            <w:shd w:val="clear" w:fill="FFFFFF"/>
          </w:tcPr>
          <w:p>
            <w:pPr>
              <w:jc w:val="center"/>
            </w:pPr>
            <w:r/>
            <w:r>
              <w:rPr>
                <w:b w:val="0"/>
                <w:i w:val="0"/>
                <w:sz w:val="20"/>
              </w:rPr>
              <w:t>82</w:t>
            </w:r>
          </w:p>
        </w:tc>
        <w:tc>
          <w:tcPr>
            <w:tcW w:type="dxa" w:w="1728"/>
            <w:shd w:val="clear" w:fill="FFFFFF"/>
          </w:tcPr>
          <w:p>
            <w:pPr>
              <w:jc w:val="left"/>
            </w:pPr>
            <w:r/>
            <w:r>
              <w:rPr>
                <w:b w:val="0"/>
                <w:i w:val="0"/>
                <w:sz w:val="20"/>
              </w:rPr>
              <w:t>Komitas</w:t>
            </w:r>
          </w:p>
        </w:tc>
        <w:tc>
          <w:tcPr>
            <w:tcW w:type="dxa" w:w="1728"/>
            <w:shd w:val="clear" w:fill="FFFFFF"/>
          </w:tcPr>
          <w:p>
            <w:pPr>
              <w:jc w:val="right"/>
            </w:pPr>
            <w:r/>
            <w:r>
              <w:rPr>
                <w:b/>
                <w:i w:val="0"/>
                <w:color w:val="C02A2A"/>
                <w:sz w:val="20"/>
              </w:rPr>
              <w:t>4</w:t>
            </w:r>
          </w:p>
        </w:tc>
        <w:tc>
          <w:tcPr>
            <w:tcW w:type="dxa" w:w="1728"/>
            <w:shd w:val="clear" w:fill="FFFFFF"/>
          </w:tcPr>
          <w:p>
            <w:pPr>
              <w:jc w:val="right"/>
            </w:pPr>
            <w:r/>
            <w:r>
              <w:rPr>
                <w:b w:val="0"/>
                <w:i w:val="0"/>
                <w:sz w:val="20"/>
              </w:rPr>
              <w:t>129</w:t>
            </w:r>
          </w:p>
        </w:tc>
        <w:tc>
          <w:tcPr>
            <w:tcW w:type="dxa" w:w="1728"/>
            <w:shd w:val="clear" w:fill="FFFFFF"/>
          </w:tcPr>
          <w:p>
            <w:pPr>
              <w:jc w:val="right"/>
            </w:pPr>
            <w:r/>
            <w:r>
              <w:rPr>
                <w:b/>
                <w:i w:val="0"/>
                <w:color w:val="C02A2A"/>
                <w:sz w:val="20"/>
              </w:rPr>
              <w:t>3.1%</w:t>
            </w:r>
          </w:p>
        </w:tc>
      </w:tr>
      <w:tr>
        <w:tc>
          <w:tcPr>
            <w:tcW w:type="dxa" w:w="1728"/>
            <w:shd w:val="clear" w:fill="F2F2F2"/>
          </w:tcPr>
          <w:p>
            <w:pPr>
              <w:jc w:val="center"/>
            </w:pPr>
            <w:r/>
            <w:r>
              <w:rPr>
                <w:b w:val="0"/>
                <w:i w:val="0"/>
                <w:sz w:val="20"/>
              </w:rPr>
              <w:t>94</w:t>
            </w:r>
          </w:p>
        </w:tc>
        <w:tc>
          <w:tcPr>
            <w:tcW w:type="dxa" w:w="1728"/>
            <w:shd w:val="clear" w:fill="F2F2F2"/>
          </w:tcPr>
          <w:p>
            <w:pPr>
              <w:jc w:val="left"/>
            </w:pPr>
            <w:r/>
            <w:r>
              <w:rPr>
                <w:b w:val="0"/>
                <w:i w:val="0"/>
                <w:sz w:val="20"/>
              </w:rPr>
              <w:t>Komitas</w:t>
            </w:r>
          </w:p>
        </w:tc>
        <w:tc>
          <w:tcPr>
            <w:tcW w:type="dxa" w:w="1728"/>
            <w:shd w:val="clear" w:fill="F2F2F2"/>
          </w:tcPr>
          <w:p>
            <w:pPr>
              <w:jc w:val="right"/>
            </w:pPr>
            <w:r/>
            <w:r>
              <w:rPr>
                <w:b/>
                <w:i w:val="0"/>
                <w:color w:val="C02A2A"/>
                <w:sz w:val="20"/>
              </w:rPr>
              <w:t>3</w:t>
            </w:r>
          </w:p>
        </w:tc>
        <w:tc>
          <w:tcPr>
            <w:tcW w:type="dxa" w:w="1728"/>
            <w:shd w:val="clear" w:fill="F2F2F2"/>
          </w:tcPr>
          <w:p>
            <w:pPr>
              <w:jc w:val="right"/>
            </w:pPr>
            <w:r/>
            <w:r>
              <w:rPr>
                <w:b w:val="0"/>
                <w:i w:val="0"/>
                <w:sz w:val="20"/>
              </w:rPr>
              <w:t>109</w:t>
            </w:r>
          </w:p>
        </w:tc>
        <w:tc>
          <w:tcPr>
            <w:tcW w:type="dxa" w:w="1728"/>
            <w:shd w:val="clear" w:fill="F2F2F2"/>
          </w:tcPr>
          <w:p>
            <w:pPr>
              <w:jc w:val="right"/>
            </w:pPr>
            <w:r/>
            <w:r>
              <w:rPr>
                <w:b/>
                <w:i w:val="0"/>
                <w:color w:val="C02A2A"/>
                <w:sz w:val="20"/>
              </w:rPr>
              <w:t>2.8%</w:t>
            </w:r>
          </w:p>
        </w:tc>
      </w:tr>
      <w:tr>
        <w:tc>
          <w:tcPr>
            <w:tcW w:type="dxa" w:w="1728"/>
            <w:shd w:val="clear" w:fill="FFFFFF"/>
          </w:tcPr>
          <w:p>
            <w:pPr>
              <w:jc w:val="center"/>
            </w:pPr>
            <w:r/>
            <w:r>
              <w:rPr>
                <w:b w:val="0"/>
                <w:i w:val="0"/>
                <w:sz w:val="20"/>
              </w:rPr>
              <w:t>87</w:t>
            </w:r>
          </w:p>
        </w:tc>
        <w:tc>
          <w:tcPr>
            <w:tcW w:type="dxa" w:w="1728"/>
            <w:shd w:val="clear" w:fill="FFFFFF"/>
          </w:tcPr>
          <w:p>
            <w:pPr>
              <w:jc w:val="left"/>
            </w:pPr>
            <w:r/>
            <w:r>
              <w:rPr>
                <w:b w:val="0"/>
                <w:i w:val="0"/>
                <w:sz w:val="20"/>
              </w:rPr>
              <w:t>Komitas</w:t>
            </w:r>
          </w:p>
        </w:tc>
        <w:tc>
          <w:tcPr>
            <w:tcW w:type="dxa" w:w="1728"/>
            <w:shd w:val="clear" w:fill="FFFFFF"/>
          </w:tcPr>
          <w:p>
            <w:pPr>
              <w:jc w:val="right"/>
            </w:pPr>
            <w:r/>
            <w:r>
              <w:rPr>
                <w:b/>
                <w:i w:val="0"/>
                <w:color w:val="C02A2A"/>
                <w:sz w:val="20"/>
              </w:rPr>
              <w:t>2</w:t>
            </w:r>
          </w:p>
        </w:tc>
        <w:tc>
          <w:tcPr>
            <w:tcW w:type="dxa" w:w="1728"/>
            <w:shd w:val="clear" w:fill="FFFFFF"/>
          </w:tcPr>
          <w:p>
            <w:pPr>
              <w:jc w:val="right"/>
            </w:pPr>
            <w:r/>
            <w:r>
              <w:rPr>
                <w:b w:val="0"/>
                <w:i w:val="0"/>
                <w:sz w:val="20"/>
              </w:rPr>
              <w:t>81</w:t>
            </w:r>
          </w:p>
        </w:tc>
        <w:tc>
          <w:tcPr>
            <w:tcW w:type="dxa" w:w="1728"/>
            <w:shd w:val="clear" w:fill="FFFFFF"/>
          </w:tcPr>
          <w:p>
            <w:pPr>
              <w:jc w:val="right"/>
            </w:pPr>
            <w:r/>
            <w:r>
              <w:rPr>
                <w:b/>
                <w:i w:val="0"/>
                <w:color w:val="C02A2A"/>
                <w:sz w:val="20"/>
              </w:rPr>
              <w:t>2.5%</w:t>
            </w:r>
          </w:p>
        </w:tc>
      </w:tr>
      <w:tr>
        <w:tc>
          <w:tcPr>
            <w:tcW w:type="dxa" w:w="1728"/>
            <w:shd w:val="clear" w:fill="F2F2F2"/>
          </w:tcPr>
          <w:p>
            <w:pPr>
              <w:jc w:val="center"/>
            </w:pPr>
            <w:r/>
            <w:r>
              <w:rPr>
                <w:b w:val="0"/>
                <w:i w:val="0"/>
                <w:sz w:val="20"/>
              </w:rPr>
              <w:t>89</w:t>
            </w:r>
          </w:p>
        </w:tc>
        <w:tc>
          <w:tcPr>
            <w:tcW w:type="dxa" w:w="1728"/>
            <w:shd w:val="clear" w:fill="F2F2F2"/>
          </w:tcPr>
          <w:p>
            <w:pPr>
              <w:jc w:val="left"/>
            </w:pPr>
            <w:r/>
            <w:r>
              <w:rPr>
                <w:b w:val="0"/>
                <w:i w:val="0"/>
                <w:sz w:val="20"/>
              </w:rPr>
              <w:t>Komitas</w:t>
            </w:r>
          </w:p>
        </w:tc>
        <w:tc>
          <w:tcPr>
            <w:tcW w:type="dxa" w:w="1728"/>
            <w:shd w:val="clear" w:fill="F2F2F2"/>
          </w:tcPr>
          <w:p>
            <w:pPr>
              <w:jc w:val="right"/>
            </w:pPr>
            <w:r/>
            <w:r>
              <w:rPr>
                <w:b/>
                <w:i w:val="0"/>
                <w:color w:val="C02A2A"/>
                <w:sz w:val="20"/>
              </w:rPr>
              <w:t>2</w:t>
            </w:r>
          </w:p>
        </w:tc>
        <w:tc>
          <w:tcPr>
            <w:tcW w:type="dxa" w:w="1728"/>
            <w:shd w:val="clear" w:fill="F2F2F2"/>
          </w:tcPr>
          <w:p>
            <w:pPr>
              <w:jc w:val="right"/>
            </w:pPr>
            <w:r/>
            <w:r>
              <w:rPr>
                <w:b w:val="0"/>
                <w:i w:val="0"/>
                <w:sz w:val="20"/>
              </w:rPr>
              <w:t>85</w:t>
            </w:r>
          </w:p>
        </w:tc>
        <w:tc>
          <w:tcPr>
            <w:tcW w:type="dxa" w:w="1728"/>
            <w:shd w:val="clear" w:fill="F2F2F2"/>
          </w:tcPr>
          <w:p>
            <w:pPr>
              <w:jc w:val="right"/>
            </w:pPr>
            <w:r/>
            <w:r>
              <w:rPr>
                <w:b/>
                <w:i w:val="0"/>
                <w:color w:val="C02A2A"/>
                <w:sz w:val="20"/>
              </w:rPr>
              <w:t>2.4%</w:t>
            </w:r>
          </w:p>
        </w:tc>
      </w:tr>
      <w:tr>
        <w:tc>
          <w:tcPr>
            <w:tcW w:type="dxa" w:w="1728"/>
            <w:shd w:val="clear" w:fill="FFFFFF"/>
          </w:tcPr>
          <w:p>
            <w:pPr>
              <w:jc w:val="center"/>
            </w:pPr>
            <w:r/>
            <w:r>
              <w:rPr>
                <w:b w:val="0"/>
                <w:i w:val="0"/>
                <w:sz w:val="20"/>
              </w:rPr>
              <w:t>95</w:t>
            </w:r>
          </w:p>
        </w:tc>
        <w:tc>
          <w:tcPr>
            <w:tcW w:type="dxa" w:w="1728"/>
            <w:shd w:val="clear" w:fill="FFFFFF"/>
          </w:tcPr>
          <w:p>
            <w:pPr>
              <w:jc w:val="left"/>
            </w:pPr>
            <w:r/>
            <w:r>
              <w:rPr>
                <w:b w:val="0"/>
                <w:i w:val="0"/>
                <w:sz w:val="20"/>
              </w:rPr>
              <w:t>Komitas</w:t>
            </w:r>
          </w:p>
        </w:tc>
        <w:tc>
          <w:tcPr>
            <w:tcW w:type="dxa" w:w="1728"/>
            <w:shd w:val="clear" w:fill="FFFFFF"/>
          </w:tcPr>
          <w:p>
            <w:pPr>
              <w:jc w:val="right"/>
            </w:pPr>
            <w:r/>
            <w:r>
              <w:rPr>
                <w:b/>
                <w:i w:val="0"/>
                <w:color w:val="C02A2A"/>
                <w:sz w:val="20"/>
              </w:rPr>
              <w:t>2</w:t>
            </w:r>
          </w:p>
        </w:tc>
        <w:tc>
          <w:tcPr>
            <w:tcW w:type="dxa" w:w="1728"/>
            <w:shd w:val="clear" w:fill="FFFFFF"/>
          </w:tcPr>
          <w:p>
            <w:pPr>
              <w:jc w:val="right"/>
            </w:pPr>
            <w:r/>
            <w:r>
              <w:rPr>
                <w:b w:val="0"/>
                <w:i w:val="0"/>
                <w:sz w:val="20"/>
              </w:rPr>
              <w:t>90</w:t>
            </w:r>
          </w:p>
        </w:tc>
        <w:tc>
          <w:tcPr>
            <w:tcW w:type="dxa" w:w="1728"/>
            <w:shd w:val="clear" w:fill="FFFFFF"/>
          </w:tcPr>
          <w:p>
            <w:pPr>
              <w:jc w:val="right"/>
            </w:pPr>
            <w:r/>
            <w:r>
              <w:rPr>
                <w:b/>
                <w:i w:val="0"/>
                <w:color w:val="C02A2A"/>
                <w:sz w:val="20"/>
              </w:rPr>
              <w:t>2.2%</w:t>
            </w:r>
          </w:p>
        </w:tc>
      </w:tr>
      <w:tr>
        <w:tc>
          <w:tcPr>
            <w:tcW w:type="dxa" w:w="1728"/>
            <w:shd w:val="clear" w:fill="F2F2F2"/>
          </w:tcPr>
          <w:p>
            <w:pPr>
              <w:jc w:val="center"/>
            </w:pPr>
            <w:r/>
            <w:r>
              <w:rPr>
                <w:b w:val="0"/>
                <w:i w:val="0"/>
                <w:sz w:val="20"/>
              </w:rPr>
              <w:t>97</w:t>
            </w:r>
          </w:p>
        </w:tc>
        <w:tc>
          <w:tcPr>
            <w:tcW w:type="dxa" w:w="1728"/>
            <w:shd w:val="clear" w:fill="F2F2F2"/>
          </w:tcPr>
          <w:p>
            <w:pPr>
              <w:jc w:val="left"/>
            </w:pPr>
            <w:r/>
            <w:r>
              <w:rPr>
                <w:b w:val="0"/>
                <w:i w:val="0"/>
                <w:sz w:val="20"/>
              </w:rPr>
              <w:t>Komitas</w:t>
            </w:r>
          </w:p>
        </w:tc>
        <w:tc>
          <w:tcPr>
            <w:tcW w:type="dxa" w:w="1728"/>
            <w:shd w:val="clear" w:fill="F2F2F2"/>
          </w:tcPr>
          <w:p>
            <w:pPr>
              <w:jc w:val="right"/>
            </w:pPr>
            <w:r/>
            <w:r>
              <w:rPr>
                <w:b/>
                <w:i w:val="0"/>
                <w:color w:val="C02A2A"/>
                <w:sz w:val="20"/>
              </w:rPr>
              <w:t>2</w:t>
            </w:r>
          </w:p>
        </w:tc>
        <w:tc>
          <w:tcPr>
            <w:tcW w:type="dxa" w:w="1728"/>
            <w:shd w:val="clear" w:fill="F2F2F2"/>
          </w:tcPr>
          <w:p>
            <w:pPr>
              <w:jc w:val="right"/>
            </w:pPr>
            <w:r/>
            <w:r>
              <w:rPr>
                <w:b w:val="0"/>
                <w:i w:val="0"/>
                <w:sz w:val="20"/>
              </w:rPr>
              <w:t>95</w:t>
            </w:r>
          </w:p>
        </w:tc>
        <w:tc>
          <w:tcPr>
            <w:tcW w:type="dxa" w:w="1728"/>
            <w:shd w:val="clear" w:fill="F2F2F2"/>
          </w:tcPr>
          <w:p>
            <w:pPr>
              <w:jc w:val="right"/>
            </w:pPr>
            <w:r/>
            <w:r>
              <w:rPr>
                <w:b/>
                <w:i w:val="0"/>
                <w:color w:val="C02A2A"/>
                <w:sz w:val="20"/>
              </w:rPr>
              <w:t>2.1%</w:t>
            </w:r>
          </w:p>
        </w:tc>
      </w:tr>
      <w:tr>
        <w:tc>
          <w:tcPr>
            <w:tcW w:type="dxa" w:w="1728"/>
            <w:shd w:val="clear" w:fill="FFFFFF"/>
          </w:tcPr>
          <w:p>
            <w:pPr>
              <w:jc w:val="center"/>
            </w:pPr>
            <w:r/>
            <w:r>
              <w:rPr>
                <w:b w:val="0"/>
                <w:i w:val="0"/>
                <w:sz w:val="20"/>
              </w:rPr>
              <w:t>113</w:t>
            </w:r>
          </w:p>
        </w:tc>
        <w:tc>
          <w:tcPr>
            <w:tcW w:type="dxa" w:w="1728"/>
            <w:shd w:val="clear" w:fill="FFFFFF"/>
          </w:tcPr>
          <w:p>
            <w:pPr>
              <w:jc w:val="left"/>
            </w:pPr>
            <w:r/>
            <w:r>
              <w:rPr>
                <w:b w:val="0"/>
                <w:i w:val="0"/>
                <w:sz w:val="20"/>
              </w:rPr>
              <w:t>Komitas</w:t>
            </w:r>
          </w:p>
        </w:tc>
        <w:tc>
          <w:tcPr>
            <w:tcW w:type="dxa" w:w="1728"/>
            <w:shd w:val="clear" w:fill="FFFFFF"/>
          </w:tcPr>
          <w:p>
            <w:pPr>
              <w:jc w:val="right"/>
            </w:pPr>
            <w:r/>
            <w:r>
              <w:rPr>
                <w:b/>
                <w:i w:val="0"/>
                <w:color w:val="C02A2A"/>
                <w:sz w:val="20"/>
              </w:rPr>
              <w:t>1</w:t>
            </w:r>
          </w:p>
        </w:tc>
        <w:tc>
          <w:tcPr>
            <w:tcW w:type="dxa" w:w="1728"/>
            <w:shd w:val="clear" w:fill="FFFFFF"/>
          </w:tcPr>
          <w:p>
            <w:pPr>
              <w:jc w:val="right"/>
            </w:pPr>
            <w:r/>
            <w:r>
              <w:rPr>
                <w:b w:val="0"/>
                <w:i w:val="0"/>
                <w:sz w:val="20"/>
              </w:rPr>
              <w:t>60</w:t>
            </w:r>
          </w:p>
        </w:tc>
        <w:tc>
          <w:tcPr>
            <w:tcW w:type="dxa" w:w="1728"/>
            <w:shd w:val="clear" w:fill="FFFFFF"/>
          </w:tcPr>
          <w:p>
            <w:pPr>
              <w:jc w:val="right"/>
            </w:pPr>
            <w:r/>
            <w:r>
              <w:rPr>
                <w:b/>
                <w:i w:val="0"/>
                <w:color w:val="C02A2A"/>
                <w:sz w:val="20"/>
              </w:rPr>
              <w:t>1.7%</w:t>
            </w:r>
          </w:p>
        </w:tc>
      </w:tr>
      <w:tr>
        <w:tc>
          <w:tcPr>
            <w:tcW w:type="dxa" w:w="1728"/>
            <w:shd w:val="clear" w:fill="F2F2F2"/>
          </w:tcPr>
          <w:p>
            <w:pPr>
              <w:jc w:val="center"/>
            </w:pPr>
            <w:r/>
            <w:r>
              <w:rPr>
                <w:b w:val="0"/>
                <w:i w:val="0"/>
                <w:sz w:val="20"/>
              </w:rPr>
              <w:t>74</w:t>
            </w:r>
          </w:p>
        </w:tc>
        <w:tc>
          <w:tcPr>
            <w:tcW w:type="dxa" w:w="1728"/>
            <w:shd w:val="clear" w:fill="F2F2F2"/>
          </w:tcPr>
          <w:p>
            <w:pPr>
              <w:jc w:val="left"/>
            </w:pPr>
            <w:r/>
            <w:r>
              <w:rPr>
                <w:b w:val="0"/>
                <w:i w:val="0"/>
                <w:sz w:val="20"/>
              </w:rPr>
              <w:t>Komitas</w:t>
            </w:r>
          </w:p>
        </w:tc>
        <w:tc>
          <w:tcPr>
            <w:tcW w:type="dxa" w:w="1728"/>
            <w:shd w:val="clear" w:fill="F2F2F2"/>
          </w:tcPr>
          <w:p>
            <w:pPr>
              <w:jc w:val="right"/>
            </w:pPr>
            <w:r/>
            <w:r>
              <w:rPr>
                <w:b/>
                <w:i w:val="0"/>
                <w:color w:val="C02A2A"/>
                <w:sz w:val="20"/>
              </w:rPr>
              <w:t>1</w:t>
            </w:r>
          </w:p>
        </w:tc>
        <w:tc>
          <w:tcPr>
            <w:tcW w:type="dxa" w:w="1728"/>
            <w:shd w:val="clear" w:fill="F2F2F2"/>
          </w:tcPr>
          <w:p>
            <w:pPr>
              <w:jc w:val="right"/>
            </w:pPr>
            <w:r/>
            <w:r>
              <w:rPr>
                <w:b w:val="0"/>
                <w:i w:val="0"/>
                <w:sz w:val="20"/>
              </w:rPr>
              <w:t>61</w:t>
            </w:r>
          </w:p>
        </w:tc>
        <w:tc>
          <w:tcPr>
            <w:tcW w:type="dxa" w:w="1728"/>
            <w:shd w:val="clear" w:fill="F2F2F2"/>
          </w:tcPr>
          <w:p>
            <w:pPr>
              <w:jc w:val="right"/>
            </w:pPr>
            <w:r/>
            <w:r>
              <w:rPr>
                <w:b/>
                <w:i w:val="0"/>
                <w:color w:val="C02A2A"/>
                <w:sz w:val="20"/>
              </w:rPr>
              <w:t>1.6%</w:t>
            </w:r>
          </w:p>
        </w:tc>
      </w:tr>
      <w:tr>
        <w:tc>
          <w:tcPr>
            <w:tcW w:type="dxa" w:w="1728"/>
            <w:shd w:val="clear" w:fill="FFFFFF"/>
          </w:tcPr>
          <w:p>
            <w:pPr>
              <w:jc w:val="center"/>
            </w:pPr>
            <w:r/>
            <w:r>
              <w:rPr>
                <w:b w:val="0"/>
                <w:i w:val="0"/>
                <w:sz w:val="20"/>
              </w:rPr>
              <w:t>100</w:t>
            </w:r>
          </w:p>
        </w:tc>
        <w:tc>
          <w:tcPr>
            <w:tcW w:type="dxa" w:w="1728"/>
            <w:shd w:val="clear" w:fill="FFFFFF"/>
          </w:tcPr>
          <w:p>
            <w:pPr>
              <w:jc w:val="left"/>
            </w:pPr>
            <w:r/>
            <w:r>
              <w:rPr>
                <w:b w:val="0"/>
                <w:i w:val="0"/>
                <w:sz w:val="20"/>
              </w:rPr>
              <w:t>Komitas</w:t>
            </w:r>
          </w:p>
        </w:tc>
        <w:tc>
          <w:tcPr>
            <w:tcW w:type="dxa" w:w="1728"/>
            <w:shd w:val="clear" w:fill="FFFFFF"/>
          </w:tcPr>
          <w:p>
            <w:pPr>
              <w:jc w:val="right"/>
            </w:pPr>
            <w:r/>
            <w:r>
              <w:rPr>
                <w:b/>
                <w:i w:val="0"/>
                <w:color w:val="C02A2A"/>
                <w:sz w:val="20"/>
              </w:rPr>
              <w:t>2</w:t>
            </w:r>
          </w:p>
        </w:tc>
        <w:tc>
          <w:tcPr>
            <w:tcW w:type="dxa" w:w="1728"/>
            <w:shd w:val="clear" w:fill="FFFFFF"/>
          </w:tcPr>
          <w:p>
            <w:pPr>
              <w:jc w:val="right"/>
            </w:pPr>
            <w:r/>
            <w:r>
              <w:rPr>
                <w:b w:val="0"/>
                <w:i w:val="0"/>
                <w:sz w:val="20"/>
              </w:rPr>
              <w:t>125</w:t>
            </w:r>
          </w:p>
        </w:tc>
        <w:tc>
          <w:tcPr>
            <w:tcW w:type="dxa" w:w="1728"/>
            <w:shd w:val="clear" w:fill="FFFFFF"/>
          </w:tcPr>
          <w:p>
            <w:pPr>
              <w:jc w:val="right"/>
            </w:pPr>
            <w:r/>
            <w:r>
              <w:rPr>
                <w:b/>
                <w:i w:val="0"/>
                <w:color w:val="C02A2A"/>
                <w:sz w:val="20"/>
              </w:rPr>
              <w:t>1.6%</w:t>
            </w:r>
          </w:p>
        </w:tc>
      </w:tr>
      <w:tr>
        <w:tc>
          <w:tcPr>
            <w:tcW w:type="dxa" w:w="1728"/>
            <w:shd w:val="clear" w:fill="F2F2F2"/>
          </w:tcPr>
          <w:p>
            <w:pPr>
              <w:jc w:val="center"/>
            </w:pPr>
            <w:r/>
            <w:r>
              <w:rPr>
                <w:b w:val="0"/>
                <w:i w:val="0"/>
                <w:sz w:val="20"/>
              </w:rPr>
              <w:t>80</w:t>
            </w:r>
          </w:p>
        </w:tc>
        <w:tc>
          <w:tcPr>
            <w:tcW w:type="dxa" w:w="1728"/>
            <w:shd w:val="clear" w:fill="F2F2F2"/>
          </w:tcPr>
          <w:p>
            <w:pPr>
              <w:jc w:val="left"/>
            </w:pPr>
            <w:r/>
            <w:r>
              <w:rPr>
                <w:b w:val="0"/>
                <w:i w:val="0"/>
                <w:sz w:val="20"/>
              </w:rPr>
              <w:t>Komitas</w:t>
            </w:r>
          </w:p>
        </w:tc>
        <w:tc>
          <w:tcPr>
            <w:tcW w:type="dxa" w:w="1728"/>
            <w:shd w:val="clear" w:fill="F2F2F2"/>
          </w:tcPr>
          <w:p>
            <w:pPr>
              <w:jc w:val="right"/>
            </w:pPr>
            <w:r/>
            <w:r>
              <w:rPr>
                <w:b/>
                <w:i w:val="0"/>
                <w:color w:val="C02A2A"/>
                <w:sz w:val="20"/>
              </w:rPr>
              <w:t>1</w:t>
            </w:r>
          </w:p>
        </w:tc>
        <w:tc>
          <w:tcPr>
            <w:tcW w:type="dxa" w:w="1728"/>
            <w:shd w:val="clear" w:fill="F2F2F2"/>
          </w:tcPr>
          <w:p>
            <w:pPr>
              <w:jc w:val="right"/>
            </w:pPr>
            <w:r/>
            <w:r>
              <w:rPr>
                <w:b w:val="0"/>
                <w:i w:val="0"/>
                <w:sz w:val="20"/>
              </w:rPr>
              <w:t>67</w:t>
            </w:r>
          </w:p>
        </w:tc>
        <w:tc>
          <w:tcPr>
            <w:tcW w:type="dxa" w:w="1728"/>
            <w:shd w:val="clear" w:fill="F2F2F2"/>
          </w:tcPr>
          <w:p>
            <w:pPr>
              <w:jc w:val="right"/>
            </w:pPr>
            <w:r/>
            <w:r>
              <w:rPr>
                <w:b/>
                <w:i w:val="0"/>
                <w:color w:val="C02A2A"/>
                <w:sz w:val="20"/>
              </w:rPr>
              <w:t>1.5%</w:t>
            </w:r>
          </w:p>
        </w:tc>
      </w:tr>
      <w:tr>
        <w:tc>
          <w:tcPr>
            <w:tcW w:type="dxa" w:w="1728"/>
            <w:shd w:val="clear" w:fill="FFFFFF"/>
          </w:tcPr>
          <w:p>
            <w:pPr>
              <w:jc w:val="center"/>
            </w:pPr>
            <w:r/>
            <w:r>
              <w:rPr>
                <w:b w:val="0"/>
                <w:i w:val="0"/>
                <w:sz w:val="20"/>
              </w:rPr>
              <w:t>104</w:t>
            </w:r>
          </w:p>
        </w:tc>
        <w:tc>
          <w:tcPr>
            <w:tcW w:type="dxa" w:w="1728"/>
            <w:shd w:val="clear" w:fill="FFFFFF"/>
          </w:tcPr>
          <w:p>
            <w:pPr>
              <w:jc w:val="left"/>
            </w:pPr>
            <w:r/>
            <w:r>
              <w:rPr>
                <w:b w:val="0"/>
                <w:i w:val="0"/>
                <w:sz w:val="20"/>
              </w:rPr>
              <w:t>Komitas</w:t>
            </w:r>
          </w:p>
        </w:tc>
        <w:tc>
          <w:tcPr>
            <w:tcW w:type="dxa" w:w="1728"/>
            <w:shd w:val="clear" w:fill="FFFFFF"/>
          </w:tcPr>
          <w:p>
            <w:pPr>
              <w:jc w:val="right"/>
            </w:pPr>
            <w:r/>
            <w:r>
              <w:rPr>
                <w:b/>
                <w:i w:val="0"/>
                <w:color w:val="C02A2A"/>
                <w:sz w:val="20"/>
              </w:rPr>
              <w:t>1</w:t>
            </w:r>
          </w:p>
        </w:tc>
        <w:tc>
          <w:tcPr>
            <w:tcW w:type="dxa" w:w="1728"/>
            <w:shd w:val="clear" w:fill="FFFFFF"/>
          </w:tcPr>
          <w:p>
            <w:pPr>
              <w:jc w:val="right"/>
            </w:pPr>
            <w:r/>
            <w:r>
              <w:rPr>
                <w:b w:val="0"/>
                <w:i w:val="0"/>
                <w:sz w:val="20"/>
              </w:rPr>
              <w:t>83</w:t>
            </w:r>
          </w:p>
        </w:tc>
        <w:tc>
          <w:tcPr>
            <w:tcW w:type="dxa" w:w="1728"/>
            <w:shd w:val="clear" w:fill="FFFFFF"/>
          </w:tcPr>
          <w:p>
            <w:pPr>
              <w:jc w:val="right"/>
            </w:pPr>
            <w:r/>
            <w:r>
              <w:rPr>
                <w:b/>
                <w:i w:val="0"/>
                <w:color w:val="C02A2A"/>
                <w:sz w:val="20"/>
              </w:rPr>
              <w:t>1.2%</w:t>
            </w:r>
          </w:p>
        </w:tc>
      </w:tr>
      <w:tr>
        <w:tc>
          <w:tcPr>
            <w:tcW w:type="dxa" w:w="1728"/>
            <w:shd w:val="clear" w:fill="F2F2F2"/>
          </w:tcPr>
          <w:p>
            <w:pPr>
              <w:jc w:val="center"/>
            </w:pPr>
            <w:r/>
            <w:r>
              <w:rPr>
                <w:b w:val="0"/>
                <w:i w:val="0"/>
                <w:sz w:val="20"/>
              </w:rPr>
              <w:t>83</w:t>
            </w:r>
          </w:p>
        </w:tc>
        <w:tc>
          <w:tcPr>
            <w:tcW w:type="dxa" w:w="1728"/>
            <w:shd w:val="clear" w:fill="F2F2F2"/>
          </w:tcPr>
          <w:p>
            <w:pPr>
              <w:jc w:val="left"/>
            </w:pPr>
            <w:r/>
            <w:r>
              <w:rPr>
                <w:b w:val="0"/>
                <w:i w:val="0"/>
                <w:sz w:val="20"/>
              </w:rPr>
              <w:t>Komitas</w:t>
            </w:r>
          </w:p>
        </w:tc>
        <w:tc>
          <w:tcPr>
            <w:tcW w:type="dxa" w:w="1728"/>
            <w:shd w:val="clear" w:fill="F2F2F2"/>
          </w:tcPr>
          <w:p>
            <w:pPr>
              <w:jc w:val="right"/>
            </w:pPr>
            <w:r/>
            <w:r>
              <w:rPr>
                <w:b/>
                <w:i w:val="0"/>
                <w:color w:val="C02A2A"/>
                <w:sz w:val="20"/>
              </w:rPr>
              <w:t>1</w:t>
            </w:r>
          </w:p>
        </w:tc>
        <w:tc>
          <w:tcPr>
            <w:tcW w:type="dxa" w:w="1728"/>
            <w:shd w:val="clear" w:fill="F2F2F2"/>
          </w:tcPr>
          <w:p>
            <w:pPr>
              <w:jc w:val="right"/>
            </w:pPr>
            <w:r/>
            <w:r>
              <w:rPr>
                <w:b w:val="0"/>
                <w:i w:val="0"/>
                <w:sz w:val="20"/>
              </w:rPr>
              <w:t>94</w:t>
            </w:r>
          </w:p>
        </w:tc>
        <w:tc>
          <w:tcPr>
            <w:tcW w:type="dxa" w:w="1728"/>
            <w:shd w:val="clear" w:fill="F2F2F2"/>
          </w:tcPr>
          <w:p>
            <w:pPr>
              <w:jc w:val="right"/>
            </w:pPr>
            <w:r/>
            <w:r>
              <w:rPr>
                <w:b/>
                <w:i w:val="0"/>
                <w:color w:val="C02A2A"/>
                <w:sz w:val="20"/>
              </w:rPr>
              <w:t>1.1%</w:t>
            </w:r>
          </w:p>
        </w:tc>
      </w:tr>
      <w:tr>
        <w:tc>
          <w:tcPr>
            <w:tcW w:type="dxa" w:w="1728"/>
            <w:shd w:val="clear" w:fill="FFFFFF"/>
          </w:tcPr>
          <w:p>
            <w:pPr>
              <w:jc w:val="center"/>
            </w:pPr>
            <w:r/>
            <w:r>
              <w:rPr>
                <w:b w:val="0"/>
                <w:i w:val="0"/>
                <w:sz w:val="20"/>
              </w:rPr>
              <w:t>111</w:t>
            </w:r>
          </w:p>
        </w:tc>
        <w:tc>
          <w:tcPr>
            <w:tcW w:type="dxa" w:w="1728"/>
            <w:shd w:val="clear" w:fill="FFFFFF"/>
          </w:tcPr>
          <w:p>
            <w:pPr>
              <w:jc w:val="left"/>
            </w:pPr>
            <w:r/>
            <w:r>
              <w:rPr>
                <w:b w:val="0"/>
                <w:i w:val="0"/>
                <w:sz w:val="20"/>
              </w:rPr>
              <w:t>Komitas</w:t>
            </w:r>
          </w:p>
        </w:tc>
        <w:tc>
          <w:tcPr>
            <w:tcW w:type="dxa" w:w="1728"/>
            <w:shd w:val="clear" w:fill="FFFFFF"/>
          </w:tcPr>
          <w:p>
            <w:pPr>
              <w:jc w:val="right"/>
            </w:pPr>
            <w:r/>
            <w:r>
              <w:rPr>
                <w:b/>
                <w:i w:val="0"/>
                <w:color w:val="C02A2A"/>
                <w:sz w:val="20"/>
              </w:rPr>
              <w:t>1</w:t>
            </w:r>
          </w:p>
        </w:tc>
        <w:tc>
          <w:tcPr>
            <w:tcW w:type="dxa" w:w="1728"/>
            <w:shd w:val="clear" w:fill="FFFFFF"/>
          </w:tcPr>
          <w:p>
            <w:pPr>
              <w:jc w:val="right"/>
            </w:pPr>
            <w:r/>
            <w:r>
              <w:rPr>
                <w:b w:val="0"/>
                <w:i w:val="0"/>
                <w:sz w:val="20"/>
              </w:rPr>
              <w:t>117</w:t>
            </w:r>
          </w:p>
        </w:tc>
        <w:tc>
          <w:tcPr>
            <w:tcW w:type="dxa" w:w="1728"/>
            <w:shd w:val="clear" w:fill="FFFFFF"/>
          </w:tcPr>
          <w:p>
            <w:pPr>
              <w:jc w:val="right"/>
            </w:pPr>
            <w:r/>
            <w:r>
              <w:rPr>
                <w:b/>
                <w:i w:val="0"/>
                <w:color w:val="C02A2A"/>
                <w:sz w:val="20"/>
              </w:rPr>
              <w:t>0.9%</w:t>
            </w:r>
          </w:p>
        </w:tc>
      </w:tr>
      <w:tr>
        <w:tc>
          <w:tcPr>
            <w:tcW w:type="dxa" w:w="1728"/>
            <w:shd w:val="clear" w:fill="F2F2F2"/>
          </w:tcPr>
          <w:p>
            <w:pPr>
              <w:jc w:val="center"/>
            </w:pPr>
            <w:r/>
            <w:r>
              <w:rPr>
                <w:b w:val="0"/>
                <w:i w:val="0"/>
                <w:sz w:val="20"/>
              </w:rPr>
              <w:t>138</w:t>
            </w:r>
          </w:p>
        </w:tc>
        <w:tc>
          <w:tcPr>
            <w:tcW w:type="dxa" w:w="1728"/>
            <w:shd w:val="clear" w:fill="F2F2F2"/>
          </w:tcPr>
          <w:p>
            <w:pPr>
              <w:jc w:val="left"/>
            </w:pPr>
            <w:r/>
            <w:r>
              <w:rPr>
                <w:b w:val="0"/>
                <w:i w:val="0"/>
                <w:sz w:val="20"/>
              </w:rPr>
              <w:t>Shiraz &amp; Hasratyan</w:t>
            </w:r>
          </w:p>
        </w:tc>
        <w:tc>
          <w:tcPr>
            <w:tcW w:type="dxa" w:w="1728"/>
            <w:shd w:val="clear" w:fill="F2F2F2"/>
          </w:tcPr>
          <w:p>
            <w:pPr>
              <w:jc w:val="right"/>
            </w:pPr>
            <w:r/>
            <w:r>
              <w:rPr>
                <w:b/>
                <w:i w:val="0"/>
                <w:color w:val="C02A2A"/>
                <w:sz w:val="20"/>
              </w:rPr>
              <w:t>1</w:t>
            </w:r>
          </w:p>
        </w:tc>
        <w:tc>
          <w:tcPr>
            <w:tcW w:type="dxa" w:w="1728"/>
            <w:shd w:val="clear" w:fill="F2F2F2"/>
          </w:tcPr>
          <w:p>
            <w:pPr>
              <w:jc w:val="right"/>
            </w:pPr>
            <w:r/>
            <w:r>
              <w:rPr>
                <w:b w:val="0"/>
                <w:i w:val="0"/>
                <w:sz w:val="20"/>
              </w:rPr>
              <w:t>146</w:t>
            </w:r>
          </w:p>
        </w:tc>
        <w:tc>
          <w:tcPr>
            <w:tcW w:type="dxa" w:w="1728"/>
            <w:shd w:val="clear" w:fill="F2F2F2"/>
          </w:tcPr>
          <w:p>
            <w:pPr>
              <w:jc w:val="right"/>
            </w:pPr>
            <w:r/>
            <w:r>
              <w:rPr>
                <w:b/>
                <w:i w:val="0"/>
                <w:color w:val="C02A2A"/>
                <w:sz w:val="20"/>
              </w:rPr>
              <w:t>0.7%</w:t>
            </w:r>
          </w:p>
        </w:tc>
      </w:tr>
      <w:tr>
        <w:tc>
          <w:tcPr>
            <w:tcW w:type="dxa" w:w="1728"/>
            <w:shd w:val="clear" w:fill="FFFFFF"/>
          </w:tcPr>
          <w:p>
            <w:pPr>
              <w:jc w:val="center"/>
            </w:pPr>
            <w:r/>
            <w:r>
              <w:rPr>
                <w:b w:val="0"/>
                <w:i w:val="0"/>
                <w:sz w:val="20"/>
              </w:rPr>
              <w:t>81</w:t>
            </w:r>
          </w:p>
        </w:tc>
        <w:tc>
          <w:tcPr>
            <w:tcW w:type="dxa" w:w="1728"/>
            <w:shd w:val="clear" w:fill="FFFFFF"/>
          </w:tcPr>
          <w:p>
            <w:pPr>
              <w:jc w:val="left"/>
            </w:pPr>
            <w:r/>
            <w:r>
              <w:rPr>
                <w:b w:val="0"/>
                <w:i w:val="0"/>
                <w:sz w:val="20"/>
              </w:rPr>
              <w:t>Komitas</w:t>
            </w:r>
          </w:p>
        </w:tc>
        <w:tc>
          <w:tcPr>
            <w:tcW w:type="dxa" w:w="1728"/>
            <w:shd w:val="clear" w:fill="FFFFFF"/>
          </w:tcPr>
          <w:p>
            <w:pPr>
              <w:jc w:val="right"/>
            </w:pPr>
            <w:r/>
            <w:r>
              <w:rPr>
                <w:b/>
                <w:i w:val="0"/>
                <w:color w:val="C02A2A"/>
                <w:sz w:val="20"/>
              </w:rPr>
              <w:t>1</w:t>
            </w:r>
          </w:p>
        </w:tc>
        <w:tc>
          <w:tcPr>
            <w:tcW w:type="dxa" w:w="1728"/>
            <w:shd w:val="clear" w:fill="FFFFFF"/>
          </w:tcPr>
          <w:p>
            <w:pPr>
              <w:jc w:val="right"/>
            </w:pPr>
            <w:r/>
            <w:r>
              <w:rPr>
                <w:b w:val="0"/>
                <w:i w:val="0"/>
                <w:sz w:val="20"/>
              </w:rPr>
              <w:t>176</w:t>
            </w:r>
          </w:p>
        </w:tc>
        <w:tc>
          <w:tcPr>
            <w:tcW w:type="dxa" w:w="1728"/>
            <w:shd w:val="clear" w:fill="FFFFFF"/>
          </w:tcPr>
          <w:p>
            <w:pPr>
              <w:jc w:val="right"/>
            </w:pPr>
            <w:r/>
            <w:r>
              <w:rPr>
                <w:b/>
                <w:i w:val="0"/>
                <w:color w:val="C02A2A"/>
                <w:sz w:val="20"/>
              </w:rPr>
              <w:t>0.6%</w:t>
            </w:r>
          </w:p>
        </w:tc>
      </w:tr>
    </w:tbl>
    <w:p/>
    <w:p>
      <w:r>
        <w:rPr>
          <w:b/>
          <w:color w:val="006D77"/>
          <w:sz w:val="26"/>
        </w:rPr>
        <w:t>3. Observations</w:t>
      </w:r>
    </w:p>
    <w:p>
      <w:pPr>
        <w:pStyle w:val="ListBullet"/>
        <w:spacing w:after="80"/>
      </w:pPr>
      <w:r>
        <w:rPr>
          <w:b/>
          <w:sz w:val="22"/>
        </w:rPr>
        <w:t xml:space="preserve">Negligible overall rate. </w:t>
      </w:r>
      <w:r>
        <w:rPr>
          <w:sz w:val="22"/>
        </w:rPr>
        <w:t>Across 21,174 vehicle-hour observations spanning all six survey areas, only 45 were coded as illegal — an overall share of 0.21%.</w:t>
      </w:r>
    </w:p>
    <w:p>
      <w:pPr>
        <w:pStyle w:val="ListBullet"/>
        <w:spacing w:after="80"/>
      </w:pPr>
      <w:r>
        <w:rPr>
          <w:b/>
          <w:sz w:val="22"/>
        </w:rPr>
        <w:t xml:space="preserve">Concentrated in Komitas. </w:t>
      </w:r>
      <w:r>
        <w:rPr>
          <w:sz w:val="22"/>
        </w:rPr>
        <w:t>44 of the 45 illegal observations (98%) are in the Komitas area, which covers paid (blue-zone) on-street parking. The highest individual zones are 84, 110, and 109 (each at or above 6%).</w:t>
      </w:r>
    </w:p>
    <w:p>
      <w:pPr>
        <w:pStyle w:val="ListBullet"/>
        <w:spacing w:after="80"/>
      </w:pPr>
      <w:r>
        <w:rPr>
          <w:b/>
          <w:sz w:val="22"/>
        </w:rPr>
        <w:t xml:space="preserve">One Shiraz zone. </w:t>
      </w:r>
      <w:r>
        <w:rPr>
          <w:sz w:val="22"/>
        </w:rPr>
        <w:t>Zone 138 in Shiraz &amp; Hasratyan recorded a single illegal observation out of 146 (0.7%). No other area logged any violations.</w:t>
      </w:r>
    </w:p>
    <w:p>
      <w:pPr>
        <w:pStyle w:val="ListBullet"/>
        <w:spacing w:after="80"/>
      </w:pPr>
      <w:r>
        <w:rPr>
          <w:b/>
          <w:sz w:val="22"/>
        </w:rPr>
        <w:t xml:space="preserve">Surveyor coding consistency. </w:t>
      </w:r>
      <w:r>
        <w:rPr>
          <w:sz w:val="22"/>
        </w:rPr>
        <w:t>The absence of illegal observations across Kentron, Garegin Nzhdeh, Malatia-Sebastia, and Gai Avenue / Mega Mall likely reflects inconsistent application of the 'I – Illegal' code rather than a genuine absence of violations. The 0.21% figure should be treated as a lower bound.</w:t>
      </w:r>
    </w:p>
    <w:p>
      <w:pPr>
        <w:pStyle w:val="ListBullet"/>
        <w:spacing w:after="80"/>
      </w:pPr>
      <w:r>
        <w:rPr>
          <w:b/>
          <w:sz w:val="22"/>
        </w:rPr>
        <w:t xml:space="preserve">Komitas paid zone pattern. </w:t>
      </w:r>
      <w:r>
        <w:rPr>
          <w:sz w:val="22"/>
        </w:rPr>
        <w:t>Most Komitas illegal observations occur on white-regulation streets adjacent to the blue-zone core, or in blue zones where vehicles parked in non-standard orientations (45-degree on parallel-only streets). This points to boundary confusion rather than deliberate evasion.</w:t>
      </w:r>
    </w:p>
    <w:p/>
    <w:p>
      <w:pPr>
        <w:spacing w:after="80"/>
      </w:pPr>
      <w:r>
        <w:rPr>
          <w:i/>
          <w:color w:val="555555"/>
          <w:sz w:val="18"/>
        </w:rPr>
        <w:t>Source: raw survey workbooks (Garegin Nzhdeh St.xlsx, Kentron.xlsx, Komitas.xlsx, Malatia Sebastia.xlsx, Mega Mall.xlsx, Shiraz, Hasratyan.xlsx). Analysis date: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