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Parking Presentation — Speaker Narration</w:t>
      </w:r>
    </w:p>
    <w:p>
      <w:r>
        <w:rPr>
          <w:i/>
          <w:color w:val="666666"/>
          <w:sz w:val="20"/>
        </w:rPr>
        <w:t>Deck: Parking Slides - ADB Final (6).pptx.  Slides 1–2 are self-explanatory — narrate the key numbers straight from the slide.</w:t>
      </w:r>
    </w:p>
    <w:p>
      <w:pPr>
        <w:pStyle w:val="Heading1"/>
      </w:pPr>
      <w:r>
        <w:t>Slide 3 — Parking Occupancy Survey</w:t>
      </w:r>
    </w:p>
    <w:p>
      <w:pPr>
        <w:spacing w:after="160"/>
      </w:pPr>
      <w:r>
        <w:t>Everything here is measured, not modelled. Six representative areas, ordinary mid-week working days at the end of May, licence plates recorded by hand every hour from seven in the morning to midnight — around 25,000 observations.</w:t>
      </w:r>
    </w:p>
    <w:p>
      <w:pPr>
        <w:spacing w:after="160"/>
      </w:pPr>
      <w:r>
        <w:t>A word on how to read the occupancy figures, because they go above 100 percent and that is meaningful, not an error. We walked each area every hour on the hour and logged every parked car. So the peak figure counts the distinct vehicles that used a stretch of kerb during its single busiest hour, measured against how many cars that kerb holds. When Kentron reads 138 percent, it means that in the busiest hour the kerb served 38 percent more distinct vehicles than it can hold at one time — because the parking is short-stay and turns over quickly within the hour. It is a measure of how hard the kerb works at its peak, not of cars frozen at one instant. Almost all of this parking is legal — only 0.2 percent was illegal, and remember that in Yerevan the great majority of legal parking is on unmarked kerb. So this is about saturation, not rule-breaking.</w:t>
      </w:r>
    </w:p>
    <w:p>
      <w:pPr>
        <w:spacing w:after="160"/>
      </w:pPr>
      <w:r>
        <w:t>The headline is capacity-weighted peak occupancy of 93 percent — capacity-weighted meaning the big corridors count for more than the small side streets, so the number reflects where the cars actually are. The average stay works out to about 1.8 hours.</w:t>
      </w:r>
    </w:p>
    <w:p>
      <w:pPr>
        <w:spacing w:after="160"/>
      </w:pPr>
      <w:r>
        <w:t>But the spread matters more than the average, and that is the chart on the left — from 54 percent in Malatia-Sebastia up to 138 percent in Kentron. The survey confirms and quantifies how different these areas are. Kentron is a commercial core: intense, short-stay. Malatia-Sebastia is residential — the lowest daytime pressure of the six, but the strongest overnight signature, which is residential storage rather than turnover. Same city, same week, two completely different problems — which is why the mitigation on the next slide is applied zone by zone, not uniformly.</w:t>
      </w:r>
    </w:p>
    <w:p>
      <w:pPr>
        <w:spacing w:after="160"/>
      </w:pPr>
      <w:r>
        <w:t>The chart at bottom right characterises the demand directly. 63 percent of stays are an hour or less, 77 percent two hours or less, and genuine all-day storage is only 7 percent. Turnover runs five to eleven vehicles per space per day. So the kerb is doing high-turnover retail and errand work, not commuter storage — and that tells us which measures will actually bite.</w:t>
      </w:r>
    </w:p>
    <w:p>
      <w:pPr>
        <w:pStyle w:val="Heading1"/>
      </w:pPr>
      <w:r>
        <w:t>Slide 4 — Design Impact &amp; Displacement Assessment</w:t>
      </w:r>
    </w:p>
    <w:p>
      <w:pPr>
        <w:spacing w:after="160"/>
      </w:pPr>
      <w:r>
        <w:t>This slide has two halves, and the one thing not to do is mix them up — they answer different questions at different scales.</w:t>
      </w:r>
    </w:p>
    <w:p>
      <w:pPr>
        <w:spacing w:after="160"/>
      </w:pPr>
      <w:r>
        <w:t>The top half is corridor-wide, from the supply inventory. The conceptual cross-section — median bus lanes, cycle lanes, wider sidewalks — leaves no room for kerb parking along almost the entire length of all three corridors. That removes 5,953 of the 7,005 on-street spaces on the corridors — about 85 percent — with only around 1,052 retained or re-established where the cross-section allows. Komitas, Corridor 2, takes the biggest hit at 3,310. So the supply impact is large, and it is inherent to the design, not something we can engineer away.</w:t>
      </w:r>
    </w:p>
    <w:p>
      <w:pPr>
        <w:spacing w:after="160"/>
      </w:pPr>
      <w:r>
        <w:t>The bottom half is a different thing entirely. It is the six surveyed areas, and it measures not how much parking is removed, but how many cars actually need somewhere else to go. The number to hold onto is 908 — across the surveyed areas, at the single busiest hour, 908 cars were using the parking that gets removed, against 1,643 spaces removed. That is 55 percent — displaced demand is only a little over half of the supply removed.</w:t>
      </w:r>
    </w:p>
    <w:p>
      <w:pPr>
        <w:spacing w:after="160"/>
      </w:pPr>
      <w:r>
        <w:t>Now, if that 55 percent looks like it clashes with the 138 percent occupancy from the previous slide, it does not — and it is worth knowing why. That earlier figure let every stretch of kerb use its own busiest moment; this one fixes a single real hour across a whole area, when most streets are not at their peak at once. It is the deliberately conservative count — the honest “how many cars are actually here to be moved.” Both are correct; they answer different questions.</w:t>
      </w:r>
    </w:p>
    <w:p>
      <w:pPr>
        <w:spacing w:after="160"/>
      </w:pPr>
      <w:r>
        <w:t>And the reason displaced demand comes out so far below removed supply is in the mix: the dense cores — Gai Avenue, Komitas, Kentron — are nearly full even at that single hour, but a lot of the removed capacity sits in the quieter residential edges like Malatia-Sebastia, which is only a quarter full. Removing parking that was never full displaces very few cars. That is the internationally established finding — you never displace as many cars as you remove spaces — now measured in Yerevan rather than borrowed from Europe.</w:t>
      </w:r>
    </w:p>
    <w:p>
      <w:pPr>
        <w:spacing w:after="160"/>
      </w:pPr>
      <w:r>
        <w:t>But — and this is the pivot to the next slide — “only 55 percent” does not mean it takes care of itself. The question is where those 908 cars go. The nearby streets that survive absorb only about 43 percent of them, and that average hides the real problem: 14 percent in the Kentron core, and zero in Komitas — exactly the places under the most pressure. Getting re-absorption toward 100 percent depends entirely on off-street capacity, and 92 percent of that is behind gates — residential yards that are currently closed, which we counted at full capacity as if already open.</w:t>
      </w:r>
    </w:p>
    <w:p>
      <w:pPr>
        <w:spacing w:after="160"/>
      </w:pPr>
      <w:r>
        <w:t>So the load-bearing conclusion is about sequencing: open and actively manage those yards before removing the kerb, not after. If the yards stay shut, 43 percent is the real number, and the overflow lands on residents in the streets that are already saturated.</w:t>
      </w:r>
    </w:p>
    <w:p>
      <w:pPr>
        <w:spacing w:after="160"/>
      </w:pPr>
      <w:r>
        <w:t>One honesty note on method: 908 is counted at one real clock-hour, not by summing each area’s separate peaks — that would overstate it. And the re-absorption figure is a best case, because those yards were never occupancy-surveyed. So the real picture is tighter than the slide, which makes the sequencing point stronger, not weaker.</w:t>
      </w:r>
    </w:p>
    <w:p>
      <w:pPr>
        <w:pStyle w:val="Heading1"/>
      </w:pPr>
      <w:r>
        <w:t>Slide 5 — Mitigation Measures by Sensitivity Zones</w:t>
      </w:r>
    </w:p>
    <w:p>
      <w:pPr>
        <w:spacing w:after="160"/>
      </w:pPr>
      <w:r>
        <w:t>This is the “what do we actually do about it” slide, and the most important message is the one across the top: there is no silver bullet. No single measure solves displacement. What works is a package — applied selectively, and applied by sensitivity we measured, not assumed.</w:t>
      </w:r>
    </w:p>
    <w:p>
      <w:pPr>
        <w:spacing w:after="160"/>
      </w:pPr>
      <w:r>
        <w:t>That is the thread from the last two slides. The survey showed these areas are completely different from one another, so the response is tiered into three levels of sensitivity.</w:t>
      </w:r>
    </w:p>
    <w:p>
      <w:pPr>
        <w:spacing w:after="160"/>
      </w:pPr>
      <w:r>
        <w:t>At the top, high sensitivity — Kentron and Komitas. These are the cores: the highest occupancy, 138 and 123 percent, and the least room to absorb displaced cars nearby — 14 percent in Kentron, zero in Komitas. So they get the full package: led by extending the paid zones, with opening the residential yards as a precondition, not an optional extra — that is the load-bearing point from the previous slide. Delivery bays and resident permits support it, and visitor caps are held in reserve as a contingency, only if the softer measures fall short. And one thing worth pointing out: Komitas was originally classed as medium sensitivity — the survey moved it up to high, because the data showed it behaves like a core, not a corridor edge. That is the survey directly changing a planning decision.</w:t>
      </w:r>
    </w:p>
    <w:p>
      <w:pPr>
        <w:spacing w:after="160"/>
      </w:pPr>
      <w:r>
        <w:t>In the middle, medium sensitivity — Arshakunyats and Kievyan. Real pressure, but more nearby capacity than the core, so the aim is orderly redistribution rather than hard restriction: extend paid zones and delivery bays.</w:t>
      </w:r>
    </w:p>
    <w:p>
      <w:pPr>
        <w:spacing w:after="160"/>
      </w:pPr>
      <w:r>
        <w:t>At the bottom, lower sensitivity — Shiraz and Malatia-Sebastia, the quieter residential edges at 75 and 54 percent. Here the principle is structure before pricing. You do not price parking that is not under pressure — you organise it first, mark the bays, add signage, open the yards. Pricing can follow later if demand rises.</w:t>
      </w:r>
    </w:p>
    <w:p>
      <w:pPr>
        <w:spacing w:after="160"/>
      </w:pPr>
      <w:r>
        <w:t>Then the exception, on the right: Gai Avenue, the Mega Mall area. The recommendation is that kerb parking stays for now, to be revisited as the area changes — when the mall’s own parking comes online, or the planned BRT arrives. It is not a permanent carve-out; it is a “not yet.”</w:t>
      </w:r>
    </w:p>
    <w:p>
      <w:pPr>
        <w:spacing w:after="160"/>
      </w:pPr>
      <w:r>
        <w:t>The map on the right ties it together — that is Figure 11 from the Output 10 report, showing which streets fall into which tier.</w:t>
      </w:r>
    </w:p>
    <w:p>
      <w:pPr>
        <w:spacing w:after="160"/>
      </w:pPr>
      <w:r>
        <w:t>And the line to leave them with: these measures are layered, not standalone. Each addresses a different facet of displacement, and they only work deployed together. Pick one item off the menu and it fails — which is the whole reason for doing it zone by zone.</w:t>
      </w:r>
    </w:p>
    <w:p>
      <w:pPr>
        <w:pStyle w:val="Heading1"/>
      </w:pPr>
      <w:r>
        <w:t>Slide 6 — Further studies and considerations</w:t>
      </w:r>
    </w:p>
    <w:p>
      <w:pPr>
        <w:spacing w:after="160"/>
      </w:pPr>
      <w:r>
        <w:t>I’ll close on what comes next, and the honest framing for it. Everything we’ve shown is scoped to the three BRT corridors and their hundred-metre influence area. But parking is a citywide system — you can’t sustainably manage it corridor by corridor. So please read all of this as the first stage of a broader reform, not the finished article.</w:t>
      </w:r>
    </w:p>
    <w:p>
      <w:pPr>
        <w:spacing w:after="160"/>
      </w:pPr>
      <w:r>
        <w:t>There are two tracks. The first is extending this same approach citywide: scaling the supply inventory beyond the corridor buffer, running focused demand assessments at selected high-pressure locations rather than blanket corridor-wide surveys, and progressively expanding the red-line zonal system into neighbourhoods that sit outside it today. The method is built to scale — that’s the point.</w:t>
      </w:r>
    </w:p>
    <w:p>
      <w:pPr>
        <w:spacing w:after="160"/>
      </w:pPr>
      <w:r>
        <w:t>The second track is the supporting studies the corridor work has surfaced as necessary: opening the residential yards and the legal basis for the resident-permit scheme.</w:t>
      </w:r>
    </w:p>
    <w:p>
      <w:pPr>
        <w:spacing w:after="160"/>
      </w:pPr>
      <w:r>
        <w:t>But if there’s one thing to take from this slide, it’s the priority box: who administers the opening of residential yards. Remember from the displacement slide — those gated yards carry about 92 percent of the absorptive capacity that makes re-absorption work. The whole mitigation strategy leans on them, and yet right now no institution owns that task. Before any roll-out we need a dedicated study on who leads it, and under what legal and organisational arrangement. That’s not a detail — it’s the precondition for everything else working.</w:t>
      </w:r>
    </w:p>
    <w:p>
      <w:pPr>
        <w:spacing w:after="160"/>
      </w:pPr>
      <w:r>
        <w:t>And all of this stays consistent with the approach throughout: supply-led, spatially targeted, measured rather than assumed.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