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200" w:line="240" w:lineRule="auto"/>
        <w:jc w:val="left"/>
      </w:pPr>
      <w:r>
        <w:rPr>
          <w:rFonts w:ascii="맑은 고딕" w:hAnsi="맑은 고딕" w:eastAsia="맑은 고딕"/>
          <w:b/>
          <w:color w:val="2E75B6"/>
          <w:sz w:val="20"/>
        </w:rPr>
        <w:t>CAPSTONE DESIGN  ·  RISK MODEL DRAFT</w:t>
      </w:r>
    </w:p>
    <w:p>
      <w:pPr>
        <w:pStyle w:val="Title"/>
        <w:jc w:val="left"/>
      </w:pPr>
      <w:r>
        <w:rPr>
          <w:rFonts w:ascii="맑은 고딕" w:hAnsi="맑은 고딕" w:eastAsia="맑은 고딕"/>
          <w:b/>
          <w:color w:val="17365D"/>
          <w:sz w:val="56"/>
        </w:rPr>
        <w:t>RISK-ZERO</w:t>
      </w:r>
    </w:p>
    <w:p>
      <w:pPr>
        <w:pStyle w:val="Title"/>
        <w:jc w:val="left"/>
      </w:pPr>
      <w:r>
        <w:rPr>
          <w:rFonts w:ascii="맑은 고딕" w:hAnsi="맑은 고딕" w:eastAsia="맑은 고딕"/>
          <w:b/>
          <w:color w:val="17365D"/>
          <w:sz w:val="48"/>
        </w:rPr>
        <w:t>위험도 산정 및 검증 방안</w:t>
      </w:r>
    </w:p>
    <w:p>
      <w:pPr>
        <w:pStyle w:val="Subtitle"/>
      </w:pPr>
      <w:r>
        <w:rPr>
          <w:rFonts w:ascii="맑은 고딕" w:hAnsi="맑은 고딕" w:eastAsia="맑은 고딕"/>
          <w:color w:val="4F5B66"/>
          <w:sz w:val="24"/>
        </w:rPr>
        <w:t>센서가 들어오기 전, 무엇을 판단하고 어떻게 검증할 것인지 정리한 초안</w:t>
      </w:r>
    </w:p>
    <w:tbl>
      <w:tblPr>
        <w:tblW w:type="auto" w:w="0"/>
        <w:jc w:val="left"/>
        <w:tblLayout w:type="fixed"/>
        <w:tblLook w:firstColumn="1" w:firstRow="1" w:lastColumn="0" w:lastRow="0" w:noHBand="0" w:noVBand="1" w:val="04A0"/>
      </w:tblPr>
      <w:tblGrid>
        <w:gridCol w:w="2381"/>
        <w:gridCol w:w="6803"/>
      </w:tblGrid>
      <w:tr>
        <w:trPr>
          <w:tblHeader w:val="true"/>
          <w:cantSplit/>
        </w:trPr>
        <w:tc>
          <w:tcPr>
            <w:tcW w:type="dxa" w:w="4933"/>
            <w:shd w:fill="DDEBF7"/>
            <w:tcMar>
              <w:top w:w="105" w:type="dxa"/>
              <w:start w:w="110" w:type="dxa"/>
              <w:bottom w:w="105" w:type="dxa"/>
              <w:end w:w="110" w:type="dxa"/>
            </w:tcMar>
            <w:vAlign w:val="center"/>
          </w:tcPr>
          <w:p>
            <w:pPr>
              <w:spacing w:before="0" w:after="0" w:line="240" w:lineRule="auto"/>
            </w:pPr>
            <w:r>
              <w:rPr>
                <w:rFonts w:ascii="맑은 고딕" w:hAnsi="맑은 고딕" w:eastAsia="맑은 고딕"/>
                <w:b/>
                <w:color w:val="17365D"/>
                <w:sz w:val="17"/>
              </w:rPr>
              <w:t>문서 소유</w:t>
            </w:r>
          </w:p>
        </w:tc>
        <w:tc>
          <w:tcPr>
            <w:tcW w:type="dxa" w:w="4933"/>
            <w:shd w:fill="F8FAFC"/>
            <w:tcMar>
              <w:top w:w="105" w:type="dxa"/>
              <w:start w:w="110" w:type="dxa"/>
              <w:bottom w:w="105" w:type="dxa"/>
              <w:end w:w="110" w:type="dxa"/>
            </w:tcMar>
            <w:vAlign w:val="center"/>
          </w:tcPr>
          <w:p>
            <w:pPr>
              <w:spacing w:before="0" w:after="0" w:line="240" w:lineRule="auto"/>
            </w:pPr>
            <w:r>
              <w:rPr>
                <w:rFonts w:ascii="맑은 고딕" w:hAnsi="맑은 고딕" w:eastAsia="맑은 고딕"/>
                <w:b w:val="0"/>
                <w:color w:val="1F2933"/>
                <w:sz w:val="17"/>
              </w:rPr>
              <w:t>Pixel-Zero 팀</w:t>
            </w:r>
          </w:p>
        </w:tc>
      </w:tr>
      <w:tr>
        <w:trPr>
          <w:cantSplit/>
        </w:trPr>
        <w:tc>
          <w:tcPr>
            <w:tcW w:type="dxa" w:w="4933"/>
            <w:shd w:fill="DDEBF7"/>
            <w:tcMar>
              <w:top w:w="105" w:type="dxa"/>
              <w:start w:w="110" w:type="dxa"/>
              <w:bottom w:w="105" w:type="dxa"/>
              <w:end w:w="110" w:type="dxa"/>
            </w:tcMar>
            <w:vAlign w:val="center"/>
          </w:tcPr>
          <w:p>
            <w:pPr>
              <w:spacing w:before="0" w:after="0" w:line="240" w:lineRule="auto"/>
            </w:pPr>
            <w:r>
              <w:rPr>
                <w:rFonts w:ascii="맑은 고딕" w:hAnsi="맑은 고딕" w:eastAsia="맑은 고딕"/>
                <w:b/>
                <w:color w:val="17365D"/>
                <w:sz w:val="17"/>
              </w:rPr>
              <w:t>적용 범위</w:t>
            </w:r>
          </w:p>
        </w:tc>
        <w:tc>
          <w:tcPr>
            <w:tcW w:type="dxa" w:w="4933"/>
            <w:shd w:fill="F8FAFC"/>
            <w:tcMar>
              <w:top w:w="105" w:type="dxa"/>
              <w:start w:w="110" w:type="dxa"/>
              <w:bottom w:w="105" w:type="dxa"/>
              <w:end w:w="110" w:type="dxa"/>
            </w:tcMar>
            <w:vAlign w:val="center"/>
          </w:tcPr>
          <w:p>
            <w:pPr>
              <w:spacing w:before="0" w:after="0" w:line="240" w:lineRule="auto"/>
            </w:pPr>
            <w:r>
              <w:rPr>
                <w:rFonts w:ascii="맑은 고딕" w:hAnsi="맑은 고딕" w:eastAsia="맑은 고딕"/>
                <w:b w:val="0"/>
                <w:color w:val="1F2933"/>
                <w:sz w:val="17"/>
              </w:rPr>
              <w:t>위험도 엔진 · SensorEvent 입력 · 웹/모바일 표시 · 검증 데이터</w:t>
            </w:r>
          </w:p>
        </w:tc>
      </w:tr>
      <w:tr>
        <w:trPr>
          <w:cantSplit/>
        </w:trPr>
        <w:tc>
          <w:tcPr>
            <w:tcW w:type="dxa" w:w="4933"/>
            <w:shd w:fill="DDEBF7"/>
            <w:tcMar>
              <w:top w:w="105" w:type="dxa"/>
              <w:start w:w="110" w:type="dxa"/>
              <w:bottom w:w="105" w:type="dxa"/>
              <w:end w:w="110" w:type="dxa"/>
            </w:tcMar>
            <w:vAlign w:val="center"/>
          </w:tcPr>
          <w:p>
            <w:pPr>
              <w:spacing w:before="0" w:after="0" w:line="240" w:lineRule="auto"/>
            </w:pPr>
            <w:r>
              <w:rPr>
                <w:rFonts w:ascii="맑은 고딕" w:hAnsi="맑은 고딕" w:eastAsia="맑은 고딕"/>
                <w:b/>
                <w:color w:val="17365D"/>
                <w:sz w:val="17"/>
              </w:rPr>
              <w:t>버전 / 기준일</w:t>
            </w:r>
          </w:p>
        </w:tc>
        <w:tc>
          <w:tcPr>
            <w:tcW w:type="dxa" w:w="4933"/>
            <w:shd w:fill="F8FAFC"/>
            <w:tcMar>
              <w:top w:w="105" w:type="dxa"/>
              <w:start w:w="110" w:type="dxa"/>
              <w:bottom w:w="105" w:type="dxa"/>
              <w:end w:w="110" w:type="dxa"/>
            </w:tcMar>
            <w:vAlign w:val="center"/>
          </w:tcPr>
          <w:p>
            <w:pPr>
              <w:spacing w:before="0" w:after="0" w:line="240" w:lineRule="auto"/>
            </w:pPr>
            <w:r>
              <w:rPr>
                <w:rFonts w:ascii="맑은 고딕" w:hAnsi="맑은 고딕" w:eastAsia="맑은 고딕"/>
                <w:b w:val="0"/>
                <w:color w:val="1F2933"/>
                <w:sz w:val="17"/>
              </w:rPr>
              <w:t>v0.1 / 2026-07-23</w:t>
            </w:r>
          </w:p>
        </w:tc>
      </w:tr>
      <w:tr>
        <w:trPr>
          <w:cantSplit/>
        </w:trPr>
        <w:tc>
          <w:tcPr>
            <w:tcW w:type="dxa" w:w="4933"/>
            <w:shd w:fill="DDEBF7"/>
            <w:tcMar>
              <w:top w:w="105" w:type="dxa"/>
              <w:start w:w="110" w:type="dxa"/>
              <w:bottom w:w="105" w:type="dxa"/>
              <w:end w:w="110" w:type="dxa"/>
            </w:tcMar>
            <w:vAlign w:val="center"/>
          </w:tcPr>
          <w:p>
            <w:pPr>
              <w:spacing w:before="0" w:after="0" w:line="240" w:lineRule="auto"/>
            </w:pPr>
            <w:r>
              <w:rPr>
                <w:rFonts w:ascii="맑은 고딕" w:hAnsi="맑은 고딕" w:eastAsia="맑은 고딕"/>
                <w:b/>
                <w:color w:val="17365D"/>
                <w:sz w:val="17"/>
              </w:rPr>
              <w:t>상태</w:t>
            </w:r>
          </w:p>
        </w:tc>
        <w:tc>
          <w:tcPr>
            <w:tcW w:type="dxa" w:w="4933"/>
            <w:shd w:fill="F8FAFC"/>
            <w:tcMar>
              <w:top w:w="105" w:type="dxa"/>
              <w:start w:w="110" w:type="dxa"/>
              <w:bottom w:w="105" w:type="dxa"/>
              <w:end w:w="110" w:type="dxa"/>
            </w:tcMar>
            <w:vAlign w:val="center"/>
          </w:tcPr>
          <w:p>
            <w:pPr>
              <w:spacing w:before="0" w:after="0" w:line="240" w:lineRule="auto"/>
            </w:pPr>
            <w:r>
              <w:rPr>
                <w:rFonts w:ascii="맑은 고딕" w:hAnsi="맑은 고딕" w:eastAsia="맑은 고딕"/>
                <w:b w:val="0"/>
                <w:color w:val="1F2933"/>
                <w:sz w:val="17"/>
              </w:rPr>
              <w:t>팀 검토용 — 계산식·가중치·임계값은 아직 확정하지 않음</w:t>
            </w:r>
          </w:p>
        </w:tc>
      </w:tr>
    </w:tbl>
    <w:p/>
    <w:tbl>
      <w:tblPr>
        <w:tblW w:type="auto" w:w="0"/>
        <w:jc w:val="center"/>
        <w:tblLayout w:type="fixed"/>
        <w:tblLook w:firstColumn="1" w:firstRow="1" w:lastColumn="0" w:lastRow="0" w:noHBand="0" w:noVBand="1" w:val="04A0"/>
      </w:tblPr>
      <w:tblGrid>
        <w:gridCol w:w="9866"/>
      </w:tblGrid>
      <w:tr>
        <w:tc>
          <w:tcPr>
            <w:tcW w:type="dxa" w:w="9866"/>
            <w:shd w:fill="EFF6FB"/>
            <w:tcMar>
              <w:top w:w="120" w:type="dxa"/>
              <w:start w:w="180" w:type="dxa"/>
              <w:bottom w:w="120" w:type="dxa"/>
              <w:end w:w="180" w:type="dxa"/>
            </w:tcMar>
            <w:tcBorders>
              <w:start w:val="single" w:sz="24" w:color="2E75B6"/>
              <w:top w:val="single" w:sz="4" w:color="EFF6FB"/>
              <w:bottom w:val="single" w:sz="4" w:color="EFF6FB"/>
              <w:end w:val="single" w:sz="4" w:color="EFF6FB"/>
            </w:tcBorders>
          </w:tcPr>
          <w:p>
            <w:pPr>
              <w:spacing w:before="0" w:after="40" w:line="252" w:lineRule="auto"/>
            </w:pPr>
            <w:r>
              <w:rPr>
                <w:rFonts w:ascii="맑은 고딕" w:hAnsi="맑은 고딕" w:eastAsia="맑은 고딕"/>
                <w:b/>
                <w:color w:val="17365D"/>
                <w:sz w:val="19"/>
              </w:rPr>
              <w:t>이 문서의 결론</w:t>
            </w:r>
          </w:p>
          <w:p>
            <w:pPr>
              <w:spacing w:before="0" w:after="0" w:line="259" w:lineRule="auto"/>
            </w:pPr>
            <w:r>
              <w:rPr>
                <w:rFonts w:ascii="맑은 고딕" w:hAnsi="맑은 고딕" w:eastAsia="맑은 고딕"/>
                <w:color w:val="1F2933"/>
                <w:sz w:val="17"/>
              </w:rPr>
              <w:t>현재 위험도는 실제 사람을 판별하는 점수가 아니다. 센서값을 같은 형식으로 받고, 나중에 계산 로직을 교체할 수 있게 만든 뒤, 더미 데이터와 반복 실험으로 먼저 검증한다. 사람이 확인하기 전에는 범죄 여부를 확정하거나 신고·도어락 제어를 자동 실행하지 않는다.</w:t>
            </w:r>
          </w:p>
        </w:tc>
      </w:tr>
    </w:tbl>
    <w:p>
      <w:pPr>
        <w:spacing w:after="0"/>
      </w:pP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법과 연구가 공통적으로 말하는 핵심은 단발성 인상보다 접근의 지속성·반복성·위협의 상승이다.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센서가 직접 볼 수 있는 신호와 사용자가 알려준 맥락을 분리한다.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가중치와 임계값은 실험 전까지 TBD로 남기고, 현재 화면에는 더미 결과임을 표시한다.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오경보와 미탐을 함께 측정한다. ‘정확도 하나’로 위험도 성능을 설명하지 않는다.</w:t>
      </w:r>
    </w:p>
    <w:p>
      <w:r>
        <w:br w:type="page"/>
      </w:r>
    </w:p>
    <w:p>
      <w:bookmarkStart w:id="1" w:name="section_1"/>
      <w:pPr>
        <w:pStyle w:val="Heading1"/>
        <w:pBdr>
          <w:bottom w:val="single" w:sz="12" w:space="4" w:color="2E75B6"/>
        </w:pBdr>
      </w:pPr>
      <w:r>
        <w:rPr>
          <w:rFonts w:ascii="맑은 고딕" w:hAnsi="맑은 고딕" w:eastAsia="맑은 고딕"/>
          <w:b/>
          <w:color w:val="17365D"/>
          <w:sz w:val="32"/>
        </w:rPr>
        <w:t>1. 왜 위험도를 따로 설계하는가</w:t>
      </w:r>
      <w:bookmarkEnd w:id="1"/>
    </w:p>
    <w:p>
      <w:pPr>
        <w:spacing w:before="0" w:after="80" w:line="269" w:lineRule="auto"/>
      </w:pPr>
      <w:r>
        <w:rPr>
          <w:rFonts w:ascii="맑은 고딕" w:hAnsi="맑은 고딕" w:eastAsia="맑은 고딕"/>
        </w:rPr>
        <w:t>현관 앞에서 사람이 잠시 멈춘 것과, 여러 번 돌아오거나 문을 강제로 열려고 한 것은 같은 상황이 아니다. 하지만 센서값 하나만 보면 둘을 구분하기 어렵다. 이번 프로젝트에서는 한 번의 측정값보다 시간에 따라 이어지는 행동의 흐름을 먼저 보려고 한다.</w:t>
      </w:r>
    </w:p>
    <w:p>
      <w:pPr>
        <w:spacing w:before="0" w:after="80" w:line="269" w:lineRule="auto"/>
      </w:pPr>
      <w:r>
        <w:rPr>
          <w:rFonts w:ascii="맑은 고딕" w:hAnsi="맑은 고딕" w:eastAsia="맑은 고딕"/>
        </w:rPr>
        <w:t>문제는 실제 위험 사건이 자주 발생하지 않는다는 점이다. 데이터가 적은 상태에서 가중치를 먼저 정하면 발표 화면은 그럴듯해 보여도 실제 근거는 약해진다. 그래서 현재 단계에서는 입력 구조와 기록 방식을 먼저 고정하고, 계산식은 교체 가능한 모듈로 남긴다.</w:t>
      </w:r>
    </w:p>
    <w:p>
      <w:pPr>
        <w:pStyle w:val="Heading2"/>
      </w:pPr>
      <w:r>
        <w:rPr>
          <w:rFonts w:ascii="맑은 고딕" w:hAnsi="맑은 고딕" w:eastAsia="맑은 고딕"/>
          <w:b/>
          <w:color w:val="2E75B6"/>
          <w:sz w:val="23"/>
        </w:rPr>
        <w:t>1.1 이번 문서에서 말하는 위험도</w:t>
      </w:r>
    </w:p>
    <w:tbl>
      <w:tblPr>
        <w:tblStyle w:val="TableGrid"/>
        <w:tblW w:type="auto" w:w="0"/>
        <w:jc w:val="center"/>
        <w:tblLayout w:type="fixed"/>
        <w:tblLook w:firstColumn="1" w:firstRow="1" w:lastColumn="0" w:lastRow="0" w:noHBand="0" w:noVBand="1" w:val="04A0"/>
      </w:tblPr>
      <w:tblGrid>
        <w:gridCol w:w="1814"/>
        <w:gridCol w:w="3969"/>
        <w:gridCol w:w="4082"/>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구분</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의미</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이번 프로젝트의 처리</w:t>
            </w:r>
          </w:p>
        </w:tc>
      </w:tr>
      <w:tr>
        <w:trPr>
          <w:cantSplit/>
        </w:trPr>
        <w:tc>
          <w:tcPr>
            <w:tcW w:type="dxa" w:w="181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위험 가능성</w:t>
            </w:r>
          </w:p>
        </w:tc>
        <w:tc>
          <w:tcPr>
            <w:tcW w:type="dxa" w:w="3969"/>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현관 주변 행동이 안전 문제로 이어질 가능성</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반복·지속·강제성 신호로 추정</w:t>
            </w:r>
          </w:p>
        </w:tc>
      </w:tr>
      <w:tr>
        <w:trPr>
          <w:cantSplit/>
        </w:trPr>
        <w:tc>
          <w:tcPr>
            <w:tcW w:type="dxa" w:w="181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피해 크기</w:t>
            </w:r>
          </w:p>
        </w:tc>
        <w:tc>
          <w:tcPr>
            <w:tcW w:type="dxa" w:w="3969"/>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문 강제 개방, 직접 위협 등 발생 시 예상되는 영향</w:t>
            </w:r>
          </w:p>
        </w:tc>
        <w:tc>
          <w:tcPr>
            <w:tcW w:type="dxa" w:w="408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수동 SOS·강제 개방은 우선 확인 후보</w:t>
            </w:r>
          </w:p>
        </w:tc>
      </w:tr>
      <w:tr>
        <w:trPr>
          <w:cantSplit/>
        </w:trPr>
        <w:tc>
          <w:tcPr>
            <w:tcW w:type="dxa" w:w="181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판단 신뢰도</w:t>
            </w:r>
          </w:p>
        </w:tc>
        <w:tc>
          <w:tcPr>
            <w:tcW w:type="dxa" w:w="3969"/>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현재 센서값이 얼마나 믿을 만한지</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confidence·quality·센서 일치 수로 별도 표시</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866"/>
            <w:shd w:fill="FFF4CC"/>
            <w:tcMar>
              <w:top w:w="120" w:type="dxa"/>
              <w:start w:w="180" w:type="dxa"/>
              <w:bottom w:w="120" w:type="dxa"/>
              <w:end w:w="180" w:type="dxa"/>
            </w:tcMar>
            <w:tcBorders>
              <w:start w:val="single" w:sz="24" w:color="BF9000"/>
              <w:top w:val="single" w:sz="4" w:color="FFF4CC"/>
              <w:bottom w:val="single" w:sz="4" w:color="FFF4CC"/>
              <w:end w:val="single" w:sz="4" w:color="FFF4CC"/>
            </w:tcBorders>
          </w:tcPr>
          <w:p>
            <w:pPr>
              <w:spacing w:before="0" w:after="40" w:line="252" w:lineRule="auto"/>
            </w:pPr>
            <w:r>
              <w:rPr>
                <w:rFonts w:ascii="맑은 고딕" w:hAnsi="맑은 고딕" w:eastAsia="맑은 고딕"/>
                <w:b/>
                <w:color w:val="17365D"/>
                <w:sz w:val="19"/>
              </w:rPr>
              <w:t>중요한 구분</w:t>
            </w:r>
          </w:p>
          <w:p>
            <w:pPr>
              <w:spacing w:before="0" w:after="0" w:line="259" w:lineRule="auto"/>
            </w:pPr>
            <w:r>
              <w:rPr>
                <w:rFonts w:ascii="맑은 고딕" w:hAnsi="맑은 고딕" w:eastAsia="맑은 고딕"/>
                <w:color w:val="1F2933"/>
                <w:sz w:val="17"/>
              </w:rPr>
              <w:t>위험 점수와 데이터 신뢰도는 같은 값이 아니다. 센서 품질이 낮으면 ‘정상’이 아니라 ‘판단 정보 부족’으로 표시해야 한다.</w:t>
            </w:r>
          </w:p>
        </w:tc>
      </w:tr>
    </w:tbl>
    <w:p>
      <w:pPr>
        <w:spacing w:after="0"/>
      </w:pPr>
    </w:p>
    <w:p>
      <w:pPr>
        <w:pStyle w:val="Heading2"/>
      </w:pPr>
      <w:r>
        <w:rPr>
          <w:rFonts w:ascii="맑은 고딕" w:hAnsi="맑은 고딕" w:eastAsia="맑은 고딕"/>
          <w:b/>
          <w:color w:val="2E75B6"/>
          <w:sz w:val="23"/>
        </w:rPr>
        <w:t>1.2 법·연구에서 가져온 방향</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스토킹처벌법은 접근·따라다님·진로 방해, 주거 부근에서 기다리거나 지켜보는 행위, 지속·반복성을 중요한 행위 유형으로 본다. 이를 사람의 신원 판별이 아니라 접근·체류·반복 이벤트 설계의 근거로 사용한다. [R1]</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미국 NIJ 문헌 검토에서는 물리적 감시가 자주 보고되는 수법이며, 친밀한 관계였던 가해자의 스토킹은 폭력·무기 사용과 더 강하게 연결될 수 있다고 정리한다. [R2]</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McEwan 외 연구에서는 과거 친밀 관계, 명시적 위협, 이전 재산 훼손이 스토킹 중 폭력과 연결되었다. 다만 이 정보는 센서가 추정하지 않고 사용자가 직접 제공한 경우에만 별도 맥락으로 다룬다. [R3]</w:t>
      </w:r>
    </w:p>
    <w:p>
      <w:pPr>
        <w:spacing w:before="0" w:after="80" w:line="269" w:lineRule="auto"/>
      </w:pPr>
      <w:r>
        <w:rPr>
          <w:rFonts w:ascii="맑은 고딕" w:hAnsi="맑은 고딕" w:eastAsia="맑은 고딕"/>
        </w:rPr>
        <w:t>이 근거들은 위험요소 후보를 고르는 참고자료다. RISK-ZERO가 법적 스토킹 여부나 사람의 범죄 가능성을 판정한다는 의미는 아니다.</w:t>
      </w:r>
    </w:p>
    <w:p>
      <w:r>
        <w:br w:type="page"/>
      </w:r>
    </w:p>
    <w:p>
      <w:bookmarkStart w:id="2" w:name="section_2"/>
      <w:pPr>
        <w:pStyle w:val="Heading1"/>
        <w:pBdr>
          <w:bottom w:val="single" w:sz="12" w:space="4" w:color="2E75B6"/>
        </w:pBdr>
      </w:pPr>
      <w:r>
        <w:rPr>
          <w:rFonts w:ascii="맑은 고딕" w:hAnsi="맑은 고딕" w:eastAsia="맑은 고딕"/>
          <w:b/>
          <w:color w:val="17365D"/>
          <w:sz w:val="32"/>
        </w:rPr>
        <w:t>2. 위험도 요소 후보</w:t>
      </w:r>
      <w:bookmarkEnd w:id="2"/>
    </w:p>
    <w:p>
      <w:pPr>
        <w:spacing w:before="0" w:after="80" w:line="269" w:lineRule="auto"/>
      </w:pPr>
      <w:r>
        <w:rPr>
          <w:rFonts w:ascii="맑은 고딕" w:hAnsi="맑은 고딕" w:eastAsia="맑은 고딕"/>
        </w:rPr>
        <w:t>위험요소는 센서가 직접 관측하는 값, 일정 시간 동안 누적해서 계산하는 값, 사용자가 직접 입력하는 맥락, 데이터 품질의 네 층으로 나눈다. 이렇게 나누면 센서 종류가 바뀌어도 위험도 엔진의 입력 구조는 유지할 수 있다.</w:t>
      </w:r>
    </w:p>
    <w:p>
      <w:pPr>
        <w:pStyle w:val="Heading2"/>
      </w:pPr>
      <w:r>
        <w:rPr>
          <w:rFonts w:ascii="맑은 고딕" w:hAnsi="맑은 고딕" w:eastAsia="맑은 고딕"/>
          <w:b/>
          <w:color w:val="2E75B6"/>
          <w:sz w:val="23"/>
        </w:rPr>
        <w:t>2.1 센서가 직접 관측하는 요소</w:t>
      </w:r>
    </w:p>
    <w:tbl>
      <w:tblPr>
        <w:tblStyle w:val="TableGrid"/>
        <w:tblW w:type="auto" w:w="0"/>
        <w:jc w:val="center"/>
        <w:tblLayout w:type="fixed"/>
        <w:tblLook w:firstColumn="1" w:firstRow="1" w:lastColumn="0" w:lastRow="0" w:noHBand="0" w:noVBand="1" w:val="04A0"/>
      </w:tblPr>
      <w:tblGrid>
        <w:gridCol w:w="1701"/>
        <w:gridCol w:w="2438"/>
        <w:gridCol w:w="2891"/>
        <w:gridCol w:w="2835"/>
      </w:tblGrid>
      <w:tr>
        <w:trPr>
          <w:tblHeader w:val="true"/>
          <w:cantSplit/>
        </w:trPr>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요소</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예시 metric</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위험 방향</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주의할 점</w:t>
            </w:r>
          </w:p>
        </w:tc>
      </w:tr>
      <w:tr>
        <w:trPr>
          <w:cantSplit/>
        </w:trPr>
        <w:tc>
          <w:tcPr>
            <w:tcW w:type="dxa" w:w="170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현관 존재</w:t>
            </w:r>
          </w:p>
        </w:tc>
        <w:tc>
          <w:tcPr>
            <w:tcW w:type="dxa" w:w="243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presence</w:t>
            </w:r>
          </w:p>
        </w:tc>
        <w:tc>
          <w:tcPr>
            <w:tcW w:type="dxa" w:w="289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다른 신호와 함께 사용</w:t>
            </w:r>
          </w:p>
        </w:tc>
        <w:tc>
          <w:tcPr>
            <w:tcW w:type="dxa" w:w="283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존재만으로 위험 판단 금지</w:t>
            </w:r>
          </w:p>
        </w:tc>
      </w:tr>
      <w:tr>
        <w:trPr>
          <w:cantSplit/>
        </w:trPr>
        <w:tc>
          <w:tcPr>
            <w:tcW w:type="dxa" w:w="1701"/>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체류시간</w:t>
            </w:r>
          </w:p>
        </w:tc>
        <w:tc>
          <w:tcPr>
            <w:tcW w:type="dxa" w:w="243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dwell_seconds</w:t>
            </w:r>
          </w:p>
        </w:tc>
        <w:tc>
          <w:tcPr>
            <w:tcW w:type="dxa" w:w="289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길수록 확인 필요</w:t>
            </w:r>
          </w:p>
        </w:tc>
        <w:tc>
          <w:tcPr>
            <w:tcW w:type="dxa" w:w="283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택배·통화 등 정상 체류 존재</w:t>
            </w:r>
          </w:p>
        </w:tc>
      </w:tr>
      <w:tr>
        <w:trPr>
          <w:cantSplit/>
        </w:trPr>
        <w:tc>
          <w:tcPr>
            <w:tcW w:type="dxa" w:w="170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문과 거리</w:t>
            </w:r>
          </w:p>
        </w:tc>
        <w:tc>
          <w:tcPr>
            <w:tcW w:type="dxa" w:w="243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min_door_distance_cm</w:t>
            </w:r>
          </w:p>
        </w:tc>
        <w:tc>
          <w:tcPr>
            <w:tcW w:type="dxa" w:w="289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가까운 상태가 지속될수록 상승 후보</w:t>
            </w:r>
          </w:p>
        </w:tc>
        <w:tc>
          <w:tcPr>
            <w:tcW w:type="dxa" w:w="283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센서 각도·공간 크기 영향</w:t>
            </w:r>
          </w:p>
        </w:tc>
      </w:tr>
      <w:tr>
        <w:trPr>
          <w:cantSplit/>
        </w:trPr>
        <w:tc>
          <w:tcPr>
            <w:tcW w:type="dxa" w:w="1701"/>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문 충격</w:t>
            </w:r>
          </w:p>
        </w:tc>
        <w:tc>
          <w:tcPr>
            <w:tcW w:type="dxa" w:w="243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impact_peak / impact_count_10s</w:t>
            </w:r>
          </w:p>
        </w:tc>
        <w:tc>
          <w:tcPr>
            <w:tcW w:type="dxa" w:w="289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강도·횟수 상승 시 위험 후보</w:t>
            </w:r>
          </w:p>
        </w:tc>
        <w:tc>
          <w:tcPr>
            <w:tcW w:type="dxa" w:w="283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바람·문 닫힘과 구분 필요</w:t>
            </w:r>
          </w:p>
        </w:tc>
      </w:tr>
      <w:tr>
        <w:trPr>
          <w:cantSplit/>
        </w:trPr>
        <w:tc>
          <w:tcPr>
            <w:tcW w:type="dxa" w:w="170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문 상태</w:t>
            </w:r>
          </w:p>
        </w:tc>
        <w:tc>
          <w:tcPr>
            <w:tcW w:type="dxa" w:w="243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door_state / door_open_seconds</w:t>
            </w:r>
          </w:p>
        </w:tc>
        <w:tc>
          <w:tcPr>
            <w:tcW w:type="dxa" w:w="289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비정상 개방·장시간 열림 확인</w:t>
            </w:r>
          </w:p>
        </w:tc>
        <w:tc>
          <w:tcPr>
            <w:tcW w:type="dxa" w:w="283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거주자 정상 출입과 구분</w:t>
            </w:r>
          </w:p>
        </w:tc>
      </w:tr>
      <w:tr>
        <w:trPr>
          <w:cantSplit/>
        </w:trPr>
        <w:tc>
          <w:tcPr>
            <w:tcW w:type="dxa" w:w="1701"/>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손잡이·인증 실패</w:t>
            </w:r>
          </w:p>
        </w:tc>
        <w:tc>
          <w:tcPr>
            <w:tcW w:type="dxa" w:w="243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handle_attempts / auth_fail_count</w:t>
            </w:r>
          </w:p>
        </w:tc>
        <w:tc>
          <w:tcPr>
            <w:tcW w:type="dxa" w:w="289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반복 시 상승 후보</w:t>
            </w:r>
          </w:p>
        </w:tc>
        <w:tc>
          <w:tcPr>
            <w:tcW w:type="dxa" w:w="283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장치 오류·사용자 실수 존재</w:t>
            </w:r>
          </w:p>
        </w:tc>
      </w:tr>
      <w:tr>
        <w:trPr>
          <w:cantSplit/>
        </w:trPr>
        <w:tc>
          <w:tcPr>
            <w:tcW w:type="dxa" w:w="170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수동 SOS</w:t>
            </w:r>
          </w:p>
        </w:tc>
        <w:tc>
          <w:tcPr>
            <w:tcW w:type="dxa" w:w="243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manual_sos</w:t>
            </w:r>
          </w:p>
        </w:tc>
        <w:tc>
          <w:tcPr>
            <w:tcW w:type="dxa" w:w="289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즉시 확인 우선 규칙 후보</w:t>
            </w:r>
          </w:p>
        </w:tc>
        <w:tc>
          <w:tcPr>
            <w:tcW w:type="dxa" w:w="283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취소·오입력·테스트 모드 필요</w:t>
            </w:r>
          </w:p>
        </w:tc>
      </w:tr>
    </w:tbl>
    <w:p>
      <w:pPr>
        <w:spacing w:after="0"/>
      </w:pPr>
    </w:p>
    <w:p>
      <w:pPr>
        <w:pStyle w:val="Heading2"/>
      </w:pPr>
      <w:r>
        <w:rPr>
          <w:rFonts w:ascii="맑은 고딕" w:hAnsi="맑은 고딕" w:eastAsia="맑은 고딕"/>
          <w:b/>
          <w:color w:val="2E75B6"/>
          <w:sz w:val="23"/>
        </w:rPr>
        <w:t>2.2 시간 흐름에서 계산하는 요소</w:t>
      </w:r>
    </w:p>
    <w:tbl>
      <w:tblPr>
        <w:tblStyle w:val="TableGrid"/>
        <w:tblW w:type="auto" w:w="0"/>
        <w:jc w:val="center"/>
        <w:tblLayout w:type="fixed"/>
        <w:tblLook w:firstColumn="1" w:firstRow="1" w:lastColumn="0" w:lastRow="0" w:noHBand="0" w:noVBand="1" w:val="04A0"/>
      </w:tblPr>
      <w:tblGrid>
        <w:gridCol w:w="2098"/>
        <w:gridCol w:w="3288"/>
        <w:gridCol w:w="4479"/>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요소</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계산 예시</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의미</w:t>
            </w:r>
          </w:p>
        </w:tc>
      </w:tr>
      <w:tr>
        <w:trPr>
          <w:cantSplit/>
        </w:trPr>
        <w:tc>
          <w:tcPr>
            <w:tcW w:type="dxa" w:w="2098"/>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접근 반복</w:t>
            </w:r>
          </w:p>
        </w:tc>
        <w:tc>
          <w:tcPr>
            <w:tcW w:type="dxa" w:w="328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approach_count_10m / 24h</w:t>
            </w:r>
          </w:p>
        </w:tc>
        <w:tc>
          <w:tcPr>
            <w:tcW w:type="dxa" w:w="4479"/>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한 번보다 여러 번 돌아오는 상황을 구분</w:t>
            </w:r>
          </w:p>
        </w:tc>
      </w:tr>
      <w:tr>
        <w:trPr>
          <w:cantSplit/>
        </w:trPr>
        <w:tc>
          <w:tcPr>
            <w:tcW w:type="dxa" w:w="2098"/>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체류 반복</w:t>
            </w:r>
          </w:p>
        </w:tc>
        <w:tc>
          <w:tcPr>
            <w:tcW w:type="dxa" w:w="328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dwell_episode_count</w:t>
            </w:r>
          </w:p>
        </w:tc>
        <w:tc>
          <w:tcPr>
            <w:tcW w:type="dxa" w:w="4479"/>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짧은 체류가 여러 번 이어지는 패턴 확인</w:t>
            </w:r>
          </w:p>
        </w:tc>
      </w:tr>
      <w:tr>
        <w:trPr>
          <w:cantSplit/>
        </w:trPr>
        <w:tc>
          <w:tcPr>
            <w:tcW w:type="dxa" w:w="2098"/>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행동 상승</w:t>
            </w:r>
          </w:p>
        </w:tc>
        <w:tc>
          <w:tcPr>
            <w:tcW w:type="dxa" w:w="328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impact·거리·체류의 최근 변화량</w:t>
            </w:r>
          </w:p>
        </w:tc>
        <w:tc>
          <w:tcPr>
            <w:tcW w:type="dxa" w:w="4479"/>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약한 신호가 강해지는 흐름 확인</w:t>
            </w:r>
          </w:p>
        </w:tc>
      </w:tr>
      <w:tr>
        <w:trPr>
          <w:cantSplit/>
        </w:trPr>
        <w:tc>
          <w:tcPr>
            <w:tcW w:type="dxa" w:w="2098"/>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동일 장소 재발</w:t>
            </w:r>
          </w:p>
        </w:tc>
        <w:tc>
          <w:tcPr>
            <w:tcW w:type="dxa" w:w="328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recent_incident_count</w:t>
            </w:r>
          </w:p>
        </w:tc>
        <w:tc>
          <w:tcPr>
            <w:tcW w:type="dxa" w:w="4479"/>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사람을 식별하지 않고 현관 사건의 반복만 집계</w:t>
            </w:r>
          </w:p>
        </w:tc>
      </w:tr>
      <w:tr>
        <w:trPr>
          <w:cantSplit/>
        </w:trPr>
        <w:tc>
          <w:tcPr>
            <w:tcW w:type="dxa" w:w="2098"/>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복수 센서 일치</w:t>
            </w:r>
          </w:p>
        </w:tc>
        <w:tc>
          <w:tcPr>
            <w:tcW w:type="dxa" w:w="328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sensor_agreement_count</w:t>
            </w:r>
          </w:p>
        </w:tc>
        <w:tc>
          <w:tcPr>
            <w:tcW w:type="dxa" w:w="4479"/>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단일 센서 오류와 동시 관측을 구분</w:t>
            </w:r>
          </w:p>
        </w:tc>
      </w:tr>
      <w:tr>
        <w:trPr>
          <w:cantSplit/>
        </w:trPr>
        <w:tc>
          <w:tcPr>
            <w:tcW w:type="dxa" w:w="2098"/>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이벤트 밀도</w:t>
            </w:r>
          </w:p>
        </w:tc>
        <w:tc>
          <w:tcPr>
            <w:tcW w:type="dxa" w:w="328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events_per_minute</w:t>
            </w:r>
          </w:p>
        </w:tc>
        <w:tc>
          <w:tcPr>
            <w:tcW w:type="dxa" w:w="4479"/>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짧은 시간에 행동이 집중되는지 확인</w:t>
            </w:r>
          </w:p>
        </w:tc>
      </w:tr>
    </w:tbl>
    <w:p>
      <w:pPr>
        <w:spacing w:after="0"/>
      </w:pPr>
    </w:p>
    <w:p>
      <w:r>
        <w:br w:type="page"/>
      </w:r>
    </w:p>
    <w:p>
      <w:bookmarkStart w:id="3" w:name="section_3"/>
      <w:pPr>
        <w:pStyle w:val="Heading1"/>
        <w:pBdr>
          <w:bottom w:val="single" w:sz="12" w:space="4" w:color="2E75B6"/>
        </w:pBdr>
      </w:pPr>
      <w:r>
        <w:rPr>
          <w:rFonts w:ascii="맑은 고딕" w:hAnsi="맑은 고딕" w:eastAsia="맑은 고딕"/>
          <w:b/>
          <w:color w:val="17365D"/>
          <w:sz w:val="32"/>
        </w:rPr>
        <w:t>3. 사용자 맥락과 제외 항목</w:t>
      </w:r>
      <w:bookmarkEnd w:id="3"/>
    </w:p>
    <w:p>
      <w:pPr>
        <w:pStyle w:val="Heading2"/>
      </w:pPr>
      <w:r>
        <w:rPr>
          <w:rFonts w:ascii="맑은 고딕" w:hAnsi="맑은 고딕" w:eastAsia="맑은 고딕"/>
          <w:b/>
          <w:color w:val="2E75B6"/>
          <w:sz w:val="23"/>
        </w:rPr>
        <w:t>3.1 사용자가 직접 알려주는 맥락</w:t>
      </w:r>
    </w:p>
    <w:tbl>
      <w:tblPr>
        <w:tblStyle w:val="TableGrid"/>
        <w:tblW w:type="auto" w:w="0"/>
        <w:jc w:val="center"/>
        <w:tblLayout w:type="fixed"/>
        <w:tblLook w:firstColumn="1" w:firstRow="1" w:lastColumn="0" w:lastRow="0" w:noHBand="0" w:noVBand="1" w:val="04A0"/>
      </w:tblPr>
      <w:tblGrid>
        <w:gridCol w:w="1984"/>
        <w:gridCol w:w="3118"/>
        <w:gridCol w:w="4762"/>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맥락</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입력 방식</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처리 원칙</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예정 방문</w:t>
            </w:r>
          </w:p>
        </w:tc>
        <w:tc>
          <w:tcPr>
            <w:tcW w:type="dxa" w:w="311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expected / unknown / not_expected</w:t>
            </w:r>
          </w:p>
        </w:tc>
        <w:tc>
          <w:tcPr>
            <w:tcW w:type="dxa" w:w="476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정상 방문 가능성을 설명하는 보조값. 단독으로 위험을 0으로 만들지 않음</w:t>
            </w:r>
          </w:p>
        </w:tc>
      </w:tr>
      <w:tr>
        <w:trPr>
          <w:cantSplit/>
        </w:trPr>
        <w:tc>
          <w:tcPr>
            <w:tcW w:type="dxa" w:w="198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거주자 확인</w:t>
            </w:r>
          </w:p>
        </w:tc>
        <w:tc>
          <w:tcPr>
            <w:tcW w:type="dxa" w:w="311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safe / needs_help / uncertain</w:t>
            </w:r>
          </w:p>
        </w:tc>
        <w:tc>
          <w:tcPr>
            <w:tcW w:type="dxa" w:w="476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센서보다 높은 우선순위의 사후 라벨로 사용</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이전 위협 신고</w:t>
            </w:r>
          </w:p>
        </w:tc>
        <w:tc>
          <w:tcPr>
            <w:tcW w:type="dxa" w:w="311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선택 입력 boolean + 시각</w:t>
            </w:r>
          </w:p>
        </w:tc>
        <w:tc>
          <w:tcPr>
            <w:tcW w:type="dxa" w:w="476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대화 내용을 상시 녹음하지 않고, 사용자가 직접 기록한 사실만 사용</w:t>
            </w:r>
          </w:p>
        </w:tc>
      </w:tr>
      <w:tr>
        <w:trPr>
          <w:cantSplit/>
        </w:trPr>
        <w:tc>
          <w:tcPr>
            <w:tcW w:type="dxa" w:w="198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이전 재산 훼손</w:t>
            </w:r>
          </w:p>
        </w:tc>
        <w:tc>
          <w:tcPr>
            <w:tcW w:type="dxa" w:w="311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incident feedback</w:t>
            </w:r>
          </w:p>
        </w:tc>
        <w:tc>
          <w:tcPr>
            <w:tcW w:type="dxa" w:w="476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문·도어락 훼손 확인 기록과 연결</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보호 필요 맥락</w:t>
            </w:r>
          </w:p>
        </w:tc>
        <w:tc>
          <w:tcPr>
            <w:tcW w:type="dxa" w:w="311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sensitive_context flag</w:t>
            </w:r>
          </w:p>
        </w:tc>
        <w:tc>
          <w:tcPr>
            <w:tcW w:type="dxa" w:w="476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관계 종류를 추정하지 않으며 접근권한·보존기간을 더 엄격히 적용</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866"/>
            <w:shd w:fill="FFF4CC"/>
            <w:tcMar>
              <w:top w:w="120" w:type="dxa"/>
              <w:start w:w="180" w:type="dxa"/>
              <w:bottom w:w="120" w:type="dxa"/>
              <w:end w:w="180" w:type="dxa"/>
            </w:tcMar>
            <w:tcBorders>
              <w:start w:val="single" w:sz="24" w:color="BF9000"/>
              <w:top w:val="single" w:sz="4" w:color="FFF4CC"/>
              <w:bottom w:val="single" w:sz="4" w:color="FFF4CC"/>
              <w:end w:val="single" w:sz="4" w:color="FFF4CC"/>
            </w:tcBorders>
          </w:tcPr>
          <w:p>
            <w:pPr>
              <w:spacing w:before="0" w:after="40" w:line="252" w:lineRule="auto"/>
            </w:pPr>
            <w:r>
              <w:rPr>
                <w:rFonts w:ascii="맑은 고딕" w:hAnsi="맑은 고딕" w:eastAsia="맑은 고딕"/>
                <w:b/>
                <w:color w:val="17365D"/>
                <w:sz w:val="19"/>
              </w:rPr>
              <w:t>맥락 데이터는 선택 사항</w:t>
            </w:r>
          </w:p>
          <w:p>
            <w:pPr>
              <w:spacing w:before="0" w:after="0" w:line="259" w:lineRule="auto"/>
            </w:pPr>
            <w:r>
              <w:rPr>
                <w:rFonts w:ascii="맑은 고딕" w:hAnsi="맑은 고딕" w:eastAsia="맑은 고딕"/>
                <w:color w:val="1F2933"/>
                <w:sz w:val="17"/>
              </w:rPr>
              <w:t>과거 관계, 위협, 보호조치 여부는 연구상 참고가 될 수 있지만 매우 민감하다. 이번 캡스톤에서는 자동 수집하지 않는다. 사용자가 원할 때 최소한의 boolean 값으로 입력하고, 발표 화면에는 상세 내용을 노출하지 않는 방향이 안전하다.</w:t>
            </w:r>
          </w:p>
        </w:tc>
      </w:tr>
    </w:tbl>
    <w:p>
      <w:pPr>
        <w:spacing w:after="0"/>
      </w:pPr>
    </w:p>
    <w:p>
      <w:pPr>
        <w:pStyle w:val="Heading2"/>
      </w:pPr>
      <w:r>
        <w:rPr>
          <w:rFonts w:ascii="맑은 고딕" w:hAnsi="맑은 고딕" w:eastAsia="맑은 고딕"/>
          <w:b/>
          <w:color w:val="2E75B6"/>
          <w:sz w:val="23"/>
        </w:rPr>
        <w:t>3.2 위험도에 넣지 않는 항목</w:t>
      </w:r>
    </w:p>
    <w:tbl>
      <w:tblPr>
        <w:tblStyle w:val="TableGrid"/>
        <w:tblW w:type="auto" w:w="0"/>
        <w:jc w:val="center"/>
        <w:tblLayout w:type="fixed"/>
        <w:tblLook w:firstColumn="1" w:firstRow="1" w:lastColumn="0" w:lastRow="0" w:noHBand="0" w:noVBand="1" w:val="04A0"/>
      </w:tblPr>
      <w:tblGrid>
        <w:gridCol w:w="3402"/>
        <w:gridCol w:w="6463"/>
      </w:tblGrid>
      <w:tr>
        <w:trPr>
          <w:tblHeader w:val="true"/>
          <w:cantSplit/>
        </w:trPr>
        <w:tc>
          <w:tcPr>
            <w:tcW w:type="dxa" w:w="4933"/>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금지·제외 항목</w:t>
            </w:r>
          </w:p>
        </w:tc>
        <w:tc>
          <w:tcPr>
            <w:tcW w:type="dxa" w:w="4933"/>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이유</w:t>
            </w:r>
          </w:p>
        </w:tc>
      </w:tr>
      <w:tr>
        <w:trPr>
          <w:cantSplit/>
        </w:trPr>
        <w:tc>
          <w:tcPr>
            <w:tcW w:type="dxa" w:w="3402"/>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성별·연령·인종·국적·장애·외모·의복</w:t>
            </w:r>
          </w:p>
        </w:tc>
        <w:tc>
          <w:tcPr>
            <w:tcW w:type="dxa" w:w="6463"/>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위험 행동이 아니라 사람의 특성을 근거로 판단하게 되며 편향 가능성이 큼</w:t>
            </w:r>
          </w:p>
        </w:tc>
      </w:tr>
      <w:tr>
        <w:trPr>
          <w:cantSplit/>
        </w:trPr>
        <w:tc>
          <w:tcPr>
            <w:tcW w:type="dxa" w:w="3402"/>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얼굴인식·신원 추정</w:t>
            </w:r>
          </w:p>
        </w:tc>
        <w:tc>
          <w:tcPr>
            <w:tcW w:type="dxa" w:w="6463"/>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현관 위험 확인에 비해 개인정보 침해가 크고, 오인식 시 피해가 큼</w:t>
            </w:r>
          </w:p>
        </w:tc>
      </w:tr>
      <w:tr>
        <w:trPr>
          <w:cantSplit/>
        </w:trPr>
        <w:tc>
          <w:tcPr>
            <w:tcW w:type="dxa" w:w="3402"/>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표정·감정 추정</w:t>
            </w:r>
          </w:p>
        </w:tc>
        <w:tc>
          <w:tcPr>
            <w:tcW w:type="dxa" w:w="6463"/>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센서·영상만으로 정확히 판단하기 어렵고 위험 행동과 직접 같지 않음</w:t>
            </w:r>
          </w:p>
        </w:tc>
      </w:tr>
      <w:tr>
        <w:trPr>
          <w:cantSplit/>
        </w:trPr>
        <w:tc>
          <w:tcPr>
            <w:tcW w:type="dxa" w:w="3402"/>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정신건강 상태 추정</w:t>
            </w:r>
          </w:p>
        </w:tc>
        <w:tc>
          <w:tcPr>
            <w:tcW w:type="dxa" w:w="6463"/>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연구 변수를 이유로 장치가 진단하거나 낙인찍어서는 안 됨</w:t>
            </w:r>
          </w:p>
        </w:tc>
      </w:tr>
      <w:tr>
        <w:trPr>
          <w:cantSplit/>
        </w:trPr>
        <w:tc>
          <w:tcPr>
            <w:tcW w:type="dxa" w:w="3402"/>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상시 음성 녹음·대화 전사</w:t>
            </w:r>
          </w:p>
        </w:tc>
        <w:tc>
          <w:tcPr>
            <w:tcW w:type="dxa" w:w="6463"/>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필요성에 비해 사생활 침해가 크며 주변 사람의 정보까지 수집될 수 있음</w:t>
            </w:r>
          </w:p>
        </w:tc>
      </w:tr>
      <w:tr>
        <w:trPr>
          <w:cantSplit/>
        </w:trPr>
        <w:tc>
          <w:tcPr>
            <w:tcW w:type="dxa" w:w="3402"/>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하나의 약한 센서 신호</w:t>
            </w:r>
          </w:p>
        </w:tc>
        <w:tc>
          <w:tcPr>
            <w:tcW w:type="dxa" w:w="6463"/>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체류·거리·소리 하나만으로는 정상 방문과 위험 상황을 구분하기 어려움</w:t>
            </w:r>
          </w:p>
        </w:tc>
      </w:tr>
    </w:tbl>
    <w:p>
      <w:pPr>
        <w:spacing w:after="0"/>
      </w:pPr>
    </w:p>
    <w:p>
      <w:pPr>
        <w:spacing w:before="0" w:after="80" w:line="269" w:lineRule="auto"/>
      </w:pPr>
      <w:r>
        <w:rPr>
          <w:rFonts w:ascii="맑은 고딕" w:hAnsi="맑은 고딕" w:eastAsia="맑은 고딕"/>
        </w:rPr>
        <w:t>개인정보보호위원회 안내서는 고정형 영상정보처리기기의 설치·운영과 개인영상정보 보호를 별도로 검토하도록 안내한다. 현재 MVP는 영상을 기본 수집하지 않고, 향후 카메라를 연결할 경우 정책과 설치 환경을 다시 검토한다. [R5]</w:t>
      </w:r>
    </w:p>
    <w:p>
      <w:r>
        <w:br w:type="page"/>
      </w:r>
    </w:p>
    <w:p>
      <w:bookmarkStart w:id="4" w:name="section_4"/>
      <w:pPr>
        <w:pStyle w:val="Heading1"/>
        <w:pBdr>
          <w:bottom w:val="single" w:sz="12" w:space="4" w:color="2E75B6"/>
        </w:pBdr>
      </w:pPr>
      <w:r>
        <w:rPr>
          <w:rFonts w:ascii="맑은 고딕" w:hAnsi="맑은 고딕" w:eastAsia="맑은 고딕"/>
          <w:b/>
          <w:color w:val="17365D"/>
          <w:sz w:val="32"/>
        </w:rPr>
        <w:t>4. 입력 데이터 모델</w:t>
      </w:r>
      <w:bookmarkEnd w:id="4"/>
    </w:p>
    <w:p>
      <w:pPr>
        <w:spacing w:before="0" w:after="80" w:line="269" w:lineRule="auto"/>
      </w:pPr>
      <w:r>
        <w:rPr>
          <w:rFonts w:ascii="맑은 고딕" w:hAnsi="맑은 고딕" w:eastAsia="맑은 고딕"/>
        </w:rPr>
        <w:t>센서 계층은 각 장치의 원본 데이터를 공통 SensorEvent 구조로 바꿔서 전달한다. 위험도 엔진은 센서 모델명이나 통신 방식에 의존하지 않고 metric과 시각, 품질 정보만 읽는다. 새로운 센서를 추가할 때 DB 컬럼을 계속 늘리지 않는 것이 핵심이다.</w:t>
      </w:r>
    </w:p>
    <w:p>
      <w:pPr>
        <w:pStyle w:val="Heading2"/>
      </w:pPr>
      <w:r>
        <w:rPr>
          <w:rFonts w:ascii="맑은 고딕" w:hAnsi="맑은 고딕" w:eastAsia="맑은 고딕"/>
          <w:b/>
          <w:color w:val="2E75B6"/>
          <w:sz w:val="23"/>
        </w:rPr>
        <w:t>4.1 공통 이벤트 구조</w:t>
      </w:r>
    </w:p>
    <w:tbl>
      <w:tblPr>
        <w:tblW w:type="auto" w:w="0"/>
        <w:jc w:val="center"/>
        <w:tblLook w:firstColumn="1" w:firstRow="1" w:lastColumn="0" w:lastRow="0" w:noHBand="0" w:noVBand="1" w:val="04A0"/>
      </w:tblPr>
      <w:tblGrid>
        <w:gridCol w:w="9866"/>
      </w:tblGrid>
      <w:tr>
        <w:tc>
          <w:tcPr>
            <w:tcW w:type="dxa" w:w="9866"/>
            <w:shd w:fill="F5F7FA"/>
            <w:tcMar>
              <w:top w:w="120" w:type="dxa"/>
              <w:start w:w="150" w:type="dxa"/>
              <w:bottom w:w="120" w:type="dxa"/>
              <w:end w:w="150" w:type="dxa"/>
            </w:tcMar>
            <w:tcBorders>
              <w:top w:val="single" w:sz="6" w:color="D9E2F3"/>
              <w:bottom w:val="single" w:sz="6" w:color="D9E2F3"/>
              <w:start w:val="single" w:sz="6" w:color="D9E2F3"/>
              <w:end w:val="single" w:sz="6" w:color="D9E2F3"/>
            </w:tcBorders>
          </w:tcPr>
          <w:p>
            <w:pPr>
              <w:spacing w:before="0" w:after="0" w:line="240" w:lineRule="auto"/>
            </w:pPr>
            <w:r>
              <w:rPr>
                <w:rFonts w:ascii="Consolas" w:hAnsi="Consolas" w:eastAsia="Consolas"/>
                <w:color w:val="1F2933"/>
                <w:sz w:val="16"/>
              </w:rPr>
              <w:t>SensorEvent {</w:t>
            </w:r>
            <w:r>
              <w:br/>
            </w:r>
            <w:r>
              <w:rPr>
                <w:rFonts w:ascii="Consolas" w:hAnsi="Consolas" w:eastAsia="Consolas"/>
                <w:color w:val="1F2933"/>
                <w:sz w:val="16"/>
              </w:rPr>
              <w:t xml:space="preserve">  eventId, deviceId, householdId, capturedAt, receivedAt,</w:t>
            </w:r>
            <w:r>
              <w:br/>
            </w:r>
            <w:r>
              <w:rPr>
                <w:rFonts w:ascii="Consolas" w:hAnsi="Consolas" w:eastAsia="Consolas"/>
                <w:color w:val="1F2933"/>
                <w:sz w:val="16"/>
              </w:rPr>
              <w:t xml:space="preserve">  readings: [{ metric, value, unit, confidence, quality }],</w:t>
            </w:r>
            <w:r>
              <w:br/>
            </w:r>
            <w:r>
              <w:rPr>
                <w:rFonts w:ascii="Consolas" w:hAnsi="Consolas" w:eastAsia="Consolas"/>
                <w:color w:val="1F2933"/>
                <w:sz w:val="16"/>
              </w:rPr>
              <w:t xml:space="preserve">  sourceType, schemaVersion, isTest</w:t>
            </w:r>
            <w:r>
              <w:br/>
            </w:r>
            <w:r>
              <w:rPr>
                <w:rFonts w:ascii="Consolas" w:hAnsi="Consolas" w:eastAsia="Consolas"/>
                <w:color w:val="1F2933"/>
                <w:sz w:val="16"/>
              </w:rPr>
              <w:t>}</w:t>
            </w:r>
          </w:p>
        </w:tc>
      </w:tr>
    </w:tbl>
    <w:p>
      <w:pPr>
        <w:spacing w:after="0"/>
      </w:pPr>
    </w:p>
    <w:p>
      <w:pPr>
        <w:pStyle w:val="Heading2"/>
      </w:pPr>
      <w:r>
        <w:rPr>
          <w:rFonts w:ascii="맑은 고딕" w:hAnsi="맑은 고딕" w:eastAsia="맑은 고딕"/>
          <w:b/>
          <w:color w:val="2E75B6"/>
          <w:sz w:val="23"/>
        </w:rPr>
        <w:t>4.2 위험도 엔진 입력·출력</w:t>
      </w:r>
    </w:p>
    <w:tbl>
      <w:tblPr>
        <w:tblW w:type="auto" w:w="0"/>
        <w:jc w:val="center"/>
        <w:tblLook w:firstColumn="1" w:firstRow="1" w:lastColumn="0" w:lastRow="0" w:noHBand="0" w:noVBand="1" w:val="04A0"/>
      </w:tblPr>
      <w:tblGrid>
        <w:gridCol w:w="9866"/>
      </w:tblGrid>
      <w:tr>
        <w:tc>
          <w:tcPr>
            <w:tcW w:type="dxa" w:w="9866"/>
            <w:shd w:fill="F5F7FA"/>
            <w:tcMar>
              <w:top w:w="120" w:type="dxa"/>
              <w:start w:w="150" w:type="dxa"/>
              <w:bottom w:w="120" w:type="dxa"/>
              <w:end w:w="150" w:type="dxa"/>
            </w:tcMar>
            <w:tcBorders>
              <w:top w:val="single" w:sz="6" w:color="D9E2F3"/>
              <w:bottom w:val="single" w:sz="6" w:color="D9E2F3"/>
              <w:start w:val="single" w:sz="6" w:color="D9E2F3"/>
              <w:end w:val="single" w:sz="6" w:color="D9E2F3"/>
            </w:tcBorders>
          </w:tcPr>
          <w:p>
            <w:pPr>
              <w:spacing w:before="0" w:after="0" w:line="240" w:lineRule="auto"/>
            </w:pPr>
            <w:r>
              <w:rPr>
                <w:rFonts w:ascii="Consolas" w:hAnsi="Consolas" w:eastAsia="Consolas"/>
                <w:color w:val="1F2933"/>
                <w:sz w:val="16"/>
              </w:rPr>
              <w:t>RiskInput { incidentId, windowStart, windowEnd, sensorEvents, contextFlags }</w:t>
            </w:r>
            <w:r>
              <w:br/>
            </w:r>
            <w:r>
              <w:rPr>
                <w:rFonts w:ascii="Consolas" w:hAnsi="Consolas" w:eastAsia="Consolas"/>
                <w:color w:val="1F2933"/>
                <w:sz w:val="16"/>
              </w:rPr>
            </w:r>
            <w:r>
              <w:br/>
            </w:r>
            <w:r>
              <w:rPr>
                <w:rFonts w:ascii="Consolas" w:hAnsi="Consolas" w:eastAsia="Consolas"/>
                <w:color w:val="1F2933"/>
                <w:sz w:val="16"/>
              </w:rPr>
              <w:t>RiskAssessment {</w:t>
            </w:r>
            <w:r>
              <w:br/>
            </w:r>
            <w:r>
              <w:rPr>
                <w:rFonts w:ascii="Consolas" w:hAnsi="Consolas" w:eastAsia="Consolas"/>
                <w:color w:val="1F2933"/>
                <w:sz w:val="16"/>
              </w:rPr>
              <w:t xml:space="preserve">  score, level, engineVersion, status, reasons,</w:t>
            </w:r>
            <w:r>
              <w:br/>
            </w:r>
            <w:r>
              <w:rPr>
                <w:rFonts w:ascii="Consolas" w:hAnsi="Consolas" w:eastAsia="Consolas"/>
                <w:color w:val="1F2933"/>
                <w:sz w:val="16"/>
              </w:rPr>
              <w:t xml:space="preserve">  factorObservations, dataReliability, createdAt</w:t>
            </w:r>
            <w:r>
              <w:br/>
            </w:r>
            <w:r>
              <w:rPr>
                <w:rFonts w:ascii="Consolas" w:hAnsi="Consolas" w:eastAsia="Consolas"/>
                <w:color w:val="1F2933"/>
                <w:sz w:val="16"/>
              </w:rPr>
              <w:t>}</w:t>
            </w:r>
          </w:p>
        </w:tc>
      </w:tr>
    </w:tbl>
    <w:p>
      <w:pPr>
        <w:spacing w:after="0"/>
      </w:pPr>
    </w:p>
    <w:tbl>
      <w:tblPr>
        <w:tblStyle w:val="TableGrid"/>
        <w:tblW w:type="auto" w:w="0"/>
        <w:jc w:val="center"/>
        <w:tblLayout w:type="fixed"/>
        <w:tblLook w:firstColumn="1" w:firstRow="1" w:lastColumn="0" w:lastRow="0" w:noHBand="0" w:noVBand="1" w:val="04A0"/>
      </w:tblPr>
      <w:tblGrid>
        <w:gridCol w:w="2721"/>
        <w:gridCol w:w="1587"/>
        <w:gridCol w:w="5556"/>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필드</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필수 여부</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설명</w:t>
            </w:r>
          </w:p>
        </w:tc>
      </w:tr>
      <w:tr>
        <w:trPr>
          <w:cantSplit/>
        </w:trPr>
        <w:tc>
          <w:tcPr>
            <w:tcW w:type="dxa" w:w="272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metric / value / unit</w:t>
            </w:r>
          </w:p>
        </w:tc>
        <w:tc>
          <w:tcPr>
            <w:tcW w:type="dxa" w:w="1587"/>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필수</w:t>
            </w:r>
          </w:p>
        </w:tc>
        <w:tc>
          <w:tcPr>
            <w:tcW w:type="dxa" w:w="5556"/>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센서 종류가 달라도 같은 이름과 단위로 정규화</w:t>
            </w:r>
          </w:p>
        </w:tc>
      </w:tr>
      <w:tr>
        <w:trPr>
          <w:cantSplit/>
        </w:trPr>
        <w:tc>
          <w:tcPr>
            <w:tcW w:type="dxa" w:w="2721"/>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confidence</w:t>
            </w:r>
          </w:p>
        </w:tc>
        <w:tc>
          <w:tcPr>
            <w:tcW w:type="dxa" w:w="1587"/>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선택</w:t>
            </w:r>
          </w:p>
        </w:tc>
        <w:tc>
          <w:tcPr>
            <w:tcW w:type="dxa" w:w="5556"/>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센서 또는 전처리 계층의 신뢰도. 위험 점수와 별도</w:t>
            </w:r>
          </w:p>
        </w:tc>
      </w:tr>
      <w:tr>
        <w:trPr>
          <w:cantSplit/>
        </w:trPr>
        <w:tc>
          <w:tcPr>
            <w:tcW w:type="dxa" w:w="272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quality</w:t>
            </w:r>
          </w:p>
        </w:tc>
        <w:tc>
          <w:tcPr>
            <w:tcW w:type="dxa" w:w="1587"/>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선택</w:t>
            </w:r>
          </w:p>
        </w:tc>
        <w:tc>
          <w:tcPr>
            <w:tcW w:type="dxa" w:w="5556"/>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good / degraded / missing / invalid</w:t>
            </w:r>
          </w:p>
        </w:tc>
      </w:tr>
      <w:tr>
        <w:trPr>
          <w:cantSplit/>
        </w:trPr>
        <w:tc>
          <w:tcPr>
            <w:tcW w:type="dxa" w:w="2721"/>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capturedAt / receivedAt</w:t>
            </w:r>
          </w:p>
        </w:tc>
        <w:tc>
          <w:tcPr>
            <w:tcW w:type="dxa" w:w="1587"/>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필수</w:t>
            </w:r>
          </w:p>
        </w:tc>
        <w:tc>
          <w:tcPr>
            <w:tcW w:type="dxa" w:w="5556"/>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실제 발생과 서버 수신 지연을 구분</w:t>
            </w:r>
          </w:p>
        </w:tc>
      </w:tr>
      <w:tr>
        <w:trPr>
          <w:cantSplit/>
        </w:trPr>
        <w:tc>
          <w:tcPr>
            <w:tcW w:type="dxa" w:w="2721"/>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schemaVersion</w:t>
            </w:r>
          </w:p>
        </w:tc>
        <w:tc>
          <w:tcPr>
            <w:tcW w:type="dxa" w:w="1587"/>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필수</w:t>
            </w:r>
          </w:p>
        </w:tc>
        <w:tc>
          <w:tcPr>
            <w:tcW w:type="dxa" w:w="5556"/>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센서 구조 변경 시 호환성 관리</w:t>
            </w:r>
          </w:p>
        </w:tc>
      </w:tr>
      <w:tr>
        <w:trPr>
          <w:cantSplit/>
        </w:trPr>
        <w:tc>
          <w:tcPr>
            <w:tcW w:type="dxa" w:w="2721"/>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isTest</w:t>
            </w:r>
          </w:p>
        </w:tc>
        <w:tc>
          <w:tcPr>
            <w:tcW w:type="dxa" w:w="1587"/>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필수</w:t>
            </w:r>
          </w:p>
        </w:tc>
        <w:tc>
          <w:tcPr>
            <w:tcW w:type="dxa" w:w="5556"/>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더미·시연 데이터를 실제 통계에서 분리</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866"/>
            <w:shd w:fill="EFF6FB"/>
            <w:tcMar>
              <w:top w:w="120" w:type="dxa"/>
              <w:start w:w="180" w:type="dxa"/>
              <w:bottom w:w="120" w:type="dxa"/>
              <w:end w:w="180" w:type="dxa"/>
            </w:tcMar>
            <w:tcBorders>
              <w:start w:val="single" w:sz="24" w:color="2E75B6"/>
              <w:top w:val="single" w:sz="4" w:color="EFF6FB"/>
              <w:bottom w:val="single" w:sz="4" w:color="EFF6FB"/>
              <w:end w:val="single" w:sz="4" w:color="EFF6FB"/>
            </w:tcBorders>
          </w:tcPr>
          <w:p>
            <w:pPr>
              <w:spacing w:before="0" w:after="40" w:line="252" w:lineRule="auto"/>
            </w:pPr>
            <w:r>
              <w:rPr>
                <w:rFonts w:ascii="맑은 고딕" w:hAnsi="맑은 고딕" w:eastAsia="맑은 고딕"/>
                <w:b/>
                <w:color w:val="17365D"/>
                <w:sz w:val="19"/>
              </w:rPr>
              <w:t>현재 DB와 연결</w:t>
            </w:r>
          </w:p>
          <w:p>
            <w:pPr>
              <w:spacing w:before="0" w:after="0" w:line="259" w:lineRule="auto"/>
            </w:pPr>
            <w:r>
              <w:rPr>
                <w:rFonts w:ascii="맑은 고딕" w:hAnsi="맑은 고딕" w:eastAsia="맑은 고딕"/>
                <w:color w:val="1F2933"/>
                <w:sz w:val="17"/>
              </w:rPr>
              <w:t>sensor_events와 sensor_readings가 원본 관측을 저장하고, incidents가 시간 구간을 묶는다. risk_engine_versions와 risk_assessments에는 엔진 버전과 결과를, risk_factor_observations에는 이번 판단에 실제 사용한 요소를 남긴다.</w:t>
            </w:r>
          </w:p>
        </w:tc>
      </w:tr>
    </w:tbl>
    <w:p>
      <w:pPr>
        <w:spacing w:after="0"/>
      </w:pPr>
    </w:p>
    <w:p>
      <w:r>
        <w:br w:type="page"/>
      </w:r>
    </w:p>
    <w:p>
      <w:bookmarkStart w:id="5" w:name="section_5"/>
      <w:pPr>
        <w:pStyle w:val="Heading1"/>
        <w:pBdr>
          <w:bottom w:val="single" w:sz="12" w:space="4" w:color="2E75B6"/>
        </w:pBdr>
      </w:pPr>
      <w:r>
        <w:rPr>
          <w:rFonts w:ascii="맑은 고딕" w:hAnsi="맑은 고딕" w:eastAsia="맑은 고딕"/>
          <w:b/>
          <w:color w:val="17365D"/>
          <w:sz w:val="32"/>
        </w:rPr>
        <w:t>5. 계산 로직 자리와 더미 엔진</w:t>
      </w:r>
      <w:bookmarkEnd w:id="5"/>
    </w:p>
    <w:p>
      <w:pPr>
        <w:spacing w:before="0" w:after="80" w:line="269" w:lineRule="auto"/>
      </w:pPr>
      <w:r>
        <w:rPr>
          <w:rFonts w:ascii="맑은 고딕" w:hAnsi="맑은 고딕" w:eastAsia="맑은 고딕"/>
        </w:rPr>
        <w:t>가중치와 임계값은 아직 정하지 않았다. 코드에서는 인터페이스만 고정하고, 현재는 DemoPassThroughRiskEngine이 더미 점수를 반환한다. 이후 실험 결과가 나오면 같은 인터페이스를 구현하는 실제 엔진으로 교체한다.</w:t>
      </w:r>
    </w:p>
    <w:p>
      <w:pPr>
        <w:pStyle w:val="Heading2"/>
      </w:pPr>
      <w:r>
        <w:rPr>
          <w:rFonts w:ascii="맑은 고딕" w:hAnsi="맑은 고딕" w:eastAsia="맑은 고딕"/>
          <w:b/>
          <w:color w:val="2E75B6"/>
          <w:sz w:val="23"/>
        </w:rPr>
        <w:t>5.1 계산식 자리</w:t>
      </w:r>
    </w:p>
    <w:tbl>
      <w:tblPr>
        <w:tblW w:type="auto" w:w="0"/>
        <w:jc w:val="center"/>
        <w:tblLook w:firstColumn="1" w:firstRow="1" w:lastColumn="0" w:lastRow="0" w:noHBand="0" w:noVBand="1" w:val="04A0"/>
      </w:tblPr>
      <w:tblGrid>
        <w:gridCol w:w="9866"/>
      </w:tblGrid>
      <w:tr>
        <w:tc>
          <w:tcPr>
            <w:tcW w:type="dxa" w:w="9866"/>
            <w:shd w:fill="F5F7FA"/>
            <w:tcMar>
              <w:top w:w="120" w:type="dxa"/>
              <w:start w:w="150" w:type="dxa"/>
              <w:bottom w:w="120" w:type="dxa"/>
              <w:end w:w="150" w:type="dxa"/>
            </w:tcMar>
            <w:tcBorders>
              <w:top w:val="single" w:sz="6" w:color="D9E2F3"/>
              <w:bottom w:val="single" w:sz="6" w:color="D9E2F3"/>
              <w:start w:val="single" w:sz="6" w:color="D9E2F3"/>
              <w:end w:val="single" w:sz="6" w:color="D9E2F3"/>
            </w:tcBorders>
          </w:tcPr>
          <w:p>
            <w:pPr>
              <w:spacing w:before="0" w:after="0" w:line="240" w:lineRule="auto"/>
            </w:pPr>
            <w:r>
              <w:rPr>
                <w:rFonts w:ascii="Consolas" w:hAnsi="Consolas" w:eastAsia="Consolas"/>
                <w:color w:val="1F2933"/>
                <w:sz w:val="16"/>
              </w:rPr>
              <w:t>baseScore = Σ(weight[i] × normalizedFactor[i])        # weight[i] = TBD</w:t>
            </w:r>
            <w:r>
              <w:br/>
            </w:r>
            <w:r>
              <w:rPr>
                <w:rFonts w:ascii="Consolas" w:hAnsi="Consolas" w:eastAsia="Consolas"/>
                <w:color w:val="1F2933"/>
                <w:sz w:val="16"/>
              </w:rPr>
              <w:t>adjustedScore = baseScore × dataReliability + contextAdjustment</w:t>
            </w:r>
            <w:r>
              <w:br/>
            </w:r>
            <w:r>
              <w:rPr>
                <w:rFonts w:ascii="Consolas" w:hAnsi="Consolas" w:eastAsia="Consolas"/>
                <w:color w:val="1F2933"/>
                <w:sz w:val="16"/>
              </w:rPr>
              <w:t>level = threshold(adjustedScore)                     # thresholds = TBD</w:t>
            </w:r>
            <w:r>
              <w:br/>
            </w:r>
            <w:r>
              <w:rPr>
                <w:rFonts w:ascii="Consolas" w:hAnsi="Consolas" w:eastAsia="Consolas"/>
                <w:color w:val="1F2933"/>
                <w:sz w:val="16"/>
              </w:rPr>
            </w:r>
            <w:r>
              <w:br/>
            </w:r>
            <w:r>
              <w:rPr>
                <w:rFonts w:ascii="Consolas" w:hAnsi="Consolas" w:eastAsia="Consolas"/>
                <w:color w:val="1F2933"/>
                <w:sz w:val="16"/>
              </w:rPr>
              <w:t>if manual_sos or confirmed_forced_entry:</w:t>
            </w:r>
            <w:r>
              <w:br/>
            </w:r>
            <w:r>
              <w:rPr>
                <w:rFonts w:ascii="Consolas" w:hAnsi="Consolas" w:eastAsia="Consolas"/>
                <w:color w:val="1F2933"/>
                <w:sz w:val="16"/>
              </w:rPr>
              <w:t xml:space="preserve">    apply_priority_review_rule()                     # 세부 규칙 = TBD</w:t>
            </w:r>
          </w:p>
        </w:tc>
      </w:tr>
    </w:tbl>
    <w:p>
      <w:pPr>
        <w:spacing w:after="0"/>
      </w:pP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가중치와 임계값은 코드에 임시 숫자로 숨겨두지 않고 설정 파일·DB의 draft 버전으로 관리한다.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결측 센서를 0점으로 처리하지 않는다. 계산 가능, 정보 부족, 장치 이상을 구분한다.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우선 확인 규칙도 무조건 긴급 확정이 아니다. 강한 알림과 사람의 확인을 앞당기는 규칙이다.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동일한 사건을 새 엔진으로 다시 계산하더라도 기존 결과를 덮어쓰지 않는다.</w:t>
      </w:r>
    </w:p>
    <w:p>
      <w:pPr>
        <w:pStyle w:val="Heading2"/>
      </w:pPr>
      <w:r>
        <w:rPr>
          <w:rFonts w:ascii="맑은 고딕" w:hAnsi="맑은 고딕" w:eastAsia="맑은 고딕"/>
          <w:b/>
          <w:color w:val="2E75B6"/>
          <w:sz w:val="23"/>
        </w:rPr>
        <w:t>5.2 현재 데모 결과</w:t>
      </w:r>
    </w:p>
    <w:tbl>
      <w:tblPr>
        <w:tblStyle w:val="TableGrid"/>
        <w:tblW w:type="auto" w:w="0"/>
        <w:jc w:val="center"/>
        <w:tblLayout w:type="fixed"/>
        <w:tblLook w:firstColumn="1" w:firstRow="1" w:lastColumn="0" w:lastRow="0" w:noHBand="0" w:noVBand="1" w:val="04A0"/>
      </w:tblPr>
      <w:tblGrid>
        <w:gridCol w:w="1984"/>
        <w:gridCol w:w="1984"/>
        <w:gridCol w:w="3912"/>
        <w:gridCol w:w="1984"/>
      </w:tblGrid>
      <w:tr>
        <w:trPr>
          <w:tblHeader w:val="true"/>
          <w:cantSplit/>
        </w:trPr>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단계</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더미 점수 예시</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화면 의미</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실제 대응 사용</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Normal</w:t>
            </w:r>
          </w:p>
        </w:tc>
        <w:tc>
          <w:tcPr>
            <w:tcW w:type="dxa" w:w="1984"/>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14</w:t>
            </w:r>
          </w:p>
        </w:tc>
        <w:tc>
          <w:tcPr>
            <w:tcW w:type="dxa" w:w="391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정상 카드·그래프 확인</w:t>
            </w:r>
          </w:p>
        </w:tc>
        <w:tc>
          <w:tcPr>
            <w:tcW w:type="dxa" w:w="1984"/>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사용 금지</w:t>
            </w:r>
          </w:p>
        </w:tc>
      </w:tr>
      <w:tr>
        <w:trPr>
          <w:cantSplit/>
        </w:trPr>
        <w:tc>
          <w:tcPr>
            <w:tcW w:type="dxa" w:w="198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Watch</w:t>
            </w:r>
          </w:p>
        </w:tc>
        <w:tc>
          <w:tcPr>
            <w:tcW w:type="dxa" w:w="1984"/>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46</w:t>
            </w:r>
          </w:p>
        </w:tc>
        <w:tc>
          <w:tcPr>
            <w:tcW w:type="dxa" w:w="391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관심 단계 UI 확인</w:t>
            </w:r>
          </w:p>
        </w:tc>
        <w:tc>
          <w:tcPr>
            <w:tcW w:type="dxa" w:w="1984"/>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사용 금지</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Warning</w:t>
            </w:r>
          </w:p>
        </w:tc>
        <w:tc>
          <w:tcPr>
            <w:tcW w:type="dxa" w:w="1984"/>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68</w:t>
            </w:r>
          </w:p>
        </w:tc>
        <w:tc>
          <w:tcPr>
            <w:tcW w:type="dxa" w:w="391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주의 알림 흐름 확인</w:t>
            </w:r>
          </w:p>
        </w:tc>
        <w:tc>
          <w:tcPr>
            <w:tcW w:type="dxa" w:w="1984"/>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사용 금지</w:t>
            </w:r>
          </w:p>
        </w:tc>
      </w:tr>
      <w:tr>
        <w:trPr>
          <w:cantSplit/>
        </w:trPr>
        <w:tc>
          <w:tcPr>
            <w:tcW w:type="dxa" w:w="198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Critical</w:t>
            </w:r>
          </w:p>
        </w:tc>
        <w:tc>
          <w:tcPr>
            <w:tcW w:type="dxa" w:w="1984"/>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88</w:t>
            </w:r>
          </w:p>
        </w:tc>
        <w:tc>
          <w:tcPr>
            <w:tcW w:type="dxa" w:w="391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긴급 화면·진동 표현 확인</w:t>
            </w:r>
          </w:p>
        </w:tc>
        <w:tc>
          <w:tcPr>
            <w:tcW w:type="dxa" w:w="1984"/>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사용 금지</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866"/>
            <w:shd w:fill="FCE4D6"/>
            <w:tcMar>
              <w:top w:w="120" w:type="dxa"/>
              <w:start w:w="180" w:type="dxa"/>
              <w:bottom w:w="120" w:type="dxa"/>
              <w:end w:w="180" w:type="dxa"/>
            </w:tcMar>
            <w:tcBorders>
              <w:start w:val="single" w:sz="24" w:color="C00000"/>
              <w:top w:val="single" w:sz="4" w:color="FCE4D6"/>
              <w:bottom w:val="single" w:sz="4" w:color="FCE4D6"/>
              <w:end w:val="single" w:sz="4" w:color="FCE4D6"/>
            </w:tcBorders>
          </w:tcPr>
          <w:p>
            <w:pPr>
              <w:spacing w:before="0" w:after="40" w:line="252" w:lineRule="auto"/>
            </w:pPr>
            <w:r>
              <w:rPr>
                <w:rFonts w:ascii="맑은 고딕" w:hAnsi="맑은 고딕" w:eastAsia="맑은 고딕"/>
                <w:b/>
                <w:color w:val="17365D"/>
                <w:sz w:val="19"/>
              </w:rPr>
              <w:t>DEMO 표시 원칙</w:t>
            </w:r>
          </w:p>
          <w:p>
            <w:pPr>
              <w:spacing w:before="0" w:after="0" w:line="259" w:lineRule="auto"/>
            </w:pPr>
            <w:r>
              <w:rPr>
                <w:rFonts w:ascii="맑은 고딕" w:hAnsi="맑은 고딕" w:eastAsia="맑은 고딕"/>
                <w:color w:val="1F2933"/>
                <w:sz w:val="17"/>
              </w:rPr>
              <w:t>웹과 모바일 화면에는 DEMO 또는 TEST 표시를 유지한다. algorithmVersion이 비어 있거나 engine status가 draft이면 실제 안전 판단으로 사용할 수 없게 한다.</w:t>
            </w:r>
          </w:p>
        </w:tc>
      </w:tr>
    </w:tbl>
    <w:p>
      <w:pPr>
        <w:spacing w:after="0"/>
      </w:pPr>
    </w:p>
    <w:p>
      <w:r>
        <w:br w:type="page"/>
      </w:r>
    </w:p>
    <w:p>
      <w:bookmarkStart w:id="6" w:name="section_6"/>
      <w:pPr>
        <w:pStyle w:val="Heading1"/>
        <w:pBdr>
          <w:bottom w:val="single" w:sz="12" w:space="4" w:color="2E75B6"/>
        </w:pBdr>
      </w:pPr>
      <w:r>
        <w:rPr>
          <w:rFonts w:ascii="맑은 고딕" w:hAnsi="맑은 고딕" w:eastAsia="맑은 고딕"/>
          <w:b/>
          <w:color w:val="17365D"/>
          <w:sz w:val="32"/>
        </w:rPr>
        <w:t>6. 위험 단계와 사람의 대응</w:t>
      </w:r>
      <w:bookmarkEnd w:id="6"/>
    </w:p>
    <w:p>
      <w:pPr>
        <w:spacing w:before="0" w:after="80" w:line="269" w:lineRule="auto"/>
      </w:pPr>
      <w:r>
        <w:rPr>
          <w:rFonts w:ascii="맑은 고딕" w:hAnsi="맑은 고딕" w:eastAsia="맑은 고딕"/>
        </w:rPr>
        <w:t>단계는 센서가 사람을 평가하는 등급이 아니라, 사용자가 어느 정도 빨리 상황을 확인해야 하는지 보여주는 표시다. 실제 신고나 도어락 제어는 단계만으로 자동 실행하지 않는다.</w:t>
      </w:r>
    </w:p>
    <w:tbl>
      <w:tblPr>
        <w:tblStyle w:val="TableGrid"/>
        <w:tblW w:type="auto" w:w="0"/>
        <w:jc w:val="center"/>
        <w:tblLayout w:type="fixed"/>
        <w:tblLook w:firstColumn="1" w:firstRow="1" w:lastColumn="0" w:lastRow="0" w:noHBand="0" w:noVBand="1" w:val="04A0"/>
      </w:tblPr>
      <w:tblGrid>
        <w:gridCol w:w="1417"/>
        <w:gridCol w:w="3685"/>
        <w:gridCol w:w="2381"/>
        <w:gridCol w:w="2381"/>
      </w:tblGrid>
      <w:tr>
        <w:trPr>
          <w:tblHeader w:val="true"/>
          <w:cantSplit/>
        </w:trPr>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단계</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의미</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화면·알림</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사람의 대응</w:t>
            </w:r>
          </w:p>
        </w:tc>
      </w:tr>
      <w:tr>
        <w:trPr>
          <w:cantSplit/>
        </w:trPr>
        <w:tc>
          <w:tcPr>
            <w:tcW w:type="dxa" w:w="141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정상</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특이 신호가 없거나 정상 방문으로 확인</w:t>
            </w:r>
          </w:p>
        </w:tc>
        <w:tc>
          <w:tcPr>
            <w:tcW w:type="dxa" w:w="238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기록만 유지</w:t>
            </w:r>
          </w:p>
        </w:tc>
        <w:tc>
          <w:tcPr>
            <w:tcW w:type="dxa" w:w="238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별도 행동 없음</w:t>
            </w:r>
          </w:p>
        </w:tc>
      </w:tr>
      <w:tr>
        <w:trPr>
          <w:cantSplit/>
        </w:trPr>
        <w:tc>
          <w:tcPr>
            <w:tcW w:type="dxa" w:w="141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관심</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약한 단일 신호 또는 반복 여부를 더 봐야 함</w:t>
            </w:r>
          </w:p>
        </w:tc>
        <w:tc>
          <w:tcPr>
            <w:tcW w:type="dxa" w:w="238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대시보드 표시</w:t>
            </w:r>
          </w:p>
        </w:tc>
        <w:tc>
          <w:tcPr>
            <w:tcW w:type="dxa" w:w="238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추가 이벤트 관찰</w:t>
            </w:r>
          </w:p>
        </w:tc>
      </w:tr>
      <w:tr>
        <w:trPr>
          <w:cantSplit/>
        </w:trPr>
        <w:tc>
          <w:tcPr>
            <w:tcW w:type="dxa" w:w="141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주의</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복수 신호, 반복·지속·상승 패턴</w:t>
            </w:r>
          </w:p>
        </w:tc>
        <w:tc>
          <w:tcPr>
            <w:tcW w:type="dxa" w:w="238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보호자 확인 요청 제안</w:t>
            </w:r>
          </w:p>
        </w:tc>
        <w:tc>
          <w:tcPr>
            <w:tcW w:type="dxa" w:w="238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거주자에게 안전하게 연락</w:t>
            </w:r>
          </w:p>
        </w:tc>
      </w:tr>
      <w:tr>
        <w:trPr>
          <w:cantSplit/>
        </w:trPr>
        <w:tc>
          <w:tcPr>
            <w:tcW w:type="dxa" w:w="141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긴급</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수동 SOS, 강제 개방 등 즉시 확인 단서</w:t>
            </w:r>
          </w:p>
        </w:tc>
        <w:tc>
          <w:tcPr>
            <w:tcW w:type="dxa" w:w="238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강한 알림·화면 강조</w:t>
            </w:r>
          </w:p>
        </w:tc>
        <w:tc>
          <w:tcPr>
            <w:tcW w:type="dxa" w:w="238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사람이 상황 확인 후 필요 시 112 신고</w:t>
            </w:r>
          </w:p>
        </w:tc>
      </w:tr>
      <w:tr>
        <w:trPr>
          <w:cantSplit/>
        </w:trPr>
        <w:tc>
          <w:tcPr>
            <w:tcW w:type="dxa" w:w="141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정보 부족</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센서 결측·시간 지연·품질 저하</w:t>
            </w:r>
          </w:p>
        </w:tc>
        <w:tc>
          <w:tcPr>
            <w:tcW w:type="dxa" w:w="238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장치 이상 표시</w:t>
            </w:r>
          </w:p>
        </w:tc>
        <w:tc>
          <w:tcPr>
            <w:tcW w:type="dxa" w:w="238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위험 없음으로 단정하지 않음</w:t>
            </w:r>
          </w:p>
        </w:tc>
      </w:tr>
    </w:tbl>
    <w:p>
      <w:pPr>
        <w:spacing w:after="0"/>
      </w:pPr>
    </w:p>
    <w:p>
      <w:pPr>
        <w:pStyle w:val="Heading2"/>
      </w:pPr>
      <w:r>
        <w:rPr>
          <w:rFonts w:ascii="맑은 고딕" w:hAnsi="맑은 고딕" w:eastAsia="맑은 고딕"/>
          <w:b/>
          <w:color w:val="2E75B6"/>
          <w:sz w:val="23"/>
        </w:rPr>
        <w:t>6.1 사건 처리 흐름</w:t>
      </w:r>
    </w:p>
    <w:tbl>
      <w:tblPr>
        <w:tblStyle w:val="TableGrid"/>
        <w:tblW w:type="auto" w:w="0"/>
        <w:jc w:val="center"/>
        <w:tblLayout w:type="fixed"/>
        <w:tblLook w:firstColumn="1" w:firstRow="1" w:lastColumn="0" w:lastRow="0" w:noHBand="0" w:noVBand="1" w:val="04A0"/>
      </w:tblPr>
      <w:tblGrid>
        <w:gridCol w:w="907"/>
        <w:gridCol w:w="4706"/>
        <w:gridCol w:w="4252"/>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순서</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처리</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남겨야 할 기록</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1</w:t>
            </w:r>
          </w:p>
        </w:tc>
        <w:tc>
          <w:tcPr>
            <w:tcW w:type="dxa" w:w="4706"/>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이벤트 스키마·시각·중복 여부 확인</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eventId, schemaVersion, 수신 오류</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2</w:t>
            </w:r>
          </w:p>
        </w:tc>
        <w:tc>
          <w:tcPr>
            <w:tcW w:type="dxa" w:w="4706"/>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같은 주거의 근접 이벤트를 incident로 그룹화</w:t>
            </w:r>
          </w:p>
        </w:tc>
        <w:tc>
          <w:tcPr>
            <w:tcW w:type="dxa" w:w="425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windowStart, windowEnd, 연결 eventId</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3</w:t>
            </w:r>
          </w:p>
        </w:tc>
        <w:tc>
          <w:tcPr>
            <w:tcW w:type="dxa" w:w="4706"/>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draft 또는 active 엔진 실행</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engineVersion, 입력요소, 결측 처리</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4</w:t>
            </w:r>
          </w:p>
        </w:tc>
        <w:tc>
          <w:tcPr>
            <w:tcW w:type="dxa" w:w="4706"/>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단계·이유·데이터 품질을 웹/모바일에 표시</w:t>
            </w:r>
          </w:p>
        </w:tc>
        <w:tc>
          <w:tcPr>
            <w:tcW w:type="dxa" w:w="425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score, level, reasons, reliability</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5</w:t>
            </w:r>
          </w:p>
        </w:tc>
        <w:tc>
          <w:tcPr>
            <w:tcW w:type="dxa" w:w="4706"/>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사용자·보호자가 상황을 확인하고 피드백</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safe, actual_risk, false_alarm, test, uncertain</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6</w:t>
            </w:r>
          </w:p>
        </w:tc>
        <w:tc>
          <w:tcPr>
            <w:tcW w:type="dxa" w:w="4706"/>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사건 종료 후 오경보·미탐 원인 검토</w:t>
            </w:r>
          </w:p>
        </w:tc>
        <w:tc>
          <w:tcPr>
            <w:tcW w:type="dxa" w:w="425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조치, 담당자, 개선 후보</w:t>
            </w:r>
          </w:p>
        </w:tc>
      </w:tr>
    </w:tbl>
    <w:p>
      <w:pPr>
        <w:spacing w:after="0"/>
      </w:pPr>
    </w:p>
    <w:tbl>
      <w:tblPr>
        <w:tblW w:type="auto" w:w="0"/>
        <w:jc w:val="center"/>
        <w:tblLayout w:type="fixed"/>
        <w:tblLook w:firstColumn="1" w:firstRow="1" w:lastColumn="0" w:lastRow="0" w:noHBand="0" w:noVBand="1" w:val="04A0"/>
      </w:tblPr>
      <w:tblGrid>
        <w:gridCol w:w="9866"/>
      </w:tblGrid>
      <w:tr>
        <w:tc>
          <w:tcPr>
            <w:tcW w:type="dxa" w:w="9866"/>
            <w:shd w:fill="FCE4D6"/>
            <w:tcMar>
              <w:top w:w="120" w:type="dxa"/>
              <w:start w:w="180" w:type="dxa"/>
              <w:bottom w:w="120" w:type="dxa"/>
              <w:end w:w="180" w:type="dxa"/>
            </w:tcMar>
            <w:tcBorders>
              <w:start w:val="single" w:sz="24" w:color="C00000"/>
              <w:top w:val="single" w:sz="4" w:color="FCE4D6"/>
              <w:bottom w:val="single" w:sz="4" w:color="FCE4D6"/>
              <w:end w:val="single" w:sz="4" w:color="FCE4D6"/>
            </w:tcBorders>
          </w:tcPr>
          <w:p>
            <w:pPr>
              <w:spacing w:before="0" w:after="40" w:line="252" w:lineRule="auto"/>
            </w:pPr>
            <w:r>
              <w:rPr>
                <w:rFonts w:ascii="맑은 고딕" w:hAnsi="맑은 고딕" w:eastAsia="맑은 고딕"/>
                <w:b/>
                <w:color w:val="17365D"/>
                <w:sz w:val="19"/>
              </w:rPr>
              <w:t>자동화 제한</w:t>
            </w:r>
          </w:p>
          <w:p>
            <w:pPr>
              <w:spacing w:before="0" w:after="0" w:line="259" w:lineRule="auto"/>
            </w:pPr>
            <w:r>
              <w:rPr>
                <w:rFonts w:ascii="맑은 고딕" w:hAnsi="맑은 고딕" w:eastAsia="맑은 고딕"/>
                <w:color w:val="1F2933"/>
                <w:sz w:val="17"/>
              </w:rPr>
              <w:t>위험도만으로 사람을 스토커·범죄자로 단정하지 않는다. 사용자 확인 없이 112·이웃·보호자에게 상세 개인정보를 자동 전송하지 않으며, 문을 자동 잠금·해제하는 기능도 캡스톤 범위에서는 제외한다.</w:t>
            </w:r>
          </w:p>
        </w:tc>
      </w:tr>
    </w:tbl>
    <w:p>
      <w:pPr>
        <w:spacing w:after="0"/>
      </w:pPr>
    </w:p>
    <w:p>
      <w:r>
        <w:br w:type="page"/>
      </w:r>
    </w:p>
    <w:p>
      <w:bookmarkStart w:id="7" w:name="section_7"/>
      <w:pPr>
        <w:pStyle w:val="Heading1"/>
        <w:pBdr>
          <w:bottom w:val="single" w:sz="12" w:space="4" w:color="2E75B6"/>
        </w:pBdr>
      </w:pPr>
      <w:r>
        <w:rPr>
          <w:rFonts w:ascii="맑은 고딕" w:hAnsi="맑은 고딕" w:eastAsia="맑은 고딕"/>
          <w:b/>
          <w:color w:val="17365D"/>
          <w:sz w:val="32"/>
        </w:rPr>
        <w:t>7. 검증 데이터와 실험 시나리오</w:t>
      </w:r>
      <w:bookmarkEnd w:id="7"/>
    </w:p>
    <w:p>
      <w:pPr>
        <w:spacing w:before="0" w:after="80" w:line="269" w:lineRule="auto"/>
      </w:pPr>
      <w:r>
        <w:rPr>
          <w:rFonts w:ascii="맑은 고딕" w:hAnsi="맑은 고딕" w:eastAsia="맑은 고딕"/>
        </w:rPr>
        <w:t>실제 사건 데이터를 바로 구하기 어렵기 때문에 먼저 재현 가능한 시나리오를 만든다. 같은 시나리오를 여러 사람이 여러 환경에서 반복하고, 센서 원본·엔진 결과·사람의 정답 라벨을 분리해서 저장한다.</w:t>
      </w:r>
    </w:p>
    <w:p>
      <w:pPr>
        <w:pStyle w:val="Heading2"/>
      </w:pPr>
      <w:r>
        <w:rPr>
          <w:rFonts w:ascii="맑은 고딕" w:hAnsi="맑은 고딕" w:eastAsia="맑은 고딕"/>
          <w:b/>
          <w:color w:val="2E75B6"/>
          <w:sz w:val="23"/>
        </w:rPr>
        <w:t>7.1 기본 시나리오</w:t>
      </w:r>
    </w:p>
    <w:tbl>
      <w:tblPr>
        <w:tblStyle w:val="TableGrid"/>
        <w:tblW w:type="auto" w:w="0"/>
        <w:jc w:val="center"/>
        <w:tblLayout w:type="fixed"/>
        <w:tblLook w:firstColumn="1" w:firstRow="1" w:lastColumn="0" w:lastRow="0" w:noHBand="0" w:noVBand="1" w:val="04A0"/>
      </w:tblPr>
      <w:tblGrid>
        <w:gridCol w:w="964"/>
        <w:gridCol w:w="4082"/>
        <w:gridCol w:w="2211"/>
        <w:gridCol w:w="2608"/>
      </w:tblGrid>
      <w:tr>
        <w:trPr>
          <w:tblHeader w:val="true"/>
          <w:cantSplit/>
        </w:trPr>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ID</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시나리오</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기대 라벨</w:t>
            </w:r>
          </w:p>
        </w:tc>
        <w:tc>
          <w:tcPr>
            <w:tcW w:type="dxa" w:w="2466"/>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확인할 요소</w:t>
            </w:r>
          </w:p>
        </w:tc>
      </w:tr>
      <w:tr>
        <w:trPr>
          <w:cantSplit/>
        </w:trPr>
        <w:tc>
          <w:tcPr>
            <w:tcW w:type="dxa" w:w="96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S01</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택배 기사가 20초 머물고 떠남</w:t>
            </w:r>
          </w:p>
        </w:tc>
        <w:tc>
          <w:tcPr>
            <w:tcW w:type="dxa" w:w="221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normal / expected</w:t>
            </w:r>
          </w:p>
        </w:tc>
        <w:tc>
          <w:tcPr>
            <w:tcW w:type="dxa" w:w="260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짧은 체류, 예정 방문</w:t>
            </w:r>
          </w:p>
        </w:tc>
      </w:tr>
      <w:tr>
        <w:trPr>
          <w:cantSplit/>
        </w:trPr>
        <w:tc>
          <w:tcPr>
            <w:tcW w:type="dxa" w:w="96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S02</w:t>
            </w:r>
          </w:p>
        </w:tc>
        <w:tc>
          <w:tcPr>
            <w:tcW w:type="dxa" w:w="408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방문자가 2분 이상 기다리지만 충격 없음</w:t>
            </w:r>
          </w:p>
        </w:tc>
        <w:tc>
          <w:tcPr>
            <w:tcW w:type="dxa" w:w="221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watch / uncertain</w:t>
            </w:r>
          </w:p>
        </w:tc>
        <w:tc>
          <w:tcPr>
            <w:tcW w:type="dxa" w:w="260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체류, 품질, 맥락</w:t>
            </w:r>
          </w:p>
        </w:tc>
      </w:tr>
      <w:tr>
        <w:trPr>
          <w:cantSplit/>
        </w:trPr>
        <w:tc>
          <w:tcPr>
            <w:tcW w:type="dxa" w:w="96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S03</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10분 안에 세 번 접근했다가 떠남</w:t>
            </w:r>
          </w:p>
        </w:tc>
        <w:tc>
          <w:tcPr>
            <w:tcW w:type="dxa" w:w="221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watch~warning 후보</w:t>
            </w:r>
          </w:p>
        </w:tc>
        <w:tc>
          <w:tcPr>
            <w:tcW w:type="dxa" w:w="260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접근 반복, 이벤트 밀도</w:t>
            </w:r>
          </w:p>
        </w:tc>
      </w:tr>
      <w:tr>
        <w:trPr>
          <w:cantSplit/>
        </w:trPr>
        <w:tc>
          <w:tcPr>
            <w:tcW w:type="dxa" w:w="96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S04</w:t>
            </w:r>
          </w:p>
        </w:tc>
        <w:tc>
          <w:tcPr>
            <w:tcW w:type="dxa" w:w="408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문을 여러 번 강하게 두드림</w:t>
            </w:r>
          </w:p>
        </w:tc>
        <w:tc>
          <w:tcPr>
            <w:tcW w:type="dxa" w:w="221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warning 후보</w:t>
            </w:r>
          </w:p>
        </w:tc>
        <w:tc>
          <w:tcPr>
            <w:tcW w:type="dxa" w:w="260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impact 강도·빈도</w:t>
            </w:r>
          </w:p>
        </w:tc>
      </w:tr>
      <w:tr>
        <w:trPr>
          <w:cantSplit/>
        </w:trPr>
        <w:tc>
          <w:tcPr>
            <w:tcW w:type="dxa" w:w="96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S05</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손잡이 조작과 인증 실패가 반복됨</w:t>
            </w:r>
          </w:p>
        </w:tc>
        <w:tc>
          <w:tcPr>
            <w:tcW w:type="dxa" w:w="221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warning 후보</w:t>
            </w:r>
          </w:p>
        </w:tc>
        <w:tc>
          <w:tcPr>
            <w:tcW w:type="dxa" w:w="260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handle/auth 반복</w:t>
            </w:r>
          </w:p>
        </w:tc>
      </w:tr>
      <w:tr>
        <w:trPr>
          <w:cantSplit/>
        </w:trPr>
        <w:tc>
          <w:tcPr>
            <w:tcW w:type="dxa" w:w="96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S06</w:t>
            </w:r>
          </w:p>
        </w:tc>
        <w:tc>
          <w:tcPr>
            <w:tcW w:type="dxa" w:w="408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충격 뒤 비정상 문 열림</w:t>
            </w:r>
          </w:p>
        </w:tc>
        <w:tc>
          <w:tcPr>
            <w:tcW w:type="dxa" w:w="221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critical 후보</w:t>
            </w:r>
          </w:p>
        </w:tc>
        <w:tc>
          <w:tcPr>
            <w:tcW w:type="dxa" w:w="260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강제 개방, 센서 일치</w:t>
            </w:r>
          </w:p>
        </w:tc>
      </w:tr>
      <w:tr>
        <w:trPr>
          <w:cantSplit/>
        </w:trPr>
        <w:tc>
          <w:tcPr>
            <w:tcW w:type="dxa" w:w="96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S07</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거주자가 수동 SOS를 누름</w:t>
            </w:r>
          </w:p>
        </w:tc>
        <w:tc>
          <w:tcPr>
            <w:tcW w:type="dxa" w:w="221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critical 후보</w:t>
            </w:r>
          </w:p>
        </w:tc>
        <w:tc>
          <w:tcPr>
            <w:tcW w:type="dxa" w:w="260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우선 확인 규칙</w:t>
            </w:r>
          </w:p>
        </w:tc>
      </w:tr>
      <w:tr>
        <w:trPr>
          <w:cantSplit/>
        </w:trPr>
        <w:tc>
          <w:tcPr>
            <w:tcW w:type="dxa" w:w="96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S08</w:t>
            </w:r>
          </w:p>
        </w:tc>
        <w:tc>
          <w:tcPr>
            <w:tcW w:type="dxa" w:w="408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센서 일부가 끊긴 상태에서 사람이 접근</w:t>
            </w:r>
          </w:p>
        </w:tc>
        <w:tc>
          <w:tcPr>
            <w:tcW w:type="dxa" w:w="2211"/>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insufficient</w:t>
            </w:r>
          </w:p>
        </w:tc>
        <w:tc>
          <w:tcPr>
            <w:tcW w:type="dxa" w:w="260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결측 처리, fail-safe</w:t>
            </w:r>
          </w:p>
        </w:tc>
      </w:tr>
      <w:tr>
        <w:trPr>
          <w:cantSplit/>
        </w:trPr>
        <w:tc>
          <w:tcPr>
            <w:tcW w:type="dxa" w:w="96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S09</w:t>
            </w:r>
          </w:p>
        </w:tc>
        <w:tc>
          <w:tcPr>
            <w:tcW w:type="dxa" w:w="408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테스트 이벤트가 실제 알림 채널로 들어감</w:t>
            </w:r>
          </w:p>
        </w:tc>
        <w:tc>
          <w:tcPr>
            <w:tcW w:type="dxa" w:w="2211"/>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test</w:t>
            </w:r>
          </w:p>
        </w:tc>
        <w:tc>
          <w:tcPr>
            <w:tcW w:type="dxa" w:w="260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데모 분리, 대외 알림 차단</w:t>
            </w:r>
          </w:p>
        </w:tc>
      </w:tr>
    </w:tbl>
    <w:p>
      <w:pPr>
        <w:spacing w:after="0"/>
      </w:pPr>
    </w:p>
    <w:p>
      <w:pPr>
        <w:pStyle w:val="Heading2"/>
      </w:pPr>
      <w:r>
        <w:rPr>
          <w:rFonts w:ascii="맑은 고딕" w:hAnsi="맑은 고딕" w:eastAsia="맑은 고딕"/>
          <w:b/>
          <w:color w:val="2E75B6"/>
          <w:sz w:val="23"/>
        </w:rPr>
        <w:t>7.2 캡스톤 수준의 반복 계획</w:t>
      </w:r>
    </w:p>
    <w:tbl>
      <w:tblPr>
        <w:tblStyle w:val="TableGrid"/>
        <w:tblW w:type="auto" w:w="0"/>
        <w:jc w:val="center"/>
        <w:tblLayout w:type="fixed"/>
        <w:tblLook w:firstColumn="1" w:firstRow="1" w:lastColumn="0" w:lastRow="0" w:noHBand="0" w:noVBand="1" w:val="04A0"/>
      </w:tblPr>
      <w:tblGrid>
        <w:gridCol w:w="1984"/>
        <w:gridCol w:w="3118"/>
        <w:gridCol w:w="4762"/>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항목</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권장 시작값</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6"/>
              </w:rPr>
              <w:t>이유</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반복 횟수</w:t>
            </w:r>
          </w:p>
        </w:tc>
        <w:tc>
          <w:tcPr>
            <w:tcW w:type="dxa" w:w="311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시나리오별 20회 이상</w:t>
            </w:r>
          </w:p>
        </w:tc>
        <w:tc>
          <w:tcPr>
            <w:tcW w:type="dxa" w:w="476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초기 비교가 가능한 최소한의 반복 확보</w:t>
            </w:r>
          </w:p>
        </w:tc>
      </w:tr>
      <w:tr>
        <w:trPr>
          <w:cantSplit/>
        </w:trPr>
        <w:tc>
          <w:tcPr>
            <w:tcW w:type="dxa" w:w="198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참여 조건</w:t>
            </w:r>
          </w:p>
        </w:tc>
        <w:tc>
          <w:tcPr>
            <w:tcW w:type="dxa" w:w="311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사람 3명 이상, 거리·속도 변화</w:t>
            </w:r>
          </w:p>
        </w:tc>
        <w:tc>
          <w:tcPr>
            <w:tcW w:type="dxa" w:w="476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한 사람의 움직임에만 맞는 규칙 방지</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환경 조건</w:t>
            </w:r>
          </w:p>
        </w:tc>
        <w:tc>
          <w:tcPr>
            <w:tcW w:type="dxa" w:w="311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낮/밤, 문 열림/닫힘, 네트워크 지연</w:t>
            </w:r>
          </w:p>
        </w:tc>
        <w:tc>
          <w:tcPr>
            <w:tcW w:type="dxa" w:w="476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실제 사용 조건의 차이 확인</w:t>
            </w:r>
          </w:p>
        </w:tc>
      </w:tr>
      <w:tr>
        <w:trPr>
          <w:cantSplit/>
        </w:trPr>
        <w:tc>
          <w:tcPr>
            <w:tcW w:type="dxa" w:w="198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데이터 분리</w:t>
            </w:r>
          </w:p>
        </w:tc>
        <w:tc>
          <w:tcPr>
            <w:tcW w:type="dxa" w:w="311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조정용 70% / 최종 확인용 30%</w:t>
            </w:r>
          </w:p>
        </w:tc>
        <w:tc>
          <w:tcPr>
            <w:tcW w:type="dxa" w:w="476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같은 데이터로 맞추고 평가하는 문제 완화</w:t>
            </w:r>
          </w:p>
        </w:tc>
      </w:tr>
      <w:tr>
        <w:trPr>
          <w:cantSplit/>
        </w:trPr>
        <w:tc>
          <w:tcPr>
            <w:tcW w:type="dxa" w:w="198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6"/>
              </w:rPr>
              <w:t>블라인드 라벨</w:t>
            </w:r>
          </w:p>
        </w:tc>
        <w:tc>
          <w:tcPr>
            <w:tcW w:type="dxa" w:w="311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가능하면 엔진 결과를 보지 않고 정답 기록</w:t>
            </w:r>
          </w:p>
        </w:tc>
        <w:tc>
          <w:tcPr>
            <w:tcW w:type="dxa" w:w="476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6"/>
              </w:rPr>
              <w:t>결과에 맞춘 사후 판단 방지</w:t>
            </w:r>
          </w:p>
        </w:tc>
      </w:tr>
    </w:tbl>
    <w:p>
      <w:pPr>
        <w:spacing w:after="0"/>
      </w:pPr>
    </w:p>
    <w:p>
      <w:r>
        <w:br w:type="page"/>
      </w:r>
    </w:p>
    <w:p>
      <w:bookmarkStart w:id="8" w:name="section_8"/>
      <w:pPr>
        <w:pStyle w:val="Heading1"/>
        <w:pBdr>
          <w:bottom w:val="single" w:sz="12" w:space="4" w:color="2E75B6"/>
        </w:pBdr>
      </w:pPr>
      <w:r>
        <w:rPr>
          <w:rFonts w:ascii="맑은 고딕" w:hAnsi="맑은 고딕" w:eastAsia="맑은 고딕"/>
          <w:b/>
          <w:color w:val="17365D"/>
          <w:sz w:val="32"/>
        </w:rPr>
        <w:t>8. 평가 지표와 통과 기준</w:t>
      </w:r>
      <w:bookmarkEnd w:id="8"/>
    </w:p>
    <w:p>
      <w:pPr>
        <w:spacing w:before="0" w:after="80" w:line="269" w:lineRule="auto"/>
      </w:pPr>
      <w:r>
        <w:rPr>
          <w:rFonts w:ascii="맑은 고딕" w:hAnsi="맑은 고딕" w:eastAsia="맑은 고딕"/>
        </w:rPr>
        <w:t>위험 사건은 정상 상황보다 훨씬 적을 수 있다. 이때 전체 정확도만 보면 대부분을 정상으로 판단하는 엔진도 좋아 보일 수 있다. NIST AI RMF도 예상 사용 조건을 반영한 시험세트, 오탐·미탐, 신뢰성, 지연과 한계를 함께 문서화하도록 제안한다. [R4]</w:t>
      </w:r>
    </w:p>
    <w:p>
      <w:pPr>
        <w:pStyle w:val="Heading2"/>
      </w:pPr>
      <w:r>
        <w:rPr>
          <w:rFonts w:ascii="맑은 고딕" w:hAnsi="맑은 고딕" w:eastAsia="맑은 고딕"/>
          <w:b/>
          <w:color w:val="2E75B6"/>
          <w:sz w:val="23"/>
        </w:rPr>
        <w:t>8.1 반드시 같이 볼 지표</w:t>
      </w:r>
    </w:p>
    <w:tbl>
      <w:tblPr>
        <w:tblStyle w:val="TableGrid"/>
        <w:tblW w:type="auto" w:w="0"/>
        <w:jc w:val="center"/>
        <w:tblLayout w:type="fixed"/>
        <w:tblLook w:firstColumn="1" w:firstRow="1" w:lastColumn="0" w:lastRow="0" w:noHBand="0" w:noVBand="1" w:val="04A0"/>
      </w:tblPr>
      <w:tblGrid>
        <w:gridCol w:w="1814"/>
        <w:gridCol w:w="4252"/>
        <w:gridCol w:w="3798"/>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지표</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질문</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이번 프로젝트의 사용</w:t>
            </w:r>
          </w:p>
        </w:tc>
      </w:tr>
      <w:tr>
        <w:trPr>
          <w:cantSplit/>
        </w:trPr>
        <w:tc>
          <w:tcPr>
            <w:tcW w:type="dxa" w:w="181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재현율(Recall)</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실제 위험 시나리오를 얼마나 놓치지 않았는가?</w:t>
            </w:r>
          </w:p>
        </w:tc>
        <w:tc>
          <w:tcPr>
            <w:tcW w:type="dxa" w:w="379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미탐 관리의 핵심</w:t>
            </w:r>
          </w:p>
        </w:tc>
      </w:tr>
      <w:tr>
        <w:trPr>
          <w:cantSplit/>
        </w:trPr>
        <w:tc>
          <w:tcPr>
            <w:tcW w:type="dxa" w:w="181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정밀도(Precision)</w:t>
            </w:r>
          </w:p>
        </w:tc>
        <w:tc>
          <w:tcPr>
            <w:tcW w:type="dxa" w:w="425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위험으로 알린 것 중 실제 위험은 얼마나 되는가?</w:t>
            </w:r>
          </w:p>
        </w:tc>
        <w:tc>
          <w:tcPr>
            <w:tcW w:type="dxa" w:w="379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불필요한 알림 피로 확인</w:t>
            </w:r>
          </w:p>
        </w:tc>
      </w:tr>
      <w:tr>
        <w:trPr>
          <w:cantSplit/>
        </w:trPr>
        <w:tc>
          <w:tcPr>
            <w:tcW w:type="dxa" w:w="181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오경보율</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정상 시나리오를 위험으로 본 비율은?</w:t>
            </w:r>
          </w:p>
        </w:tc>
        <w:tc>
          <w:tcPr>
            <w:tcW w:type="dxa" w:w="379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택배·방문객 구분 확인</w:t>
            </w:r>
          </w:p>
        </w:tc>
      </w:tr>
      <w:tr>
        <w:trPr>
          <w:cantSplit/>
        </w:trPr>
        <w:tc>
          <w:tcPr>
            <w:tcW w:type="dxa" w:w="181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미탐률</w:t>
            </w:r>
          </w:p>
        </w:tc>
        <w:tc>
          <w:tcPr>
            <w:tcW w:type="dxa" w:w="425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위험 시나리오를 정상으로 본 비율은?</w:t>
            </w:r>
          </w:p>
        </w:tc>
        <w:tc>
          <w:tcPr>
            <w:tcW w:type="dxa" w:w="379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가장 위험한 실패 유형 확인</w:t>
            </w:r>
          </w:p>
        </w:tc>
      </w:tr>
      <w:tr>
        <w:trPr>
          <w:cantSplit/>
        </w:trPr>
        <w:tc>
          <w:tcPr>
            <w:tcW w:type="dxa" w:w="181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알림 지연</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발생 후 화면·알림까지 얼마나 걸렸는가?</w:t>
            </w:r>
          </w:p>
        </w:tc>
        <w:tc>
          <w:tcPr>
            <w:tcW w:type="dxa" w:w="379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실시간성 확인</w:t>
            </w:r>
          </w:p>
        </w:tc>
      </w:tr>
      <w:tr>
        <w:trPr>
          <w:cantSplit/>
        </w:trPr>
        <w:tc>
          <w:tcPr>
            <w:tcW w:type="dxa" w:w="1814"/>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결측률</w:t>
            </w:r>
          </w:p>
        </w:tc>
        <w:tc>
          <w:tcPr>
            <w:tcW w:type="dxa" w:w="425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필요 센서값이 없는 사건은 얼마나 되는가?</w:t>
            </w:r>
          </w:p>
        </w:tc>
        <w:tc>
          <w:tcPr>
            <w:tcW w:type="dxa" w:w="3798"/>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장치·네트워크 품질 확인</w:t>
            </w:r>
          </w:p>
        </w:tc>
      </w:tr>
      <w:tr>
        <w:trPr>
          <w:cantSplit/>
        </w:trPr>
        <w:tc>
          <w:tcPr>
            <w:tcW w:type="dxa" w:w="1814"/>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단계 일치</w:t>
            </w:r>
          </w:p>
        </w:tc>
        <w:tc>
          <w:tcPr>
            <w:tcW w:type="dxa" w:w="425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같은 시나리오에서 결과가 안정적으로 나오는가?</w:t>
            </w:r>
          </w:p>
        </w:tc>
        <w:tc>
          <w:tcPr>
            <w:tcW w:type="dxa" w:w="3798"/>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규칙의 재현성 확인</w:t>
            </w:r>
          </w:p>
        </w:tc>
      </w:tr>
    </w:tbl>
    <w:p>
      <w:pPr>
        <w:spacing w:after="0"/>
      </w:pPr>
    </w:p>
    <w:p>
      <w:pPr>
        <w:pStyle w:val="Heading2"/>
      </w:pPr>
      <w:r>
        <w:rPr>
          <w:rFonts w:ascii="맑은 고딕" w:hAnsi="맑은 고딕" w:eastAsia="맑은 고딕"/>
          <w:b/>
          <w:color w:val="2E75B6"/>
          <w:sz w:val="23"/>
        </w:rPr>
        <w:t>8.2 active 전환 조건</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시나리오와 라벨 기준을 팀 문서로 고정했다.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엔진 버전, 가중치, 임계값, 결측 처리와 변경 이유를 기록했다.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조정에 쓰지 않은 데이터에서 오경보·미탐·지연을 다시 확인했다.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센서 하나가 끊기거나 지연될 때 정상으로 오판하지 않는지 확인했다.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결과에 대표 근거와 데이터 품질을 함께 표시한다.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실제 센서·실제 사용자 연결 전 정책 문서와 개인정보 처리 범위를 다시 승인했다.</w:t>
      </w:r>
    </w:p>
    <w:tbl>
      <w:tblPr>
        <w:tblW w:type="auto" w:w="0"/>
        <w:jc w:val="center"/>
        <w:tblLayout w:type="fixed"/>
        <w:tblLook w:firstColumn="1" w:firstRow="1" w:lastColumn="0" w:lastRow="0" w:noHBand="0" w:noVBand="1" w:val="04A0"/>
      </w:tblPr>
      <w:tblGrid>
        <w:gridCol w:w="9866"/>
      </w:tblGrid>
      <w:tr>
        <w:tc>
          <w:tcPr>
            <w:tcW w:type="dxa" w:w="9866"/>
            <w:shd w:fill="FFF4CC"/>
            <w:tcMar>
              <w:top w:w="120" w:type="dxa"/>
              <w:start w:w="180" w:type="dxa"/>
              <w:bottom w:w="120" w:type="dxa"/>
              <w:end w:w="180" w:type="dxa"/>
            </w:tcMar>
            <w:tcBorders>
              <w:start w:val="single" w:sz="24" w:color="BF9000"/>
              <w:top w:val="single" w:sz="4" w:color="FFF4CC"/>
              <w:bottom w:val="single" w:sz="4" w:color="FFF4CC"/>
              <w:end w:val="single" w:sz="4" w:color="FFF4CC"/>
            </w:tcBorders>
          </w:tcPr>
          <w:p>
            <w:pPr>
              <w:spacing w:before="0" w:after="40" w:line="252" w:lineRule="auto"/>
            </w:pPr>
            <w:r>
              <w:rPr>
                <w:rFonts w:ascii="맑은 고딕" w:hAnsi="맑은 고딕" w:eastAsia="맑은 고딕"/>
                <w:b/>
                <w:color w:val="17365D"/>
                <w:sz w:val="19"/>
              </w:rPr>
              <w:t>수치 목표는 아직 TBD</w:t>
            </w:r>
          </w:p>
          <w:p>
            <w:pPr>
              <w:spacing w:before="0" w:after="0" w:line="259" w:lineRule="auto"/>
            </w:pPr>
            <w:r>
              <w:rPr>
                <w:rFonts w:ascii="맑은 고딕" w:hAnsi="맑은 고딕" w:eastAsia="맑은 고딕"/>
                <w:color w:val="1F2933"/>
                <w:sz w:val="17"/>
              </w:rPr>
              <w:t>이번 초안은 평가 방법을 먼저 정한다. 재현율 몇 %, 오경보율 몇 %처럼 최종 통과 수치는 파일럿 데이터를 본 뒤 팀과 지도교수가 정한다. 데이터 없이 목표 숫자를 먼저 확정하지 않는다.</w:t>
            </w:r>
          </w:p>
        </w:tc>
      </w:tr>
    </w:tbl>
    <w:p>
      <w:pPr>
        <w:spacing w:after="0"/>
      </w:pPr>
    </w:p>
    <w:p>
      <w:r>
        <w:br w:type="page"/>
      </w:r>
    </w:p>
    <w:p>
      <w:bookmarkStart w:id="9" w:name="section_9"/>
      <w:pPr>
        <w:pStyle w:val="Heading1"/>
        <w:pBdr>
          <w:bottom w:val="single" w:sz="12" w:space="4" w:color="2E75B6"/>
        </w:pBdr>
      </w:pPr>
      <w:r>
        <w:rPr>
          <w:rFonts w:ascii="맑은 고딕" w:hAnsi="맑은 고딕" w:eastAsia="맑은 고딕"/>
          <w:b/>
          <w:color w:val="17365D"/>
          <w:sz w:val="32"/>
        </w:rPr>
        <w:t>9. 개발 순서와 담당 작업</w:t>
      </w:r>
      <w:bookmarkEnd w:id="9"/>
    </w:p>
    <w:p>
      <w:pPr>
        <w:spacing w:before="0" w:after="80" w:line="269" w:lineRule="auto"/>
      </w:pPr>
      <w:r>
        <w:rPr>
          <w:rFonts w:ascii="맑은 고딕" w:hAnsi="맑은 고딕" w:eastAsia="맑은 고딕"/>
        </w:rPr>
        <w:t>센서와 계산 로직이 아직 바뀔 수 있으므로, SW는 데이터 계약과 기록 구조부터 고정하는 것이 효율적이다. 아래 순서로 진행하면 다른 계층에서 센서가 들어와도 전체 구조를 다시 만들 필요가 없다.</w:t>
      </w:r>
    </w:p>
    <w:tbl>
      <w:tblPr>
        <w:tblStyle w:val="TableGrid"/>
        <w:tblW w:type="auto" w:w="0"/>
        <w:jc w:val="center"/>
        <w:tblLayout w:type="fixed"/>
        <w:tblLook w:firstColumn="1" w:firstRow="1" w:lastColumn="0" w:lastRow="0" w:noHBand="0" w:noVBand="1" w:val="04A0"/>
      </w:tblPr>
      <w:tblGrid>
        <w:gridCol w:w="907"/>
        <w:gridCol w:w="3685"/>
        <w:gridCol w:w="5272"/>
      </w:tblGrid>
      <w:tr>
        <w:trPr>
          <w:tblHeader w:val="true"/>
          <w:cantSplit/>
        </w:trPr>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순서</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작업</w:t>
            </w:r>
          </w:p>
        </w:tc>
        <w:tc>
          <w:tcPr>
            <w:tcW w:type="dxa" w:w="3289"/>
            <w:shd w:fill="17365D"/>
            <w:vAlign w:val="center"/>
            <w:tcMar>
              <w:top w:w="85" w:type="dxa"/>
              <w:start w:w="80" w:type="dxa"/>
              <w:bottom w:w="85" w:type="dxa"/>
              <w:end w:w="80" w:type="dxa"/>
            </w:tcMar>
          </w:tcPr>
          <w:p>
            <w:pPr>
              <w:spacing w:before="0" w:after="0" w:line="240" w:lineRule="auto"/>
              <w:jc w:val="center"/>
            </w:pPr>
            <w:r>
              <w:rPr>
                <w:rFonts w:ascii="맑은 고딕" w:hAnsi="맑은 고딕" w:eastAsia="맑은 고딕"/>
                <w:b/>
                <w:color w:val="FFFFFF"/>
                <w:sz w:val="15"/>
              </w:rPr>
              <w:t>완료 기준</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1</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SensorEvent JSON Schema 확정</w:t>
            </w:r>
          </w:p>
        </w:tc>
        <w:tc>
          <w:tcPr>
            <w:tcW w:type="dxa" w:w="527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필수 필드·단위·quality·schemaVersion 예제 작성</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2</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센서 이벤트 API 검증 강화</w:t>
            </w:r>
          </w:p>
        </w:tc>
        <w:tc>
          <w:tcPr>
            <w:tcW w:type="dxa" w:w="527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중복 eventId, 잘못된 단위·시각·크기 오류 처리</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3</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incident 그룹화 규칙 구현</w:t>
            </w:r>
          </w:p>
        </w:tc>
        <w:tc>
          <w:tcPr>
            <w:tcW w:type="dxa" w:w="527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2분 기본 창을 설정값으로 분리하고 테스트 작성</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4</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RiskEngine 인터페이스 고정</w:t>
            </w:r>
          </w:p>
        </w:tc>
        <w:tc>
          <w:tcPr>
            <w:tcW w:type="dxa" w:w="527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더미 엔진과 실제 엔진이 같은 입출력 사용</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5</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factor observation 저장</w:t>
            </w:r>
          </w:p>
        </w:tc>
        <w:tc>
          <w:tcPr>
            <w:tcW w:type="dxa" w:w="527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결과마다 사용 요소·값·신뢰도·근거 이벤트 기록</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6</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시나리오 더미 데이터 생성</w:t>
            </w:r>
          </w:p>
        </w:tc>
        <w:tc>
          <w:tcPr>
            <w:tcW w:type="dxa" w:w="527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S01~S09를 API와 DB에서 재현 가능</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7</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웹·모바일에 근거 표시</w:t>
            </w:r>
          </w:p>
        </w:tc>
        <w:tc>
          <w:tcPr>
            <w:tcW w:type="dxa" w:w="527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점수, 단계, DEMO, 대표 이유, 데이터 품질 표시</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8</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피드백 API 구현</w:t>
            </w:r>
          </w:p>
        </w:tc>
        <w:tc>
          <w:tcPr>
            <w:tcW w:type="dxa" w:w="527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safe / actual_risk / false_alarm / test / uncertain 저장</w:t>
            </w:r>
          </w:p>
        </w:tc>
      </w:tr>
      <w:tr>
        <w:trPr>
          <w:cantSplit/>
        </w:trPr>
        <w:tc>
          <w:tcPr>
            <w:tcW w:type="dxa" w:w="907"/>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9</w:t>
            </w:r>
          </w:p>
        </w:tc>
        <w:tc>
          <w:tcPr>
            <w:tcW w:type="dxa" w:w="3685"/>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평가 스크립트 작성</w:t>
            </w:r>
          </w:p>
        </w:tc>
        <w:tc>
          <w:tcPr>
            <w:tcW w:type="dxa" w:w="5272"/>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precision, recall, 오경보, 미탐, 지연 보고서 생성</w:t>
            </w:r>
          </w:p>
        </w:tc>
      </w:tr>
      <w:tr>
        <w:trPr>
          <w:cantSplit/>
        </w:trPr>
        <w:tc>
          <w:tcPr>
            <w:tcW w:type="dxa" w:w="907"/>
            <w:shd w:fill="F8FAFC"/>
            <w:vAlign w:val="center"/>
            <w:tcMar>
              <w:top w:w="70" w:type="dxa"/>
              <w:start w:w="75" w:type="dxa"/>
              <w:bottom w:w="70" w:type="dxa"/>
              <w:end w:w="75" w:type="dxa"/>
            </w:tcMar>
          </w:tcPr>
          <w:p>
            <w:pPr>
              <w:spacing w:before="0" w:after="0" w:line="245" w:lineRule="auto"/>
              <w:jc w:val="center"/>
            </w:pPr>
            <w:r>
              <w:rPr>
                <w:rFonts w:ascii="맑은 고딕" w:hAnsi="맑은 고딕" w:eastAsia="맑은 고딕"/>
                <w:b/>
                <w:color w:val="1F2933"/>
                <w:sz w:val="15"/>
              </w:rPr>
              <w:t>10</w:t>
            </w:r>
          </w:p>
        </w:tc>
        <w:tc>
          <w:tcPr>
            <w:tcW w:type="dxa" w:w="3685"/>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active 승인 절차 연결</w:t>
            </w:r>
          </w:p>
        </w:tc>
        <w:tc>
          <w:tcPr>
            <w:tcW w:type="dxa" w:w="5272"/>
            <w:shd w:fill="F8FAFC"/>
            <w:vAlign w:val="center"/>
            <w:tcMar>
              <w:top w:w="70" w:type="dxa"/>
              <w:start w:w="75" w:type="dxa"/>
              <w:bottom w:w="70" w:type="dxa"/>
              <w:end w:w="75" w:type="dxa"/>
            </w:tcMar>
          </w:tcPr>
          <w:p>
            <w:pPr>
              <w:spacing w:before="0" w:after="0" w:line="245" w:lineRule="auto"/>
              <w:jc w:val="left"/>
            </w:pPr>
            <w:r>
              <w:rPr>
                <w:rFonts w:ascii="맑은 고딕" w:hAnsi="맑은 고딕" w:eastAsia="맑은 고딕"/>
                <w:b w:val="0"/>
                <w:color w:val="1F2933"/>
                <w:sz w:val="15"/>
              </w:rPr>
              <w:t>draft 결과 검증 후 승인된 버전만 active 가능</w:t>
            </w:r>
          </w:p>
        </w:tc>
      </w:tr>
    </w:tbl>
    <w:p>
      <w:pPr>
        <w:spacing w:after="0"/>
      </w:pPr>
    </w:p>
    <w:p>
      <w:pPr>
        <w:pStyle w:val="Heading2"/>
      </w:pPr>
      <w:r>
        <w:rPr>
          <w:rFonts w:ascii="맑은 고딕" w:hAnsi="맑은 고딕" w:eastAsia="맑은 고딕"/>
          <w:b/>
          <w:color w:val="2E75B6"/>
          <w:sz w:val="23"/>
        </w:rPr>
        <w:t>9.1 정책 담당 체크</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실험 참여자에게 목적, 수집 항목, 보존기간, 삭제 방법을 설명한다.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더미·테스트 데이터와 실제 참여자 데이터를 DB와 화면에서 분리한다.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관계·위협 등 민감 맥락은 선택 입력으로 두고 최소한으로 저장한다.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영상이 필요해지는 순간 카메라 설치 환경과 별도 운영 방침을 다시 검토한다.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문서 버전과 코드의 engineVersion이 맞는지 발표 전 확인한다.</w:t>
      </w:r>
    </w:p>
    <w:p>
      <w:r>
        <w:br w:type="page"/>
      </w:r>
    </w:p>
    <w:p>
      <w:bookmarkStart w:id="10" w:name="section_10"/>
      <w:pPr>
        <w:pStyle w:val="Heading1"/>
        <w:pBdr>
          <w:bottom w:val="single" w:sz="12" w:space="4" w:color="2E75B6"/>
        </w:pBdr>
      </w:pPr>
      <w:r>
        <w:rPr>
          <w:rFonts w:ascii="맑은 고딕" w:hAnsi="맑은 고딕" w:eastAsia="맑은 고딕"/>
          <w:b/>
          <w:color w:val="17365D"/>
          <w:sz w:val="32"/>
        </w:rPr>
        <w:t>10. 한계와 참고 근거</w:t>
      </w:r>
      <w:bookmarkEnd w:id="10"/>
    </w:p>
    <w:p>
      <w:pPr>
        <w:pStyle w:val="Heading2"/>
      </w:pPr>
      <w:r>
        <w:rPr>
          <w:rFonts w:ascii="맑은 고딕" w:hAnsi="맑은 고딕" w:eastAsia="맑은 고딕"/>
          <w:b/>
          <w:color w:val="2E75B6"/>
          <w:sz w:val="23"/>
        </w:rPr>
        <w:t>10.1 현재 한계</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현재 점수와 단계는 더미 값이며, 실제 위험을 예측하도록 검증되지 않았다.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현관 센서만으로 사람의 의도, 관계, 위협의 맥락을 정확히 알 수 없다.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같은 행동도 공동주택·단독주택, 택배 환경, 문 구조에 따라 다르게 측정될 수 있다.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실제 위험 사건이 적기 때문에 시나리오 실험 성능이 현실 성능을 그대로 보장하지 않는다.</w:t>
      </w:r>
    </w:p>
    <w:p>
      <w:pPr>
        <w:spacing w:before="0" w:after="60" w:line="259" w:lineRule="auto"/>
        <w:ind w:left="227" w:hanging="227"/>
      </w:pPr>
      <w:r>
        <w:rPr>
          <w:rFonts w:ascii="맑은 고딕" w:hAnsi="맑은 고딕" w:eastAsia="맑은 고딕"/>
          <w:b/>
          <w:color w:val="2E75B6"/>
        </w:rPr>
        <w:t xml:space="preserve">○ </w:t>
      </w:r>
      <w:r>
        <w:rPr>
          <w:rFonts w:ascii="맑은 고딕" w:hAnsi="맑은 고딕" w:eastAsia="맑은 고딕"/>
          <w:sz w:val="18"/>
        </w:rPr>
        <w:t>이 문서는 캡스톤 내부 설계 기준이며 법률 자문이나 수사기관의 위험평가를 대체하지 않는다.</w:t>
      </w:r>
    </w:p>
    <w:p>
      <w:pPr>
        <w:pStyle w:val="Heading2"/>
      </w:pPr>
      <w:r>
        <w:rPr>
          <w:rFonts w:ascii="맑은 고딕" w:hAnsi="맑은 고딕" w:eastAsia="맑은 고딕"/>
          <w:b/>
          <w:color w:val="2E75B6"/>
          <w:sz w:val="23"/>
        </w:rPr>
        <w:t>10.2 참고자료</w:t>
      </w:r>
    </w:p>
    <w:tbl>
      <w:tblPr>
        <w:tblStyle w:val="TableGrid"/>
        <w:tblW w:type="auto" w:w="0"/>
        <w:jc w:val="center"/>
        <w:tblLayout w:type="fixed"/>
        <w:tblLook w:firstColumn="1" w:firstRow="1" w:lastColumn="0" w:lastRow="0" w:noHBand="0" w:noVBand="1" w:val="04A0"/>
      </w:tblPr>
      <w:tblGrid>
        <w:gridCol w:w="1020"/>
        <w:gridCol w:w="8844"/>
      </w:tblGrid>
      <w:tr>
        <w:trPr>
          <w:tblHeader w:val="true"/>
          <w:cantSplit/>
        </w:trPr>
        <w:tc>
          <w:tcPr>
            <w:tcW w:type="dxa" w:w="4933"/>
            <w:shd w:fill="17365D"/>
            <w:tcMar>
              <w:top w:w="80" w:type="dxa"/>
              <w:start w:w="90" w:type="dxa"/>
              <w:bottom w:w="80" w:type="dxa"/>
              <w:end w:w="90" w:type="dxa"/>
            </w:tcMar>
          </w:tcPr>
          <w:p>
            <w:pPr>
              <w:jc w:val="center"/>
            </w:pPr>
            <w:r>
              <w:rPr>
                <w:rFonts w:ascii="맑은 고딕" w:hAnsi="맑은 고딕" w:eastAsia="맑은 고딕"/>
                <w:b/>
                <w:color w:val="FFFFFF"/>
                <w:sz w:val="16"/>
              </w:rPr>
              <w:t>번호</w:t>
            </w:r>
          </w:p>
        </w:tc>
        <w:tc>
          <w:tcPr>
            <w:tcW w:type="dxa" w:w="4933"/>
            <w:shd w:fill="17365D"/>
            <w:tcMar>
              <w:top w:w="80" w:type="dxa"/>
              <w:start w:w="90" w:type="dxa"/>
              <w:bottom w:w="80" w:type="dxa"/>
              <w:end w:w="90" w:type="dxa"/>
            </w:tcMar>
          </w:tcPr>
          <w:p>
            <w:pPr>
              <w:jc w:val="center"/>
            </w:pPr>
            <w:r>
              <w:rPr>
                <w:rFonts w:ascii="맑은 고딕" w:hAnsi="맑은 고딕" w:eastAsia="맑은 고딕"/>
                <w:b/>
                <w:color w:val="FFFFFF"/>
                <w:sz w:val="16"/>
              </w:rPr>
              <w:t>자료</w:t>
            </w:r>
          </w:p>
        </w:tc>
      </w:tr>
      <w:tr>
        <w:trPr>
          <w:cantSplit/>
        </w:trPr>
        <w:tc>
          <w:tcPr>
            <w:tcW w:type="dxa" w:w="1020"/>
            <w:tcMar>
              <w:top w:w="85" w:type="dxa"/>
              <w:start w:w="85" w:type="dxa"/>
              <w:bottom w:w="85" w:type="dxa"/>
              <w:end w:w="85" w:type="dxa"/>
            </w:tcMar>
          </w:tcPr>
          <w:p>
            <w:pPr>
              <w:jc w:val="center"/>
            </w:pPr>
            <w:r>
              <w:rPr>
                <w:rFonts w:ascii="맑은 고딕" w:hAnsi="맑은 고딕" w:eastAsia="맑은 고딕"/>
                <w:b/>
                <w:color w:val="17365D"/>
                <w:sz w:val="16"/>
              </w:rPr>
              <w:t>R1</w:t>
            </w:r>
          </w:p>
        </w:tc>
        <w:tc>
          <w:tcPr>
            <w:tcW w:type="dxa" w:w="8844"/>
            <w:tcMar>
              <w:top w:w="85" w:type="dxa"/>
              <w:start w:w="85" w:type="dxa"/>
              <w:bottom w:w="85" w:type="dxa"/>
              <w:end w:w="85" w:type="dxa"/>
            </w:tcMar>
          </w:tcPr>
          <w:p>
            <w:pPr>
              <w:spacing w:before="0" w:after="20" w:line="240" w:lineRule="auto"/>
            </w:pPr>
            <w:r>
              <w:rPr>
                <w:rFonts w:ascii="맑은 고딕" w:hAnsi="맑은 고딕" w:eastAsia="맑은 고딕"/>
                <w:color w:val="1F2933"/>
                <w:sz w:val="15"/>
              </w:rPr>
              <w:t>국가법령정보센터 — 스토킹범죄의 처벌 등에 관한 법률, 제2조 정의</w:t>
            </w:r>
          </w:p>
          <w:p>
            <w:pPr>
              <w:spacing w:before="0" w:after="0" w:line="240" w:lineRule="auto"/>
            </w:pPr>
            <w:hyperlink r:id="rId11">
              <w:r>
                <w:rPr>
                  <w:color w:val="2E75B6"/>
                  <w:u w:val="single"/>
                </w:rPr>
                <w:t>https://www.law.go.kr/LSW/lsInfoP.do?ancYnChk=0&amp;chrClsCd=010202&amp;efYd=20240112&amp;lsiSeq=252483&amp;urlMode=lsInfoP</w:t>
              </w:r>
            </w:hyperlink>
          </w:p>
        </w:tc>
      </w:tr>
      <w:tr>
        <w:trPr>
          <w:cantSplit/>
        </w:trPr>
        <w:tc>
          <w:tcPr>
            <w:tcW w:type="dxa" w:w="1020"/>
            <w:tcMar>
              <w:top w:w="85" w:type="dxa"/>
              <w:start w:w="85" w:type="dxa"/>
              <w:bottom w:w="85" w:type="dxa"/>
              <w:end w:w="85" w:type="dxa"/>
            </w:tcMar>
          </w:tcPr>
          <w:p>
            <w:pPr>
              <w:jc w:val="center"/>
            </w:pPr>
            <w:r>
              <w:rPr>
                <w:rFonts w:ascii="맑은 고딕" w:hAnsi="맑은 고딕" w:eastAsia="맑은 고딕"/>
                <w:b/>
                <w:color w:val="17365D"/>
                <w:sz w:val="16"/>
              </w:rPr>
              <w:t>R2</w:t>
            </w:r>
          </w:p>
        </w:tc>
        <w:tc>
          <w:tcPr>
            <w:tcW w:type="dxa" w:w="8844"/>
            <w:tcMar>
              <w:top w:w="85" w:type="dxa"/>
              <w:start w:w="85" w:type="dxa"/>
              <w:bottom w:w="85" w:type="dxa"/>
              <w:end w:w="85" w:type="dxa"/>
            </w:tcMar>
          </w:tcPr>
          <w:p>
            <w:pPr>
              <w:spacing w:before="0" w:after="20" w:line="240" w:lineRule="auto"/>
            </w:pPr>
            <w:r>
              <w:rPr>
                <w:rFonts w:ascii="맑은 고딕" w:hAnsi="맑은 고딕" w:eastAsia="맑은 고딕"/>
                <w:color w:val="1F2933"/>
                <w:sz w:val="15"/>
              </w:rPr>
              <w:t>National Institute of Justice — Research on Partner Stalking: Putting the Pieces Together (2010)</w:t>
            </w:r>
          </w:p>
          <w:p>
            <w:pPr>
              <w:spacing w:before="0" w:after="0" w:line="240" w:lineRule="auto"/>
            </w:pPr>
            <w:hyperlink r:id="rId12">
              <w:r>
                <w:rPr>
                  <w:color w:val="2E75B6"/>
                  <w:u w:val="single"/>
                </w:rPr>
                <w:t>https://nij.ojp.gov/library/publications/research-partner-stalking-putting-pieces-together</w:t>
              </w:r>
            </w:hyperlink>
          </w:p>
        </w:tc>
      </w:tr>
      <w:tr>
        <w:trPr>
          <w:cantSplit/>
        </w:trPr>
        <w:tc>
          <w:tcPr>
            <w:tcW w:type="dxa" w:w="1020"/>
            <w:tcMar>
              <w:top w:w="85" w:type="dxa"/>
              <w:start w:w="85" w:type="dxa"/>
              <w:bottom w:w="85" w:type="dxa"/>
              <w:end w:w="85" w:type="dxa"/>
            </w:tcMar>
          </w:tcPr>
          <w:p>
            <w:pPr>
              <w:jc w:val="center"/>
            </w:pPr>
            <w:r>
              <w:rPr>
                <w:rFonts w:ascii="맑은 고딕" w:hAnsi="맑은 고딕" w:eastAsia="맑은 고딕"/>
                <w:b/>
                <w:color w:val="17365D"/>
                <w:sz w:val="16"/>
              </w:rPr>
              <w:t>R3</w:t>
            </w:r>
          </w:p>
        </w:tc>
        <w:tc>
          <w:tcPr>
            <w:tcW w:type="dxa" w:w="8844"/>
            <w:tcMar>
              <w:top w:w="85" w:type="dxa"/>
              <w:start w:w="85" w:type="dxa"/>
              <w:bottom w:w="85" w:type="dxa"/>
              <w:end w:w="85" w:type="dxa"/>
            </w:tcMar>
          </w:tcPr>
          <w:p>
            <w:pPr>
              <w:spacing w:before="0" w:after="20" w:line="240" w:lineRule="auto"/>
            </w:pPr>
            <w:r>
              <w:rPr>
                <w:rFonts w:ascii="맑은 고딕" w:hAnsi="맑은 고딕" w:eastAsia="맑은 고딕"/>
                <w:color w:val="1F2933"/>
                <w:sz w:val="15"/>
              </w:rPr>
              <w:t>McEwan, Daffern, MacKenzie &amp; Ogloff — Risk factors for stalking violence, persistence, and recurrence (2017)</w:t>
            </w:r>
          </w:p>
          <w:p>
            <w:pPr>
              <w:spacing w:before="0" w:after="0" w:line="240" w:lineRule="auto"/>
            </w:pPr>
            <w:hyperlink r:id="rId13">
              <w:r>
                <w:rPr>
                  <w:color w:val="2E75B6"/>
                  <w:u w:val="single"/>
                </w:rPr>
                <w:t>https://doi.org/10.1080/14789949.2016.1247188</w:t>
              </w:r>
            </w:hyperlink>
          </w:p>
        </w:tc>
      </w:tr>
      <w:tr>
        <w:trPr>
          <w:cantSplit/>
        </w:trPr>
        <w:tc>
          <w:tcPr>
            <w:tcW w:type="dxa" w:w="1020"/>
            <w:tcMar>
              <w:top w:w="85" w:type="dxa"/>
              <w:start w:w="85" w:type="dxa"/>
              <w:bottom w:w="85" w:type="dxa"/>
              <w:end w:w="85" w:type="dxa"/>
            </w:tcMar>
          </w:tcPr>
          <w:p>
            <w:pPr>
              <w:jc w:val="center"/>
            </w:pPr>
            <w:r>
              <w:rPr>
                <w:rFonts w:ascii="맑은 고딕" w:hAnsi="맑은 고딕" w:eastAsia="맑은 고딕"/>
                <w:b/>
                <w:color w:val="17365D"/>
                <w:sz w:val="16"/>
              </w:rPr>
              <w:t>R4</w:t>
            </w:r>
          </w:p>
        </w:tc>
        <w:tc>
          <w:tcPr>
            <w:tcW w:type="dxa" w:w="8844"/>
            <w:tcMar>
              <w:top w:w="85" w:type="dxa"/>
              <w:start w:w="85" w:type="dxa"/>
              <w:bottom w:w="85" w:type="dxa"/>
              <w:end w:w="85" w:type="dxa"/>
            </w:tcMar>
          </w:tcPr>
          <w:p>
            <w:pPr>
              <w:spacing w:before="0" w:after="20" w:line="240" w:lineRule="auto"/>
            </w:pPr>
            <w:r>
              <w:rPr>
                <w:rFonts w:ascii="맑은 고딕" w:hAnsi="맑은 고딕" w:eastAsia="맑은 고딕"/>
                <w:color w:val="1F2933"/>
                <w:sz w:val="15"/>
              </w:rPr>
              <w:t>NIST — AI Risk Management Framework: Valid and Reliable / Safe</w:t>
            </w:r>
          </w:p>
          <w:p>
            <w:pPr>
              <w:spacing w:before="0" w:after="0" w:line="240" w:lineRule="auto"/>
            </w:pPr>
            <w:hyperlink r:id="rId14">
              <w:r>
                <w:rPr>
                  <w:color w:val="2E75B6"/>
                  <w:u w:val="single"/>
                </w:rPr>
                <w:t>https://airc.nist.gov/airmf-resources/airmf/3-sec-characteristics/</w:t>
              </w:r>
            </w:hyperlink>
          </w:p>
        </w:tc>
      </w:tr>
      <w:tr>
        <w:trPr>
          <w:cantSplit/>
        </w:trPr>
        <w:tc>
          <w:tcPr>
            <w:tcW w:type="dxa" w:w="1020"/>
            <w:tcMar>
              <w:top w:w="85" w:type="dxa"/>
              <w:start w:w="85" w:type="dxa"/>
              <w:bottom w:w="85" w:type="dxa"/>
              <w:end w:w="85" w:type="dxa"/>
            </w:tcMar>
          </w:tcPr>
          <w:p>
            <w:pPr>
              <w:jc w:val="center"/>
            </w:pPr>
            <w:r>
              <w:rPr>
                <w:rFonts w:ascii="맑은 고딕" w:hAnsi="맑은 고딕" w:eastAsia="맑은 고딕"/>
                <w:b/>
                <w:color w:val="17365D"/>
                <w:sz w:val="16"/>
              </w:rPr>
              <w:t>R5</w:t>
            </w:r>
          </w:p>
        </w:tc>
        <w:tc>
          <w:tcPr>
            <w:tcW w:type="dxa" w:w="8844"/>
            <w:tcMar>
              <w:top w:w="85" w:type="dxa"/>
              <w:start w:w="85" w:type="dxa"/>
              <w:bottom w:w="85" w:type="dxa"/>
              <w:end w:w="85" w:type="dxa"/>
            </w:tcMar>
          </w:tcPr>
          <w:p>
            <w:pPr>
              <w:spacing w:before="0" w:after="20" w:line="240" w:lineRule="auto"/>
            </w:pPr>
            <w:r>
              <w:rPr>
                <w:rFonts w:ascii="맑은 고딕" w:hAnsi="맑은 고딕" w:eastAsia="맑은 고딕"/>
                <w:color w:val="1F2933"/>
                <w:sz w:val="15"/>
              </w:rPr>
              <w:t>개인정보보호위원회 — 고정형 영상정보처리기기 설치·운영 안내서 (2024.12.)</w:t>
            </w:r>
          </w:p>
          <w:p>
            <w:pPr>
              <w:spacing w:before="0" w:after="0" w:line="240" w:lineRule="auto"/>
            </w:pPr>
            <w:hyperlink r:id="rId15">
              <w:r>
                <w:rPr>
                  <w:color w:val="2E75B6"/>
                  <w:u w:val="single"/>
                </w:rPr>
                <w:t>https://www.pipc.go.kr/np/cop/bbs/selectBoardArticle.do?bbsId=BS217&amp;mCode=G010030000&amp;nttId=10901</w:t>
              </w:r>
            </w:hyperlink>
          </w:p>
        </w:tc>
      </w:tr>
      <w:tr>
        <w:trPr>
          <w:cantSplit/>
        </w:trPr>
        <w:tc>
          <w:tcPr>
            <w:tcW w:type="dxa" w:w="1020"/>
            <w:tcMar>
              <w:top w:w="85" w:type="dxa"/>
              <w:start w:w="85" w:type="dxa"/>
              <w:bottom w:w="85" w:type="dxa"/>
              <w:end w:w="85" w:type="dxa"/>
            </w:tcMar>
          </w:tcPr>
          <w:p>
            <w:pPr>
              <w:jc w:val="center"/>
            </w:pPr>
            <w:r>
              <w:rPr>
                <w:rFonts w:ascii="맑은 고딕" w:hAnsi="맑은 고딕" w:eastAsia="맑은 고딕"/>
                <w:b/>
                <w:color w:val="17365D"/>
                <w:sz w:val="16"/>
              </w:rPr>
              <w:t>R6</w:t>
            </w:r>
          </w:p>
        </w:tc>
        <w:tc>
          <w:tcPr>
            <w:tcW w:type="dxa" w:w="8844"/>
            <w:tcMar>
              <w:top w:w="85" w:type="dxa"/>
              <w:start w:w="85" w:type="dxa"/>
              <w:bottom w:w="85" w:type="dxa"/>
              <w:end w:w="85" w:type="dxa"/>
            </w:tcMar>
          </w:tcPr>
          <w:p>
            <w:pPr>
              <w:spacing w:before="0" w:after="20" w:line="240" w:lineRule="auto"/>
            </w:pPr>
            <w:r>
              <w:rPr>
                <w:rFonts w:ascii="맑은 고딕" w:hAnsi="맑은 고딕" w:eastAsia="맑은 고딕"/>
                <w:color w:val="1F2933"/>
                <w:sz w:val="15"/>
              </w:rPr>
              <w:t>국가법령정보센터 — 개인정보 보호법 [시행 2025.10.2.]</w:t>
            </w:r>
          </w:p>
          <w:p>
            <w:pPr>
              <w:spacing w:before="0" w:after="0" w:line="240" w:lineRule="auto"/>
            </w:pPr>
            <w:hyperlink r:id="rId16">
              <w:r>
                <w:rPr>
                  <w:color w:val="2E75B6"/>
                  <w:u w:val="single"/>
                </w:rPr>
                <w:t>https://www.law.go.kr/LSW/lsInfoP.do?ancYnChk=0&amp;chrClsCd=010202&amp;efYd=20251002&amp;lsiSeq=270351&amp;urlMode=lsInfoP</w:t>
              </w:r>
            </w:hyperlink>
          </w:p>
        </w:tc>
      </w:tr>
    </w:tbl>
    <w:tbl>
      <w:tblPr>
        <w:tblW w:type="auto" w:w="0"/>
        <w:jc w:val="center"/>
        <w:tblLayout w:type="fixed"/>
        <w:tblLook w:firstColumn="1" w:firstRow="1" w:lastColumn="0" w:lastRow="0" w:noHBand="0" w:noVBand="1" w:val="04A0"/>
      </w:tblPr>
      <w:tblGrid>
        <w:gridCol w:w="9866"/>
      </w:tblGrid>
      <w:tr>
        <w:tc>
          <w:tcPr>
            <w:tcW w:type="dxa" w:w="9866"/>
            <w:shd w:fill="EFF6FB"/>
            <w:tcMar>
              <w:top w:w="120" w:type="dxa"/>
              <w:start w:w="180" w:type="dxa"/>
              <w:bottom w:w="120" w:type="dxa"/>
              <w:end w:w="180" w:type="dxa"/>
            </w:tcMar>
            <w:tcBorders>
              <w:start w:val="single" w:sz="24" w:color="2E75B6"/>
              <w:top w:val="single" w:sz="4" w:color="EFF6FB"/>
              <w:bottom w:val="single" w:sz="4" w:color="EFF6FB"/>
              <w:end w:val="single" w:sz="4" w:color="EFF6FB"/>
            </w:tcBorders>
          </w:tcPr>
          <w:p>
            <w:pPr>
              <w:spacing w:before="0" w:after="40" w:line="252" w:lineRule="auto"/>
            </w:pPr>
            <w:r>
              <w:rPr>
                <w:rFonts w:ascii="맑은 고딕" w:hAnsi="맑은 고딕" w:eastAsia="맑은 고딕"/>
                <w:b/>
                <w:color w:val="17365D"/>
                <w:sz w:val="19"/>
              </w:rPr>
              <w:t>자료 사용 범위</w:t>
            </w:r>
          </w:p>
          <w:p>
            <w:pPr>
              <w:spacing w:before="0" w:after="0" w:line="259" w:lineRule="auto"/>
            </w:pPr>
            <w:r>
              <w:rPr>
                <w:rFonts w:ascii="맑은 고딕" w:hAnsi="맑은 고딕" w:eastAsia="맑은 고딕"/>
                <w:color w:val="1F2933"/>
                <w:sz w:val="17"/>
              </w:rPr>
              <w:t>R1~R3은 위험요소 후보를 고르는 근거, R4는 검증 방법, R5~R6은 개인정보·영상정보 설계의 주의사항으로 사용했다. 연구 결과를 그대로 점수나 가중치로 옮기지 않았으며, 최종 산식은 별도 실험과 검토가 필요하다.</w:t>
            </w:r>
          </w:p>
        </w:tc>
      </w:tr>
    </w:tbl>
    <w:p>
      <w:pPr>
        <w:spacing w:after="0"/>
      </w:pPr>
    </w:p>
    <w:sectPr w:rsidR="00FC693F" w:rsidRPr="0006063C" w:rsidSect="00034616">
      <w:headerReference w:type="default" r:id="rId9"/>
      <w:footerReference w:type="default" r:id="rId10"/>
      <w:headerReference w:type="even" r:id="rId17"/>
      <w:headerReference w:type="first" r:id="rId18"/>
      <w:footerReference w:type="even" r:id="rId19"/>
      <w:footerReference w:type="first" r:id="rId20"/>
      <w:pgSz w:w="11906" w:h="16838"/>
      <w:pgMar w:top="850" w:right="1020" w:bottom="850"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line="240" w:lineRule="auto"/>
      <w:jc w:val="center"/>
    </w:pPr>
    <w:r>
      <w:rPr>
        <w:rFonts w:ascii="맑은 고딕" w:hAnsi="맑은 고딕" w:eastAsia="맑은 고딕"/>
        <w:color w:val="4F5B66"/>
        <w:sz w:val="14"/>
      </w:rPr>
      <w:t xml:space="preserve">RISK-ZERO  ·  </w:t>
    </w:r>
    <w:r>
      <w:fldChar w:fldCharType="begin"/>
      <w:instrText xml:space="preserve">PAGE</w:instrText>
      <w:fldChar w:fldCharType="separate"/>
      <w:fldChar w:fldCharType="end"/>
    </w:r>
    <w:r>
      <w:rPr>
        <w:rFonts w:ascii="맑은 고딕" w:hAnsi="맑은 고딕" w:eastAsia="맑은 고딕"/>
        <w:color w:val="4F5B66"/>
        <w:sz w:val="14"/>
      </w:rPr>
      <w:t xml:space="preserve"> / </w:t>
    </w:r>
    <w: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line="240" w:lineRule="auto"/>
      <w:jc w:val="center"/>
    </w:pPr>
    <w:r>
      <w:rPr>
        <w:rFonts w:ascii="맑은 고딕" w:hAnsi="맑은 고딕" w:eastAsia="맑은 고딕"/>
        <w:color w:val="4F5B66"/>
        <w:sz w:val="14"/>
      </w:rPr>
      <w:t xml:space="preserve">RISK-ZERO  ·  </w:t>
    </w:r>
    <w:r>
      <w:fldChar w:fldCharType="begin"/>
      <w:instrText xml:space="preserve">PAGE</w:instrText>
      <w:fldChar w:fldCharType="separate"/>
      <w:fldChar w:fldCharType="end"/>
    </w:r>
    <w:r>
      <w:rPr>
        <w:rFonts w:ascii="맑은 고딕" w:hAnsi="맑은 고딕" w:eastAsia="맑은 고딕"/>
        <w:color w:val="4F5B66"/>
        <w:sz w:val="14"/>
      </w:rPr>
      <w:t xml:space="preserve"> / </w:t>
    </w:r>
    <w: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line="240" w:lineRule="auto"/>
      <w:jc w:val="center"/>
    </w:pPr>
    <w:r>
      <w:rPr>
        <w:rFonts w:ascii="맑은 고딕" w:hAnsi="맑은 고딕" w:eastAsia="맑은 고딕"/>
        <w:color w:val="4F5B66"/>
        <w:sz w:val="14"/>
      </w:rPr>
      <w:t xml:space="preserve">RISK-ZERO  ·  </w:t>
    </w:r>
    <w:r>
      <w:fldChar w:fldCharType="begin"/>
      <w:instrText xml:space="preserve">PAGE</w:instrText>
      <w:fldChar w:fldCharType="separate"/>
      <w:fldChar w:fldCharType="end"/>
    </w:r>
    <w:r>
      <w:rPr>
        <w:rFonts w:ascii="맑은 고딕" w:hAnsi="맑은 고딕" w:eastAsia="맑은 고딕"/>
        <w:color w:val="4F5B66"/>
        <w:sz w:val="14"/>
      </w:rP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576"/>
      <w:gridCol w:w="3288"/>
    </w:tblGrid>
    <w:tr>
      <w:tc>
        <w:tcPr>
          <w:tcW w:type="dxa" w:w="4932"/>
          <w:tcBorders>
            <w:bottom w:val="single" w:sz="10" w:color="2E75B6"/>
          </w:tcBorders>
        </w:tcPr>
        <w:p>
          <w:pPr>
            <w:jc w:val="left"/>
          </w:pPr>
          <w:r>
            <w:rPr>
              <w:rFonts w:ascii="맑은 고딕" w:hAnsi="맑은 고딕" w:eastAsia="맑은 고딕"/>
              <w:b/>
              <w:color w:val="17365D"/>
              <w:sz w:val="15"/>
            </w:rPr>
            <w:t>RISK-ZERO  ·  RISK DESIGN</w:t>
          </w:r>
        </w:p>
      </w:tc>
      <w:tc>
        <w:tcPr>
          <w:tcW w:type="dxa" w:w="4932"/>
          <w:tcBorders>
            <w:bottom w:val="single" w:sz="10" w:color="2E75B6"/>
          </w:tcBorders>
        </w:tcPr>
        <w:p>
          <w:pPr>
            <w:jc w:val="right"/>
          </w:pPr>
          <w:r>
            <w:rPr>
              <w:rFonts w:ascii="맑은 고딕" w:hAnsi="맑은 고딕" w:eastAsia="맑은 고딕"/>
              <w:color w:val="4F5B66"/>
              <w:sz w:val="15"/>
            </w:rPr>
            <w:t>CAPSTONE DESIGN  /  v0.1</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576"/>
      <w:gridCol w:w="3288"/>
    </w:tblGrid>
    <w:tr>
      <w:tc>
        <w:tcPr>
          <w:tcW w:type="dxa" w:w="4932"/>
          <w:tcBorders>
            <w:bottom w:val="single" w:sz="10" w:color="2E75B6"/>
          </w:tcBorders>
        </w:tcPr>
        <w:p>
          <w:pPr>
            <w:jc w:val="left"/>
          </w:pPr>
          <w:r>
            <w:rPr>
              <w:rFonts w:ascii="맑은 고딕" w:hAnsi="맑은 고딕" w:eastAsia="맑은 고딕"/>
              <w:b/>
              <w:color w:val="17365D"/>
              <w:sz w:val="15"/>
            </w:rPr>
            <w:t>RISK-ZERO  ·  RISK DESIGN</w:t>
          </w:r>
        </w:p>
      </w:tc>
      <w:tc>
        <w:tcPr>
          <w:tcW w:type="dxa" w:w="4932"/>
          <w:tcBorders>
            <w:bottom w:val="single" w:sz="10" w:color="2E75B6"/>
          </w:tcBorders>
        </w:tcPr>
        <w:p>
          <w:pPr>
            <w:jc w:val="right"/>
          </w:pPr>
          <w:r>
            <w:rPr>
              <w:rFonts w:ascii="맑은 고딕" w:hAnsi="맑은 고딕" w:eastAsia="맑은 고딕"/>
              <w:color w:val="4F5B66"/>
              <w:sz w:val="15"/>
            </w:rPr>
            <w:t>CAPSTONE DESIGN  /  v0.1</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576"/>
      <w:gridCol w:w="3288"/>
    </w:tblGrid>
    <w:tr>
      <w:tc>
        <w:tcPr>
          <w:tcW w:type="dxa" w:w="4932"/>
          <w:tcBorders>
            <w:bottom w:val="single" w:sz="10" w:color="2E75B6"/>
          </w:tcBorders>
        </w:tcPr>
        <w:p>
          <w:pPr>
            <w:jc w:val="left"/>
          </w:pPr>
          <w:r>
            <w:rPr>
              <w:rFonts w:ascii="맑은 고딕" w:hAnsi="맑은 고딕" w:eastAsia="맑은 고딕"/>
              <w:b/>
              <w:color w:val="17365D"/>
              <w:sz w:val="15"/>
            </w:rPr>
            <w:t>RISK-ZERO  ·  RISK DESIGN</w:t>
          </w:r>
        </w:p>
      </w:tc>
      <w:tc>
        <w:tcPr>
          <w:tcW w:type="dxa" w:w="4932"/>
          <w:tcBorders>
            <w:bottom w:val="single" w:sz="10" w:color="2E75B6"/>
          </w:tcBorders>
        </w:tcPr>
        <w:p>
          <w:pPr>
            <w:jc w:val="right"/>
          </w:pPr>
          <w:r>
            <w:rPr>
              <w:rFonts w:ascii="맑은 고딕" w:hAnsi="맑은 고딕" w:eastAsia="맑은 고딕"/>
              <w:color w:val="4F5B66"/>
              <w:sz w:val="15"/>
            </w:rPr>
            <w:t>CAPSTONE DESIGN  /  v0.1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맑은 고딕" w:hAnsi="맑은 고딕" w:eastAsia="맑은 고딕"/>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40"/>
      <w:outlineLvl w:val="0"/>
    </w:pPr>
    <w:rPr>
      <w:rFonts w:asciiTheme="majorHAnsi" w:eastAsiaTheme="majorEastAsia" w:hAnsiTheme="majorHAnsi" w:cstheme="majorBidi" w:ascii="맑은 고딕" w:hAnsi="맑은 고딕" w:eastAsia="맑은 고딕"/>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맑은 고딕" w:hAnsi="맑은 고딕" w:eastAsia="맑은 고딕"/>
      <w:b/>
      <w:bCs/>
      <w:color w:val="2E75B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맑은 고딕" w:hAnsi="맑은 고딕" w:eastAsia="맑은 고딕"/>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맑은 고딕" w:hAnsi="맑은 고딕" w:eastAsia="맑은 고딕"/>
      <w:i/>
      <w:iCs/>
      <w:color w:val="4F5B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00"/>
    </w:pPr>
    <w:rPr>
      <w:rFonts w:ascii="맑은 고딕" w:hAnsi="맑은 고딕" w:eastAsia="맑은 고딕"/>
      <w:b/>
      <w:bCs/>
      <w:i/>
      <w:color w:val="4F5B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go.kr/LSW/lsInfoP.do?ancYnChk=0&amp;chrClsCd=010202&amp;efYd=20240112&amp;lsiSeq=252483&amp;urlMode=lsInfoP" TargetMode="External"/><Relationship Id="rId12" Type="http://schemas.openxmlformats.org/officeDocument/2006/relationships/hyperlink" Target="https://nij.ojp.gov/library/publications/research-partner-stalking-putting-pieces-together" TargetMode="External"/><Relationship Id="rId13" Type="http://schemas.openxmlformats.org/officeDocument/2006/relationships/hyperlink" Target="https://doi.org/10.1080/14789949.2016.1247188" TargetMode="External"/><Relationship Id="rId14" Type="http://schemas.openxmlformats.org/officeDocument/2006/relationships/hyperlink" Target="https://airc.nist.gov/airmf-resources/airmf/3-sec-characteristics/" TargetMode="External"/><Relationship Id="rId15" Type="http://schemas.openxmlformats.org/officeDocument/2006/relationships/hyperlink" Target="https://www.pipc.go.kr/np/cop/bbs/selectBoardArticle.do?bbsId=BS217&amp;mCode=G010030000&amp;nttId=10901" TargetMode="External"/><Relationship Id="rId16" Type="http://schemas.openxmlformats.org/officeDocument/2006/relationships/hyperlink" Target="https://www.law.go.kr/LSW/lsInfoP.do?ancYnChk=0&amp;chrClsCd=010202&amp;efYd=20251002&amp;lsiSeq=270351&amp;urlMode=lsInfoP" TargetMode="Externa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RISK-ZERO 위험도 산정 및 검증 방안 (초안)</dc:title>
  <dc:subject>캡스톤 디자인 위험도 요소, 계산 인터페이스, 검증 계획</dc:subject>
  <dc:creator>Pixel-Zero 팀</dc:creator>
  <cp:keywords/>
  <dc:description>샘플 문서의 문제-판단-실행 흐름을 반영한 팀 검토용 문서</dc:description>
  <cp:lastModifiedBy/>
  <cp:revision>1</cp:revision>
  <dcterms:created xsi:type="dcterms:W3CDTF">2013-12-23T23:15:00Z</dcterms:created>
  <dcterms:modified xsi:type="dcterms:W3CDTF">2013-12-23T23:15:00Z</dcterms:modified>
  <cp:category/>
</cp:coreProperties>
</file>