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6B3A" w:val="clear"/>
            <w:tcMar>
              <w:top w:type="dxa" w:w="400"/>
              <w:left w:type="dxa" w:w="400"/>
              <w:bottom w:type="dxa" w:w="400"/>
              <w:right w:type="dxa" w:w="400"/>
            </w:tcMar>
          </w:tcPr>
          <w:p>
            <w:pPr>
              <w:spacing w:before="0" w:after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80"/>
                <w:szCs w:val="80"/>
              </w:rPr>
              <w:t xml:space="preserve">AQUAVIGIL-WA</w:t>
            </w:r>
          </w:p>
          <w:p>
            <w:pPr>
              <w:spacing w:before="0"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C8E6C9"/>
                <w:sz w:val="26"/>
                <w:szCs w:val="26"/>
              </w:rPr>
              <w:t xml:space="preserve">Plan de Travail Détaillé par Membre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p>
      <w:pPr>
        <w:pBdr>
          <w:top w:val="single" w:color="00796B" w:sz="6" w:space="4"/>
          <w:bottom w:val="single" w:color="00796B" w:sz="6" w:space="4"/>
        </w:pBdr>
        <w:spacing w:before="60" w:after="60"/>
        <w:jc w:val="center"/>
      </w:pPr>
      <w:r>
        <w:rPr>
          <w:rFonts w:ascii="Calibri" w:cs="Calibri" w:eastAsia="Calibri" w:hAnsi="Calibri"/>
          <w:b/>
          <w:bCs/>
          <w:color w:val="00796B"/>
          <w:sz w:val="22"/>
          <w:szCs w:val="22"/>
        </w:rPr>
        <w:t xml:space="preserve">Wastewater-Based Epidemiology (WBE) · Togo · Afrique de l'Ouest</w:t>
      </w:r>
    </w:p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87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796B" w:val="clear"/>
            <w:tcMar>
              <w:top w:type="dxa" w:w="160"/>
              <w:left w:type="dxa" w:w="100"/>
              <w:bottom w:type="dxa" w:w="1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1A1A"/>
                <w:sz w:val="22"/>
                <w:szCs w:val="22"/>
              </w:rPr>
              <w:t xml:space="preserve">+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2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2"/>
                <w:szCs w:val="22"/>
              </w:rPr>
              <w:t xml:space="preserve">Tâches subdivisées · Livrables · Délais · Dépendances</w:t>
            </w:r>
          </w:p>
          <w:p>
            <w:pPr>
              <w:spacing w:before="0" w:after="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Document de travail opérationnel — AquaVigil-WA · Lomé, Togo · Juillet 2026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p>
      <w:pPr>
        <w:spacing w:before="0" w:after="0"/>
        <w:jc w:val="center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Document de Plan de Travail · Version 1.0</w:t>
      </w:r>
    </w:p>
    <w:p>
      <w:pPr>
        <w:spacing w:before="0" w:after="0"/>
        <w:jc w:val="center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Togo · Lomé · Juillet 2026</w:t>
      </w:r>
    </w:p>
    <w:p>
      <w:r>
        <w:br w:type="page"/>
      </w:r>
    </w:p>
    <w:p>
      <w:pPr>
        <w:pStyle w:val="Heading1"/>
        <w:pBdr>
          <w:bottom w:val="single" w:color="2E8B57" w:sz="10" w:space="6"/>
        </w:pBdr>
        <w:spacing w:before="400" w:after="160"/>
      </w:pPr>
      <w:r>
        <w:rPr>
          <w:rFonts w:ascii="Calibri" w:cs="Calibri" w:eastAsia="Calibri" w:hAnsi="Calibri"/>
          <w:b/>
          <w:bCs/>
          <w:color w:val="1B6B3A"/>
          <w:sz w:val="34"/>
          <w:szCs w:val="34"/>
        </w:rPr>
        <w:t xml:space="preserve">Comment utiliser ce document</w:t>
      </w:r>
    </w:p>
    <w:p>
      <w:pPr>
        <w:spacing w:before="80" w:after="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Ce document détaille les tâches de chaque membre de l'équipe AquaVigil-WA, subdivisées en actions concrètes et mesurables. Il est conçu pour être utilisé en parallèle du GitHub kanban : chaque tâche (T1.1, T2.3...) correspond à une issue GitHub dans le tableau de bord de projet.</w:t>
      </w:r>
    </w:p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Tâches numérotées :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Format Tx.y où x = numéro membre, y = numéro de tâche dans l'ordre chronologique.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Actions à réaliser :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Liste ordonnée des étapes concrètes. Chaque étape = une action vérifiable.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Livrable :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Ce qui doit être produit à la fin de la tâche. Sert de critère de validation.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Délai :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Échéance cible. Basée sur le calendrier CPHIA novembre 2026.</w:t>
      </w:r>
    </w:p>
    <w:p>
      <w:pPr>
        <w:pStyle w:val="ListParagraph"/>
        <w:numPr>
          <w:ilvl w:val="0"/>
          <w:numId w:val="2"/>
        </w:numPr>
        <w:spacing w:before="55" w:after="55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Dépendances :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Tâches préalables à terminer avant de démarrer cette tâche.</w:t>
      </w:r>
    </w:p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2E8B57" w:sz="3"/>
              <w:bottom w:val="single" w:color="2E8B57" w:sz="3"/>
              <w:right w:val="single" w:color="2E8B57" w:sz="3"/>
              <w:left w:val="thick" w:color="2E8B57" w:sz="14"/>
            </w:tcBorders>
            <w:shd w:fill="EBF5EB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Règle d'équipe : toute tâche terminée doit être fermée dans GitHub Projects</w:t>
            </w:r>
          </w:p>
          <w:p>
            <w:pPr>
              <w:spacing w:before="40"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et son livrable poussé sur le repo (ou documenté dans le Wiki) dans les 48h.</w:t>
            </w:r>
          </w:p>
          <w:p>
            <w:pPr>
              <w:spacing w:before="40"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Les réunions hebdomadaires (30 min) servent à débloquer les dépendances inter-membres.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4F72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before="0"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</w:rPr>
              <w:t>Membre 1 — Chef de Projet &amp; Chef de Projet</w:t>
            </w:r>
          </w:p>
          <w:p>
            <w:pPr>
              <w:spacing w:before="0" w:after="0"/>
            </w:pPr>
            <w:r>
              <w:rPr>
                <w:rFonts w:ascii="Calibri" w:cs="Calibri" w:eastAsia="Calibri" w:hAnsi="Calibri"/>
                <w:i/>
                <w:iCs/>
                <w:color w:val="444444"/>
                <w:sz w:val="20"/>
                <w:szCs w:val="20"/>
              </w:rPr>
              <w:t>Data Scientist — Chef de Projet &amp; Chef de Projet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6B3A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PHASE SETUP — Juin–Juillet 2026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5D6A7" w:sz="4"/>
          <w:left w:val="single" w:color="A5D6A7" w:sz="4"/>
          <w:bottom w:val="single" w:color="A5D6A7" w:sz="4"/>
          <w:right w:val="single" w:color="A5D6A7" w:sz="4"/>
          <w:insideH w:val="single" w:color="A5D6A7" w:sz="4"/>
          <w:insideV w:val="single" w:color="A5D6A7" w:sz="4"/>
        </w:tblBorders>
      </w:tblPr>
      <w:tblGrid>
        <w:gridCol w:w="900"/>
        <w:gridCol w:w="5226"/>
        <w:gridCol w:w="1200"/>
        <w:gridCol w:w="1700"/>
      </w:tblGrid>
      <w:tr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T1.1</w:t>
            </w:r>
          </w:p>
        </w:tc>
        <w:tc>
          <w:tcPr>
            <w:tcW w:type="dxa" w:w="8126"/>
            <w:gridSpan w:val="3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96B"/>
                <w:sz w:val="22"/>
                <w:szCs w:val="22"/>
              </w:rPr>
              <w:t xml:space="preserve">Créer et structurer le dépôt GitHub</w:t>
            </w:r>
          </w:p>
        </w:tc>
      </w:tr>
      <w:tr>
        <w:tc>
          <w:tcPr>
            <w:tcW w:type="dxa" w:w="6126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0" w:after="4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Actions à réaliser :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Créer le repo GitHub public : aquavigil-wa (compte ou org équipe)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Initialiser avec README.md professionnel (pitch projet, stack, équipe)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Créer la structure de dossiers : workflow/, scripts/, data/, results/, docs/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Configurer les branches : main (stable), dev (développement), chaque membre fork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5. Créer le fichier .gitignore adapté (Python, données .fastq.gz, secrets)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6. Créer le tableau kanban dans GitHub Projects (colonnes : Backlog / En cours / Revue / Terminé)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7. Créer le Wiki GitHub : page d'accueil + page 'Décisions Techniques'</w:t>
            </w:r>
          </w:p>
        </w:tc>
        <w:tc>
          <w:tcPr>
            <w:tcW w:type="dxa" w:w="2900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📦 Livrable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Repo GitHub public opérationnel avec structure complète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00796B"/>
                <w:sz w:val="20"/>
                <w:szCs w:val="20"/>
              </w:rPr>
              <w:t xml:space="preserve">📅 Délai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Semaine 1 (avant 10 juillet)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20"/>
                <w:szCs w:val="20"/>
              </w:rPr>
              <w:t xml:space="preserve">🔗 Dépendances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—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5D6A7" w:sz="4"/>
          <w:left w:val="single" w:color="A5D6A7" w:sz="4"/>
          <w:bottom w:val="single" w:color="A5D6A7" w:sz="4"/>
          <w:right w:val="single" w:color="A5D6A7" w:sz="4"/>
          <w:insideH w:val="single" w:color="A5D6A7" w:sz="4"/>
          <w:insideV w:val="single" w:color="A5D6A7" w:sz="4"/>
        </w:tblBorders>
      </w:tblPr>
      <w:tblGrid>
        <w:gridCol w:w="900"/>
        <w:gridCol w:w="5226"/>
        <w:gridCol w:w="1200"/>
        <w:gridCol w:w="1700"/>
      </w:tblGrid>
      <w:tr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T1.2</w:t>
            </w:r>
          </w:p>
        </w:tc>
        <w:tc>
          <w:tcPr>
            <w:tcW w:type="dxa" w:w="8126"/>
            <w:gridSpan w:val="3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96B"/>
                <w:sz w:val="22"/>
                <w:szCs w:val="22"/>
              </w:rPr>
              <w:t xml:space="preserve">Installer l'environnement bioinformatique</w:t>
            </w:r>
          </w:p>
        </w:tc>
      </w:tr>
      <w:tr>
        <w:tc>
          <w:tcPr>
            <w:tcW w:type="dxa" w:w="6126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0" w:after="4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Actions à réaliser :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Installer Miniconda ou Mamba (gestionnaire d'environnements)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Créer environment.yml avec : snakemake, kraken2, bracken, fastqc, trimmomatic, multiqc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Créer un 2e environnement : insilicoseq pour la simulation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Tester l'installation : snakemake --version, kraken2 --version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5. Documenter les versions exactes dans requirements.txt et Wiki GitHub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6. Vérifier espace disque disponible pour MiniKraken DB (min. 12 GB libres)</w:t>
            </w:r>
          </w:p>
        </w:tc>
        <w:tc>
          <w:tcPr>
            <w:tcW w:type="dxa" w:w="2900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📦 Livrable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environment.yml validé + documentation versions dans Wiki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00796B"/>
                <w:sz w:val="20"/>
                <w:szCs w:val="20"/>
              </w:rPr>
              <w:t xml:space="preserve">📅 Délai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Semaine 1–2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20"/>
                <w:szCs w:val="20"/>
              </w:rPr>
              <w:t xml:space="preserve">🔗 Dépendances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T1.1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5D6A7" w:sz="4"/>
          <w:left w:val="single" w:color="A5D6A7" w:sz="4"/>
          <w:bottom w:val="single" w:color="A5D6A7" w:sz="4"/>
          <w:right w:val="single" w:color="A5D6A7" w:sz="4"/>
          <w:insideH w:val="single" w:color="A5D6A7" w:sz="4"/>
          <w:insideV w:val="single" w:color="A5D6A7" w:sz="4"/>
        </w:tblBorders>
      </w:tblPr>
      <w:tblGrid>
        <w:gridCol w:w="900"/>
        <w:gridCol w:w="5226"/>
        <w:gridCol w:w="1200"/>
        <w:gridCol w:w="1700"/>
      </w:tblGrid>
      <w:tr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T1.3</w:t>
            </w:r>
          </w:p>
        </w:tc>
        <w:tc>
          <w:tcPr>
            <w:tcW w:type="dxa" w:w="8126"/>
            <w:gridSpan w:val="3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96B"/>
                <w:sz w:val="22"/>
                <w:szCs w:val="22"/>
              </w:rPr>
              <w:t xml:space="preserve">Télécharger la base MiniKraken2</w:t>
            </w:r>
          </w:p>
        </w:tc>
      </w:tr>
      <w:tr>
        <w:tc>
          <w:tcPr>
            <w:tcW w:type="dxa" w:w="6126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0" w:after="4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Actions à réaliser :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Identifier la version MiniKraken2_v2 (~8 GB) sur le site officiel Kraken2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Télécharger : wget https://genome-idx.s3.amazonaws.com/kraken/minikraken2_v2_8GB_201904_UPDATE.tgz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Vérifier l'intégrité du téléchargement (checksum MD5)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Décompresser et placer dans data/kraken2_db/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5. Tester avec un fichier .fastq exemple : kraken2 --db data/kraken2_db/ --report test.txt reads.fastq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6. Documenter le chemin de la DB dans config.yaml du pipeline</w:t>
            </w:r>
          </w:p>
        </w:tc>
        <w:tc>
          <w:tcPr>
            <w:tcW w:type="dxa" w:w="2900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📦 Livrable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MiniKraken DB opérationnelle + test de classification réussi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00796B"/>
                <w:sz w:val="20"/>
                <w:szCs w:val="20"/>
              </w:rPr>
              <w:t xml:space="preserve">📅 Délai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Semaine 2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20"/>
                <w:szCs w:val="20"/>
              </w:rPr>
              <w:t xml:space="preserve">🔗 Dépendances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T1.2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5D6A7" w:sz="4"/>
          <w:left w:val="single" w:color="A5D6A7" w:sz="4"/>
          <w:bottom w:val="single" w:color="A5D6A7" w:sz="4"/>
          <w:right w:val="single" w:color="A5D6A7" w:sz="4"/>
          <w:insideH w:val="single" w:color="A5D6A7" w:sz="4"/>
          <w:insideV w:val="single" w:color="A5D6A7" w:sz="4"/>
        </w:tblBorders>
      </w:tblPr>
      <w:tblGrid>
        <w:gridCol w:w="900"/>
        <w:gridCol w:w="5226"/>
        <w:gridCol w:w="1200"/>
        <w:gridCol w:w="1700"/>
      </w:tblGrid>
      <w:tr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T1.4</w:t>
            </w:r>
          </w:p>
        </w:tc>
        <w:tc>
          <w:tcPr>
            <w:tcW w:type="dxa" w:w="8126"/>
            <w:gridSpan w:val="3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96B"/>
                <w:sz w:val="22"/>
                <w:szCs w:val="22"/>
              </w:rPr>
              <w:t xml:space="preserve">Envoyer l'email formel à Africa CDC</w:t>
            </w:r>
          </w:p>
        </w:tc>
      </w:tr>
      <w:tr>
        <w:tc>
          <w:tcPr>
            <w:tcW w:type="dxa" w:w="6126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0" w:after="4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Actions à réaliser :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Rédiger l'email en anglais : présentation projet, lien GLOWACON, objectif CPHIA nov. 2026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Mentionner explicitement : souveraineté, open-source, réplicabilité CEDEAO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Destinataire principal : Africa CDC WES focal point (contact via africacdc.org)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Mettre en copie : OMS bureau Afrique de l'Ouest, si connu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5. Joindre une page de présentation du projet (1 page PDF)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6. Sauvegarder l'email envoyé dans docs/correspondances/ du repo</w:t>
            </w:r>
          </w:p>
        </w:tc>
        <w:tc>
          <w:tcPr>
            <w:tcW w:type="dxa" w:w="2900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📦 Livrable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Email envoyé + copie archivée dans le repo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00796B"/>
                <w:sz w:val="20"/>
                <w:szCs w:val="20"/>
              </w:rPr>
              <w:t xml:space="preserve">📅 Délai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Avant 15 juillet 2026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20"/>
                <w:szCs w:val="20"/>
              </w:rPr>
              <w:t xml:space="preserve">🔗 Dépendances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T1.1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5D6A7" w:sz="4"/>
          <w:left w:val="single" w:color="A5D6A7" w:sz="4"/>
          <w:bottom w:val="single" w:color="A5D6A7" w:sz="4"/>
          <w:right w:val="single" w:color="A5D6A7" w:sz="4"/>
          <w:insideH w:val="single" w:color="A5D6A7" w:sz="4"/>
          <w:insideV w:val="single" w:color="A5D6A7" w:sz="4"/>
        </w:tblBorders>
      </w:tblPr>
      <w:tblGrid>
        <w:gridCol w:w="900"/>
        <w:gridCol w:w="5226"/>
        <w:gridCol w:w="1200"/>
        <w:gridCol w:w="1700"/>
      </w:tblGrid>
      <w:tr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T1.5</w:t>
            </w:r>
          </w:p>
        </w:tc>
        <w:tc>
          <w:tcPr>
            <w:tcW w:type="dxa" w:w="8126"/>
            <w:gridSpan w:val="3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96B"/>
                <w:sz w:val="22"/>
                <w:szCs w:val="22"/>
              </w:rPr>
              <w:t xml:space="preserve">Organiser et animer la réunion de lancement</w:t>
            </w:r>
          </w:p>
        </w:tc>
      </w:tr>
      <w:tr>
        <w:tc>
          <w:tcPr>
            <w:tcW w:type="dxa" w:w="6126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0" w:after="4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Actions à réaliser :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Fixer la date de réunion avec les 4 membres (en ligne ou présentiel)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Préparer l'ordre du jour : présentation v1.3, rôles, calendrier, GitHub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Présenter le repo GitHub et le kanban à l'équipe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Créer les premières issues GitHub pour chaque membre (leurs tâches T1.x)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5. Rédiger le compte-rendu et le consigner dans le Wiki GitHub (&lt; 48h)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6. Définir le canal de communication de l'équipe (WhatsApp, Slack, Discord)</w:t>
            </w:r>
          </w:p>
        </w:tc>
        <w:tc>
          <w:tcPr>
            <w:tcW w:type="dxa" w:w="2900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📦 Livrable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Compte-rendu de réunion dans Wiki + issues GitHub créées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00796B"/>
                <w:sz w:val="20"/>
                <w:szCs w:val="20"/>
              </w:rPr>
              <w:t xml:space="preserve">📅 Délai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Semaine 2 (avant 20 juillet)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20"/>
                <w:szCs w:val="20"/>
              </w:rPr>
              <w:t xml:space="preserve">🔗 Dépendances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T1.1, T1.2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796B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PHASE 1 — Développement Pipeline (Août 2026)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5D6A7" w:sz="4"/>
          <w:left w:val="single" w:color="A5D6A7" w:sz="4"/>
          <w:bottom w:val="single" w:color="A5D6A7" w:sz="4"/>
          <w:right w:val="single" w:color="A5D6A7" w:sz="4"/>
          <w:insideH w:val="single" w:color="A5D6A7" w:sz="4"/>
          <w:insideV w:val="single" w:color="A5D6A7" w:sz="4"/>
        </w:tblBorders>
      </w:tblPr>
      <w:tblGrid>
        <w:gridCol w:w="900"/>
        <w:gridCol w:w="5226"/>
        <w:gridCol w:w="1200"/>
        <w:gridCol w:w="1700"/>
      </w:tblGrid>
      <w:tr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T1.6</w:t>
            </w:r>
          </w:p>
        </w:tc>
        <w:tc>
          <w:tcPr>
            <w:tcW w:type="dxa" w:w="8126"/>
            <w:gridSpan w:val="3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96B"/>
                <w:sz w:val="22"/>
                <w:szCs w:val="22"/>
              </w:rPr>
              <w:t xml:space="preserve">Écrire le Snakefile principal</w:t>
            </w:r>
          </w:p>
        </w:tc>
      </w:tr>
      <w:tr>
        <w:tc>
          <w:tcPr>
            <w:tcW w:type="dxa" w:w="6126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0" w:after="4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Actions à réaliser :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Créer workflow/Snakefile avec règle 'all' définissant les cibles finales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Implémenter règle 'qc_fastqc' : FastQC sur reads bruts → results/qc/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Implémenter règle 'trim' : Trimmomatic paired-end (Phred ≥ 20, minlen 50)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Implémenter règle 'classify' : Kraken2 avec config DB et threads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5. Implémenter règle 'abundance' : Bracken sur sorties Kraken2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6. Implémenter règle 'multiqc' : rapport agrégé sur tous les échantillons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7. Tester le pipeline end-to-end sur 1 fichier .fastq simulé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8. Documenter chaque règle dans le Wiki GitHub</w:t>
            </w:r>
          </w:p>
        </w:tc>
        <w:tc>
          <w:tcPr>
            <w:tcW w:type="dxa" w:w="2900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📦 Livrable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Snakefile modulaire validé end-to-end sur données de test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00796B"/>
                <w:sz w:val="20"/>
                <w:szCs w:val="20"/>
              </w:rPr>
              <w:t xml:space="preserve">📅 Délai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Semaines 5–6 (mi-août)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20"/>
                <w:szCs w:val="20"/>
              </w:rPr>
              <w:t xml:space="preserve">🔗 Dépendances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T1.2, T1.3, T1.7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5D6A7" w:sz="4"/>
          <w:left w:val="single" w:color="A5D6A7" w:sz="4"/>
          <w:bottom w:val="single" w:color="A5D6A7" w:sz="4"/>
          <w:right w:val="single" w:color="A5D6A7" w:sz="4"/>
          <w:insideH w:val="single" w:color="A5D6A7" w:sz="4"/>
          <w:insideV w:val="single" w:color="A5D6A7" w:sz="4"/>
        </w:tblBorders>
      </w:tblPr>
      <w:tblGrid>
        <w:gridCol w:w="900"/>
        <w:gridCol w:w="5226"/>
        <w:gridCol w:w="1200"/>
        <w:gridCol w:w="1700"/>
      </w:tblGrid>
      <w:tr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T1.7</w:t>
            </w:r>
          </w:p>
        </w:tc>
        <w:tc>
          <w:tcPr>
            <w:tcW w:type="dxa" w:w="8126"/>
            <w:gridSpan w:val="3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96B"/>
                <w:sz w:val="22"/>
                <w:szCs w:val="22"/>
              </w:rPr>
              <w:t xml:space="preserve">Générer les données simulées InSilicoSeq</w:t>
            </w:r>
          </w:p>
        </w:tc>
      </w:tr>
      <w:tr>
        <w:tc>
          <w:tcPr>
            <w:tcW w:type="dxa" w:w="6126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0" w:after="4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Actions à réaliser :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Télécharger les génomes de référence : Vibrio cholerae, E. coli, Klebsiella pneumoniae (NCBI)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Générer simulation : iss generate --genomes ... --n_reads 500000 --model HiSeq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Mélange cible : 85% bactéries communes, 10% ADN humain, 5% V. cholerae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Générer 3 réplicas de simulation pour robustesse statistique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5. Vérifier les fichiers .fastq générés (taille, nombre de reads)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6. Stocker dans data/simulated/ et documenter les paramètres exacts</w:t>
            </w:r>
          </w:p>
        </w:tc>
        <w:tc>
          <w:tcPr>
            <w:tcW w:type="dxa" w:w="2900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📦 Livrable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3 jeux de données .fastq simulés dans data/simulated/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00796B"/>
                <w:sz w:val="20"/>
                <w:szCs w:val="20"/>
              </w:rPr>
              <w:t xml:space="preserve">📅 Délai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Semaines 3–4 (début août)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20"/>
                <w:szCs w:val="20"/>
              </w:rPr>
              <w:t xml:space="preserve">🔗 Dépendances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T1.2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5D6A7" w:sz="4"/>
          <w:left w:val="single" w:color="A5D6A7" w:sz="4"/>
          <w:bottom w:val="single" w:color="A5D6A7" w:sz="4"/>
          <w:right w:val="single" w:color="A5D6A7" w:sz="4"/>
          <w:insideH w:val="single" w:color="A5D6A7" w:sz="4"/>
          <w:insideV w:val="single" w:color="A5D6A7" w:sz="4"/>
        </w:tblBorders>
      </w:tblPr>
      <w:tblGrid>
        <w:gridCol w:w="900"/>
        <w:gridCol w:w="5226"/>
        <w:gridCol w:w="1200"/>
        <w:gridCol w:w="1700"/>
      </w:tblGrid>
      <w:tr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T1.8</w:t>
            </w:r>
          </w:p>
        </w:tc>
        <w:tc>
          <w:tcPr>
            <w:tcW w:type="dxa" w:w="8126"/>
            <w:gridSpan w:val="3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96B"/>
                <w:sz w:val="22"/>
                <w:szCs w:val="22"/>
              </w:rPr>
              <w:t xml:space="preserve">Écrire kraken2_runner.py</w:t>
            </w:r>
          </w:p>
        </w:tc>
      </w:tr>
      <w:tr>
        <w:tc>
          <w:tcPr>
            <w:tcW w:type="dxa" w:w="6126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0" w:after="4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Actions à réaliser :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Script Python : prend en entrée un dossier de .fastq, lance Kraken2 sur chaque fichier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Parser les fichiers de sortie Kraken2 (.report.txt) vers un DataFrame pandas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Calculer les métriques : % classified, top 10 taxons, abondances relatives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Exporter en JSON et CSV dans results/kraken2_output/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5. Ajouter un mode --sample-list pour traitement en batch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6. Tests unitaires (pytest) : valider le parsing sur des fichiers de sortie exemples</w:t>
            </w:r>
          </w:p>
        </w:tc>
        <w:tc>
          <w:tcPr>
            <w:tcW w:type="dxa" w:w="2900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📦 Livrable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scripts/kraken2_runner.py + tests pytest passants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00796B"/>
                <w:sz w:val="20"/>
                <w:szCs w:val="20"/>
              </w:rPr>
              <w:t xml:space="preserve">📅 Délai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Semaines 5–6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20"/>
                <w:szCs w:val="20"/>
              </w:rPr>
              <w:t xml:space="preserve">🔗 Dépendances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T1.3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5D6A7" w:sz="4"/>
          <w:left w:val="single" w:color="A5D6A7" w:sz="4"/>
          <w:bottom w:val="single" w:color="A5D6A7" w:sz="4"/>
          <w:right w:val="single" w:color="A5D6A7" w:sz="4"/>
          <w:insideH w:val="single" w:color="A5D6A7" w:sz="4"/>
          <w:insideV w:val="single" w:color="A5D6A7" w:sz="4"/>
        </w:tblBorders>
      </w:tblPr>
      <w:tblGrid>
        <w:gridCol w:w="900"/>
        <w:gridCol w:w="5226"/>
        <w:gridCol w:w="1200"/>
        <w:gridCol w:w="1700"/>
      </w:tblGrid>
      <w:tr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T1.9</w:t>
            </w:r>
          </w:p>
        </w:tc>
        <w:tc>
          <w:tcPr>
            <w:tcW w:type="dxa" w:w="8126"/>
            <w:gridSpan w:val="3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96B"/>
                <w:sz w:val="22"/>
                <w:szCs w:val="22"/>
              </w:rPr>
              <w:t xml:space="preserve">Valider le pipeline sur données simulées</w:t>
            </w:r>
          </w:p>
        </w:tc>
      </w:tr>
      <w:tr>
        <w:tc>
          <w:tcPr>
            <w:tcW w:type="dxa" w:w="6126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0" w:after="4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Actions à réaliser :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Lancer Snakemake complet sur les 3 jeux de données InSilicoSeq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Vérifier critère principal : V. cholerae détecté entre 4% et 6% (tolérance ± 1%)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Vérifier sensibilité et spécificité vs abondances simulées connues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Analyser les faux positifs/négatifs de la classification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5. Documenter les résultats dans results/validation_report_phase1.md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6. Présenter les résultats à l'équipe lors de la réunion hebdomadaire</w:t>
            </w:r>
          </w:p>
        </w:tc>
        <w:tc>
          <w:tcPr>
            <w:tcW w:type="dxa" w:w="2900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📦 Livrable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Rapport de validation Phase 1 + critère V. cholerae validé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00796B"/>
                <w:sz w:val="20"/>
                <w:szCs w:val="20"/>
              </w:rPr>
              <w:t xml:space="preserve">📅 Délai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Fin août (semaine 8)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20"/>
                <w:szCs w:val="20"/>
              </w:rPr>
              <w:t xml:space="preserve">🔗 Dépendances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T1.6, T1.7, T1.8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8B57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PHASE 2 — Données NCBI SRA (Septembre 2026)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5D6A7" w:sz="4"/>
          <w:left w:val="single" w:color="A5D6A7" w:sz="4"/>
          <w:bottom w:val="single" w:color="A5D6A7" w:sz="4"/>
          <w:right w:val="single" w:color="A5D6A7" w:sz="4"/>
          <w:insideH w:val="single" w:color="A5D6A7" w:sz="4"/>
          <w:insideV w:val="single" w:color="A5D6A7" w:sz="4"/>
        </w:tblBorders>
      </w:tblPr>
      <w:tblGrid>
        <w:gridCol w:w="900"/>
        <w:gridCol w:w="5226"/>
        <w:gridCol w:w="1200"/>
        <w:gridCol w:w="1700"/>
      </w:tblGrid>
      <w:tr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T1.10</w:t>
            </w:r>
          </w:p>
        </w:tc>
        <w:tc>
          <w:tcPr>
            <w:tcW w:type="dxa" w:w="8126"/>
            <w:gridSpan w:val="3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96B"/>
                <w:sz w:val="22"/>
                <w:szCs w:val="22"/>
              </w:rPr>
              <w:t xml:space="preserve">Identifier et télécharger les datasets NCBI SRA</w:t>
            </w:r>
          </w:p>
        </w:tc>
      </w:tr>
      <w:tr>
        <w:tc>
          <w:tcPr>
            <w:tcW w:type="dxa" w:w="6126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0" w:after="4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Actions à réaliser :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Rechercher sur NCBI SRA : 'wastewater metagenomics Africa' + 'sewage metagenomics tropical'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Priorité : extraire les SRR du preprint Burkina Faso/Benin (mSphere 2023)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Sélectionner 3 à 5 datasets avec métadonnées complètes (pays, méthode, pathogènes)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Télécharger avec sra-toolkit : prefetch SRRxxxxxx + fastq-dump --split-files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5. Stocker dans data/ncbi_sra/ et créer un fichier README_datasets.md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6. Vérifier qualité brute avec FastQC avant traitement</w:t>
            </w:r>
          </w:p>
        </w:tc>
        <w:tc>
          <w:tcPr>
            <w:tcW w:type="dxa" w:w="2900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📦 Livrable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3–5 datasets .fastq téléchargés + README_datasets.md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00796B"/>
                <w:sz w:val="20"/>
                <w:szCs w:val="20"/>
              </w:rPr>
              <w:t xml:space="preserve">📅 Délai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Semaines 7–8 (début septembre)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20"/>
                <w:szCs w:val="20"/>
              </w:rPr>
              <w:t xml:space="preserve">🔗 Dépendances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T1.9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5D6A7" w:sz="4"/>
          <w:left w:val="single" w:color="A5D6A7" w:sz="4"/>
          <w:bottom w:val="single" w:color="A5D6A7" w:sz="4"/>
          <w:right w:val="single" w:color="A5D6A7" w:sz="4"/>
          <w:insideH w:val="single" w:color="A5D6A7" w:sz="4"/>
          <w:insideV w:val="single" w:color="A5D6A7" w:sz="4"/>
        </w:tblBorders>
      </w:tblPr>
      <w:tblGrid>
        <w:gridCol w:w="900"/>
        <w:gridCol w:w="5226"/>
        <w:gridCol w:w="1200"/>
        <w:gridCol w:w="1700"/>
      </w:tblGrid>
      <w:tr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T1.11</w:t>
            </w:r>
          </w:p>
        </w:tc>
        <w:tc>
          <w:tcPr>
            <w:tcW w:type="dxa" w:w="8126"/>
            <w:gridSpan w:val="3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96B"/>
                <w:sz w:val="22"/>
                <w:szCs w:val="22"/>
              </w:rPr>
              <w:t xml:space="preserve">Appliquer le pipeline sur les datasets NCBI SRA</w:t>
            </w:r>
          </w:p>
        </w:tc>
      </w:tr>
      <w:tr>
        <w:tc>
          <w:tcPr>
            <w:tcW w:type="dxa" w:w="6126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0" w:after="4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Actions à réaliser :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Adapter config.yaml pour pointer sur les nouvelles données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Lancer Snakemake complet sur les 3–5 datasets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Comparer les profils taxonomiques obtenus avec les publications sources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Identifier les pathogènes d'intérêt (choléra, typhoïde, entérovirus) détectés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5. Transmettre les sorties JSON/CSV à Membre 3 pour calibration du Normalizer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6. Rédiger rapport intermédiaire Phase 2 dans le Wiki</w:t>
            </w:r>
          </w:p>
        </w:tc>
        <w:tc>
          <w:tcPr>
            <w:tcW w:type="dxa" w:w="2900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📦 Livrable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Résultats pipeline sur données africaines réelles + rapport intermédiaire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00796B"/>
                <w:sz w:val="20"/>
                <w:szCs w:val="20"/>
              </w:rPr>
              <w:t xml:space="preserve">📅 Délai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Semaines 9–10 (mi-septembre)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20"/>
                <w:szCs w:val="20"/>
              </w:rPr>
              <w:t xml:space="preserve">🔗 Dépendances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T1.10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44444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PHASES 4–5 — Publication &amp; CPHIA (Octobre–Novembre 2026)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5D6A7" w:sz="4"/>
          <w:left w:val="single" w:color="A5D6A7" w:sz="4"/>
          <w:bottom w:val="single" w:color="A5D6A7" w:sz="4"/>
          <w:right w:val="single" w:color="A5D6A7" w:sz="4"/>
          <w:insideH w:val="single" w:color="A5D6A7" w:sz="4"/>
          <w:insideV w:val="single" w:color="A5D6A7" w:sz="4"/>
        </w:tblBorders>
      </w:tblPr>
      <w:tblGrid>
        <w:gridCol w:w="900"/>
        <w:gridCol w:w="5226"/>
        <w:gridCol w:w="1200"/>
        <w:gridCol w:w="1700"/>
      </w:tblGrid>
      <w:tr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T1.12</w:t>
            </w:r>
          </w:p>
        </w:tc>
        <w:tc>
          <w:tcPr>
            <w:tcW w:type="dxa" w:w="8126"/>
            <w:gridSpan w:val="3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96B"/>
                <w:sz w:val="22"/>
                <w:szCs w:val="22"/>
              </w:rPr>
              <w:t xml:space="preserve">Rédiger la section Méthodes — Pipeline</w:t>
            </w:r>
          </w:p>
        </w:tc>
      </w:tr>
      <w:tr>
        <w:tc>
          <w:tcPr>
            <w:tcW w:type="dxa" w:w="6126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0" w:after="4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Actions à réaliser :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Décrire le workflow Snakemake (règles, dépendances, parallélisation)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Détailler les paramètres Kraken2 et Bracken utilisés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Décrire les critères de filtrage qualité Trimmomatic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Inclure le schéma du flux de données (figure obligatoire pour publication)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5. Décrire le format de sortie PHA4GE-compliant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6. Soumettre à révision interne équipe avant soumission</w:t>
            </w:r>
          </w:p>
        </w:tc>
        <w:tc>
          <w:tcPr>
            <w:tcW w:type="dxa" w:w="2900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📦 Livrable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Section Méthodes-Pipeline rédigée et validée équipe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00796B"/>
                <w:sz w:val="20"/>
                <w:szCs w:val="20"/>
              </w:rPr>
              <w:t xml:space="preserve">📅 Délai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Semaine 15 (mi-octobre)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20"/>
                <w:szCs w:val="20"/>
              </w:rPr>
              <w:t xml:space="preserve">🔗 Dépendances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T1.11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5D6A7" w:sz="4"/>
          <w:left w:val="single" w:color="A5D6A7" w:sz="4"/>
          <w:bottom w:val="single" w:color="A5D6A7" w:sz="4"/>
          <w:right w:val="single" w:color="A5D6A7" w:sz="4"/>
          <w:insideH w:val="single" w:color="A5D6A7" w:sz="4"/>
          <w:insideV w:val="single" w:color="A5D6A7" w:sz="4"/>
        </w:tblBorders>
      </w:tblPr>
      <w:tblGrid>
        <w:gridCol w:w="900"/>
        <w:gridCol w:w="5226"/>
        <w:gridCol w:w="1200"/>
        <w:gridCol w:w="1700"/>
      </w:tblGrid>
      <w:tr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T1.13</w:t>
            </w:r>
          </w:p>
        </w:tc>
        <w:tc>
          <w:tcPr>
            <w:tcW w:type="dxa" w:w="8126"/>
            <w:gridSpan w:val="3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96B"/>
                <w:sz w:val="22"/>
                <w:szCs w:val="22"/>
              </w:rPr>
              <w:t xml:space="preserve">Lead Révision &amp; Soumission article</w:t>
            </w:r>
          </w:p>
        </w:tc>
      </w:tr>
      <w:tr>
        <w:tc>
          <w:tcPr>
            <w:tcW w:type="dxa" w:w="6126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0" w:after="4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Actions à réaliser :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Intégrer toutes les sections rédigées par M1, M2, M3, M4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Vérifier cohérence, style et normes du journal cible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Soumettre le preprint sur bioRxiv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Préparer la soumission formelle au journal cible (PLOS ONE en priorité)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5. Créer le compte auteur sur le système de soumission du journal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6. Archiver toutes les versions dans le repo GitHub (docs/article/)</w:t>
            </w:r>
          </w:p>
        </w:tc>
        <w:tc>
          <w:tcPr>
            <w:tcW w:type="dxa" w:w="2900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📦 Livrable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Preprint bioRxiv déposé + soumission journal initiée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00796B"/>
                <w:sz w:val="20"/>
                <w:szCs w:val="20"/>
              </w:rPr>
              <w:t xml:space="preserve">📅 Délai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Fin octobre 2026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20"/>
                <w:szCs w:val="20"/>
              </w:rPr>
              <w:t xml:space="preserve">🔗 Dépendances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Toutes sections rédigées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5D6A7" w:sz="4"/>
          <w:left w:val="single" w:color="A5D6A7" w:sz="4"/>
          <w:bottom w:val="single" w:color="A5D6A7" w:sz="4"/>
          <w:right w:val="single" w:color="A5D6A7" w:sz="4"/>
          <w:insideH w:val="single" w:color="A5D6A7" w:sz="4"/>
          <w:insideV w:val="single" w:color="A5D6A7" w:sz="4"/>
        </w:tblBorders>
      </w:tblPr>
      <w:tblGrid>
        <w:gridCol w:w="900"/>
        <w:gridCol w:w="5226"/>
        <w:gridCol w:w="1200"/>
        <w:gridCol w:w="1700"/>
      </w:tblGrid>
      <w:tr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T1.14</w:t>
            </w:r>
          </w:p>
        </w:tc>
        <w:tc>
          <w:tcPr>
            <w:tcW w:type="dxa" w:w="8126"/>
            <w:gridSpan w:val="3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96B"/>
                <w:sz w:val="22"/>
                <w:szCs w:val="22"/>
              </w:rPr>
              <w:t xml:space="preserve">Préparer la présentation CPHIA</w:t>
            </w:r>
          </w:p>
        </w:tc>
      </w:tr>
      <w:tr>
        <w:tc>
          <w:tcPr>
            <w:tcW w:type="dxa" w:w="6126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0" w:after="4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Actions à réaliser :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Structurer la présentation : 15 min exposé + 5 min Q&amp;A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Slides : problème → solution → méthodes → résultats → impact → financement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Préparer le pitch de réplication CEDEAO (15 pays, 1 semaine de déploiement)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Préparer la liste de contacts à rencontrer : Africa CDC focal point, Pandemic Fund, GLOWACON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5. Répéter la présentation avec l'équipe (au moins 2 fois)</w:t>
            </w:r>
          </w:p>
        </w:tc>
        <w:tc>
          <w:tcPr>
            <w:tcW w:type="dxa" w:w="2900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📦 Livrable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Présentation finale + pitch deck CEDEAO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00796B"/>
                <w:sz w:val="20"/>
                <w:szCs w:val="20"/>
              </w:rPr>
              <w:t xml:space="preserve">📅 Délai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Avant 20 novembre 2026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20"/>
                <w:szCs w:val="20"/>
              </w:rPr>
              <w:t xml:space="preserve">🔗 Dépendances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T1.11, T1.12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E2F94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before="0"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</w:rPr>
              <w:t xml:space="preserve">Membre 2 — Épidémiologiste de Santé Publique</w:t>
            </w:r>
          </w:p>
          <w:p>
            <w:pPr>
              <w:spacing w:before="0" w:after="0"/>
            </w:pPr>
            <w:r>
              <w:rPr>
                <w:rFonts w:ascii="Calibri" w:cs="Calibri" w:eastAsia="Calibri" w:hAnsi="Calibri"/>
                <w:i/>
                <w:iCs/>
                <w:color w:val="444444"/>
                <w:sz w:val="20"/>
                <w:szCs w:val="20"/>
              </w:rPr>
              <w:t xml:space="preserve">Épidémiologiste de Santé Publique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6B3A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PHASE SETUP — Juin–Juillet 2026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5D6A7" w:sz="4"/>
          <w:left w:val="single" w:color="A5D6A7" w:sz="4"/>
          <w:bottom w:val="single" w:color="A5D6A7" w:sz="4"/>
          <w:right w:val="single" w:color="A5D6A7" w:sz="4"/>
          <w:insideH w:val="single" w:color="A5D6A7" w:sz="4"/>
          <w:insideV w:val="single" w:color="A5D6A7" w:sz="4"/>
        </w:tblBorders>
      </w:tblPr>
      <w:tblGrid>
        <w:gridCol w:w="900"/>
        <w:gridCol w:w="5226"/>
        <w:gridCol w:w="1200"/>
        <w:gridCol w:w="1700"/>
      </w:tblGrid>
      <w:tr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T2.1</w:t>
            </w:r>
          </w:p>
        </w:tc>
        <w:tc>
          <w:tcPr>
            <w:tcW w:type="dxa" w:w="8126"/>
            <w:gridSpan w:val="3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96B"/>
                <w:sz w:val="22"/>
                <w:szCs w:val="22"/>
              </w:rPr>
              <w:t xml:space="preserve">Cartographier les sites de prélèvement à Lomé</w:t>
            </w:r>
          </w:p>
        </w:tc>
      </w:tr>
      <w:tr>
        <w:tc>
          <w:tcPr>
            <w:tcW w:type="dxa" w:w="6126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0" w:after="4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Actions à réaliser :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Identifier et valider les 5 sites prioritaires (Canal de Bè, Grand Marché, Agoè-Nyivé, STEP, Port)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Pour chaque site : noter coordonnées GPS, type de milieu (canal/drain/fosse), accessibilité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Évaluer la faisabilité de prélèvement (permission d'accès, sécurité)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Produire une carte annotée des sites (Google Maps, QGIS ou PDF)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5. Exporter en GeoJSON pour intégration future dans le dashboard Leaflet.js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6. Documenter les caractéristiques hydrologiques de chaque site</w:t>
            </w:r>
          </w:p>
        </w:tc>
        <w:tc>
          <w:tcPr>
            <w:tcW w:type="dxa" w:w="2900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📦 Livrable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Carte Lomé 5 sites (GeoJSON + PDF) + fiche descriptive de chaque site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00796B"/>
                <w:sz w:val="20"/>
                <w:szCs w:val="20"/>
              </w:rPr>
              <w:t xml:space="preserve">📅 Délai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Semaine 1–2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20"/>
                <w:szCs w:val="20"/>
              </w:rPr>
              <w:t xml:space="preserve">🔗 Dépendances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—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5D6A7" w:sz="4"/>
          <w:left w:val="single" w:color="A5D6A7" w:sz="4"/>
          <w:bottom w:val="single" w:color="A5D6A7" w:sz="4"/>
          <w:right w:val="single" w:color="A5D6A7" w:sz="4"/>
          <w:insideH w:val="single" w:color="A5D6A7" w:sz="4"/>
          <w:insideV w:val="single" w:color="A5D6A7" w:sz="4"/>
        </w:tblBorders>
      </w:tblPr>
      <w:tblGrid>
        <w:gridCol w:w="900"/>
        <w:gridCol w:w="5226"/>
        <w:gridCol w:w="1200"/>
        <w:gridCol w:w="1700"/>
      </w:tblGrid>
      <w:tr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T2.2</w:t>
            </w:r>
          </w:p>
        </w:tc>
        <w:tc>
          <w:tcPr>
            <w:tcW w:type="dxa" w:w="8126"/>
            <w:gridSpan w:val="3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96B"/>
                <w:sz w:val="22"/>
                <w:szCs w:val="22"/>
              </w:rPr>
              <w:t xml:space="preserve">Identifier les partenaires institutionnels</w:t>
            </w:r>
          </w:p>
        </w:tc>
      </w:tr>
      <w:tr>
        <w:tc>
          <w:tcPr>
            <w:tcW w:type="dxa" w:w="6126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0" w:after="4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Actions à réaliser :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Lister les contacts clés : Directeur Hygiène Publique (DHP), INSP Togo, OMS bureau Lomé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Identifier le contact Université de Lomé : Département Biologie/Santé Publique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Chercher les contacts Ministère de la Santé Togo : bureau surveillance épidémique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Vérifier si une autorisation de prélèvement sur voies d'eau est requise (cadre légal togolais)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5. Créer un fichier contacts.xlsx avec noms, fonctions, emails, téléphones</w:t>
            </w:r>
          </w:p>
        </w:tc>
        <w:tc>
          <w:tcPr>
            <w:tcW w:type="dxa" w:w="2900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📦 Livrable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Annuaire des partenaires institutionnels (fichier contacts)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00796B"/>
                <w:sz w:val="20"/>
                <w:szCs w:val="20"/>
              </w:rPr>
              <w:t xml:space="preserve">📅 Délai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Semaine 2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20"/>
                <w:szCs w:val="20"/>
              </w:rPr>
              <w:t xml:space="preserve">🔗 Dépendances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—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796B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PHASE 1 — Protocoles &amp; Démarches (Août 2026)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5D6A7" w:sz="4"/>
          <w:left w:val="single" w:color="A5D6A7" w:sz="4"/>
          <w:bottom w:val="single" w:color="A5D6A7" w:sz="4"/>
          <w:right w:val="single" w:color="A5D6A7" w:sz="4"/>
          <w:insideH w:val="single" w:color="A5D6A7" w:sz="4"/>
          <w:insideV w:val="single" w:color="A5D6A7" w:sz="4"/>
        </w:tblBorders>
      </w:tblPr>
      <w:tblGrid>
        <w:gridCol w:w="900"/>
        <w:gridCol w:w="5226"/>
        <w:gridCol w:w="1200"/>
        <w:gridCol w:w="1700"/>
      </w:tblGrid>
      <w:tr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T2.3</w:t>
            </w:r>
          </w:p>
        </w:tc>
        <w:tc>
          <w:tcPr>
            <w:tcW w:type="dxa" w:w="8126"/>
            <w:gridSpan w:val="3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96B"/>
                <w:sz w:val="22"/>
                <w:szCs w:val="22"/>
              </w:rPr>
              <w:t xml:space="preserve">Rédiger le Protocole Standard de Prélèvement (PSP) v1.0</w:t>
            </w:r>
          </w:p>
        </w:tc>
      </w:tr>
      <w:tr>
        <w:tc>
          <w:tcPr>
            <w:tcW w:type="dxa" w:w="6126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0" w:after="4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Actions à réaliser :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S'appuyer sur le WHO WES Guidance (décembre 2024) et le ODIN Laboratory Handbook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Adapter le protocole aux milieux non-raccordés : canaux ouverts, drains, marchés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Décrire : matériel requis, équipements de protection, procédure de prélèvement étape par étape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Définir : volumes (1–2 L), conditions de conservation (4°C, RNAlater si délai &gt; 6h)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5. Intégrer : fiche de traçabilité (code site, date, heure, opérateur, conditions météo)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6. Faire valider le PSP par Membre 4 (biologiste) avant version finale</w:t>
            </w:r>
          </w:p>
        </w:tc>
        <w:tc>
          <w:tcPr>
            <w:tcW w:type="dxa" w:w="2900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📦 Livrable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PSP v1.0 rédigé et validé par M4 (docs/protocoles/PSP_v1.0.docx)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00796B"/>
                <w:sz w:val="20"/>
                <w:szCs w:val="20"/>
              </w:rPr>
              <w:t xml:space="preserve">📅 Délai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Semaines 3–4 (début août)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20"/>
                <w:szCs w:val="20"/>
              </w:rPr>
              <w:t xml:space="preserve">🔗 Dépendances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T2.1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5D6A7" w:sz="4"/>
          <w:left w:val="single" w:color="A5D6A7" w:sz="4"/>
          <w:bottom w:val="single" w:color="A5D6A7" w:sz="4"/>
          <w:right w:val="single" w:color="A5D6A7" w:sz="4"/>
          <w:insideH w:val="single" w:color="A5D6A7" w:sz="4"/>
          <w:insideV w:val="single" w:color="A5D6A7" w:sz="4"/>
        </w:tblBorders>
      </w:tblPr>
      <w:tblGrid>
        <w:gridCol w:w="900"/>
        <w:gridCol w:w="5226"/>
        <w:gridCol w:w="1200"/>
        <w:gridCol w:w="1700"/>
      </w:tblGrid>
      <w:tr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T2.4</w:t>
            </w:r>
          </w:p>
        </w:tc>
        <w:tc>
          <w:tcPr>
            <w:tcW w:type="dxa" w:w="8126"/>
            <w:gridSpan w:val="3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96B"/>
                <w:sz w:val="22"/>
                <w:szCs w:val="22"/>
              </w:rPr>
              <w:t xml:space="preserve">Définir les seuils d'alerte épidémiologique</w:t>
            </w:r>
          </w:p>
        </w:tc>
      </w:tr>
      <w:tr>
        <w:tc>
          <w:tcPr>
            <w:tcW w:type="dxa" w:w="6126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0" w:after="4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Actions à réaliser :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Définir les pathogènes prioritaires pour le Togo (choléra, typhoïde, polio, dengue)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Pour chaque pathogène : définir le seuil 'alerte jaune' (signal précoce) et 'alerte rouge' (urgence)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Baser les seuils sur : littérature WBE existante + données épidémio Togo (MSPS, OMS)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Documenter la justification de chaque seuil dans un dictionnaire des seuils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5. Transmettre le dictionnaire à Membre 3 pour intégration dans le Normalizer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6. Prévoir une procédure de mise à jour des seuils basée sur les données terrain réelles</w:t>
            </w:r>
          </w:p>
        </w:tc>
        <w:tc>
          <w:tcPr>
            <w:tcW w:type="dxa" w:w="2900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📦 Livrable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Dictionnaire des seuils d'alerte + justification bibliographique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00796B"/>
                <w:sz w:val="20"/>
                <w:szCs w:val="20"/>
              </w:rPr>
              <w:t xml:space="preserve">📅 Délai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Semaine 5–6 (mi-août)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20"/>
                <w:szCs w:val="20"/>
              </w:rPr>
              <w:t xml:space="preserve">🔗 Dépendances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T2.2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5D6A7" w:sz="4"/>
          <w:left w:val="single" w:color="A5D6A7" w:sz="4"/>
          <w:bottom w:val="single" w:color="A5D6A7" w:sz="4"/>
          <w:right w:val="single" w:color="A5D6A7" w:sz="4"/>
          <w:insideH w:val="single" w:color="A5D6A7" w:sz="4"/>
          <w:insideV w:val="single" w:color="A5D6A7" w:sz="4"/>
        </w:tblBorders>
      </w:tblPr>
      <w:tblGrid>
        <w:gridCol w:w="900"/>
        <w:gridCol w:w="5226"/>
        <w:gridCol w:w="1200"/>
        <w:gridCol w:w="1700"/>
      </w:tblGrid>
      <w:tr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T2.5</w:t>
            </w:r>
          </w:p>
        </w:tc>
        <w:tc>
          <w:tcPr>
            <w:tcW w:type="dxa" w:w="8126"/>
            <w:gridSpan w:val="3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96B"/>
                <w:sz w:val="22"/>
                <w:szCs w:val="22"/>
              </w:rPr>
              <w:t xml:space="preserve">Prendre contact avec les institutions partenaires</w:t>
            </w:r>
          </w:p>
        </w:tc>
      </w:tr>
      <w:tr>
        <w:tc>
          <w:tcPr>
            <w:tcW w:type="dxa" w:w="6126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0" w:after="4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Actions à réaliser :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Rédiger la lettre de présentation institutionnelle (avec Membre 1 pour la partie technique)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Envoyer la lettre à : DHP, INSP Togo, OMS bureau Lomé, Université de Lomé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Suivre les réponses et relancer si nécessaire après 2 semaines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Objectif prioritaire : accord Université de Lomé pour présentation septembre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5. Objectif phase 3 : accord Ministère de la Santé pour autorisation prélèvements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6. Archiver toutes les correspondances dans docs/correspondances/</w:t>
            </w:r>
          </w:p>
        </w:tc>
        <w:tc>
          <w:tcPr>
            <w:tcW w:type="dxa" w:w="2900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📦 Livrable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Lettres envoyées + accord de principe Université de Lomé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00796B"/>
                <w:sz w:val="20"/>
                <w:szCs w:val="20"/>
              </w:rPr>
              <w:t xml:space="preserve">📅 Délai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Avant fin août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20"/>
                <w:szCs w:val="20"/>
              </w:rPr>
              <w:t xml:space="preserve">🔗 Dépendances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T2.2, T2.3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44444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PHASES 4–5 — Article &amp; CPHIA (Octobre–Novembre 2026)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5D6A7" w:sz="4"/>
          <w:left w:val="single" w:color="A5D6A7" w:sz="4"/>
          <w:bottom w:val="single" w:color="A5D6A7" w:sz="4"/>
          <w:right w:val="single" w:color="A5D6A7" w:sz="4"/>
          <w:insideH w:val="single" w:color="A5D6A7" w:sz="4"/>
          <w:insideV w:val="single" w:color="A5D6A7" w:sz="4"/>
        </w:tblBorders>
      </w:tblPr>
      <w:tblGrid>
        <w:gridCol w:w="900"/>
        <w:gridCol w:w="5226"/>
        <w:gridCol w:w="1200"/>
        <w:gridCol w:w="1700"/>
      </w:tblGrid>
      <w:tr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T2.6</w:t>
            </w:r>
          </w:p>
        </w:tc>
        <w:tc>
          <w:tcPr>
            <w:tcW w:type="dxa" w:w="8126"/>
            <w:gridSpan w:val="3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96B"/>
                <w:sz w:val="22"/>
                <w:szCs w:val="22"/>
              </w:rPr>
              <w:t xml:space="preserve">Rédiger la section Introduction de l'article</w:t>
            </w:r>
          </w:p>
        </w:tc>
      </w:tr>
      <w:tr>
        <w:tc>
          <w:tcPr>
            <w:tcW w:type="dxa" w:w="6126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0" w:after="4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Actions à réaliser :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Présenter les lacunes de surveillance épidémiologique en Afrique de l'Ouest (sous-notification, délai)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Introduire le principe WBE et ses avantages (2 semaines d'anticipation, coût, scalabilité)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Positionner AquaVigil-WA vs Burkina Faso, Dakar/IPD et projet ODIN (différenciation)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Citer les articles clés du document de références scientifiques [01][02][13][16]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5. Conclure par les objectifs précis de l'étude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6. Longueur cible : 600–800 mots</w:t>
            </w:r>
          </w:p>
        </w:tc>
        <w:tc>
          <w:tcPr>
            <w:tcW w:type="dxa" w:w="2900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📦 Livrable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Section Introduction rédigée (docs/article/introduction_v1.docx)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00796B"/>
                <w:sz w:val="20"/>
                <w:szCs w:val="20"/>
              </w:rPr>
              <w:t xml:space="preserve">📅 Délai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Semaine 15–16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20"/>
                <w:szCs w:val="20"/>
              </w:rPr>
              <w:t xml:space="preserve">🔗 Dépendances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T1.11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5D6A7" w:sz="4"/>
          <w:left w:val="single" w:color="A5D6A7" w:sz="4"/>
          <w:bottom w:val="single" w:color="A5D6A7" w:sz="4"/>
          <w:right w:val="single" w:color="A5D6A7" w:sz="4"/>
          <w:insideH w:val="single" w:color="A5D6A7" w:sz="4"/>
          <w:insideV w:val="single" w:color="A5D6A7" w:sz="4"/>
        </w:tblBorders>
      </w:tblPr>
      <w:tblGrid>
        <w:gridCol w:w="900"/>
        <w:gridCol w:w="5226"/>
        <w:gridCol w:w="1200"/>
        <w:gridCol w:w="1700"/>
      </w:tblGrid>
      <w:tr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T2.7</w:t>
            </w:r>
          </w:p>
        </w:tc>
        <w:tc>
          <w:tcPr>
            <w:tcW w:type="dxa" w:w="8126"/>
            <w:gridSpan w:val="3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96B"/>
                <w:sz w:val="22"/>
                <w:szCs w:val="22"/>
              </w:rPr>
              <w:t xml:space="preserve">Rédiger la section Discussion &amp; Conclusion</w:t>
            </w:r>
          </w:p>
        </w:tc>
      </w:tr>
      <w:tr>
        <w:tc>
          <w:tcPr>
            <w:tcW w:type="dxa" w:w="6126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0" w:after="4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Actions à réaliser :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Interpréter les résultats dans le contexte de la santé publique togolaise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Comparer avec les approches Burkina Faso, Sénégal et Nigeria (section comparative)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Discuter les limites : données simulées vs réelles, taille pilote, saison unique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Proposer la feuille de route pour le déploiement national et la réplication CEDEAO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5. Conclure sur les implications pour Africa CDC et GLOWACON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6. Longueur cible : 800–1000 mots</w:t>
            </w:r>
          </w:p>
        </w:tc>
        <w:tc>
          <w:tcPr>
            <w:tcW w:type="dxa" w:w="2900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📦 Livrable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Section Discussion rédigée (docs/article/discussion_v1.docx)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00796B"/>
                <w:sz w:val="20"/>
                <w:szCs w:val="20"/>
              </w:rPr>
              <w:t xml:space="preserve">📅 Délai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Semaine 17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20"/>
                <w:szCs w:val="20"/>
              </w:rPr>
              <w:t xml:space="preserve">🔗 Dépendances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T1.11, T2.6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7560A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before="0"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</w:rPr>
              <w:t xml:space="preserve">Membre 3 — Data Scientist &amp; Modélisation Prédictive</w:t>
            </w:r>
          </w:p>
          <w:p>
            <w:pPr>
              <w:spacing w:before="0" w:after="0"/>
            </w:pPr>
            <w:r>
              <w:rPr>
                <w:rFonts w:ascii="Calibri" w:cs="Calibri" w:eastAsia="Calibri" w:hAnsi="Calibri"/>
                <w:i/>
                <w:iCs/>
                <w:color w:val="444444"/>
                <w:sz w:val="20"/>
                <w:szCs w:val="20"/>
              </w:rPr>
              <w:t xml:space="preserve">Data Scientist — Modélisation Statistique &amp; Machine Learning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6B3A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PHASE SETUP — Juillet 2026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5D6A7" w:sz="4"/>
          <w:left w:val="single" w:color="A5D6A7" w:sz="4"/>
          <w:bottom w:val="single" w:color="A5D6A7" w:sz="4"/>
          <w:right w:val="single" w:color="A5D6A7" w:sz="4"/>
          <w:insideH w:val="single" w:color="A5D6A7" w:sz="4"/>
          <w:insideV w:val="single" w:color="A5D6A7" w:sz="4"/>
        </w:tblBorders>
      </w:tblPr>
      <w:tblGrid>
        <w:gridCol w:w="900"/>
        <w:gridCol w:w="5226"/>
        <w:gridCol w:w="1200"/>
        <w:gridCol w:w="1700"/>
      </w:tblGrid>
      <w:tr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T3.1</w:t>
            </w:r>
          </w:p>
        </w:tc>
        <w:tc>
          <w:tcPr>
            <w:tcW w:type="dxa" w:w="8126"/>
            <w:gridSpan w:val="3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96B"/>
                <w:sz w:val="22"/>
                <w:szCs w:val="22"/>
              </w:rPr>
              <w:t xml:space="preserve">Installer l'environnement Python de modélisation</w:t>
            </w:r>
          </w:p>
        </w:tc>
      </w:tr>
      <w:tr>
        <w:tc>
          <w:tcPr>
            <w:tcW w:type="dxa" w:w="6126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0" w:after="4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Actions à réaliser :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Créer environment_modelling.yml : pandas, numpy, statsmodels, scikit-learn, scipy, matplotlib, seaborn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Ajouter : pytest pour les tests unitaires, jupyter pour les notebooks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Tester l'installation : import statsmodels; from statsmodels.tsa.arima.model import ARIMA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Configurer Jupyter Lab dans l'environnement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5. Documenter les versions dans le Wiki GitHub</w:t>
            </w:r>
          </w:p>
        </w:tc>
        <w:tc>
          <w:tcPr>
            <w:tcW w:type="dxa" w:w="2900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📦 Livrable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environment_modelling.yml + test d'import réussi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00796B"/>
                <w:sz w:val="20"/>
                <w:szCs w:val="20"/>
              </w:rPr>
              <w:t xml:space="preserve">📅 Délai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Semaine 1–2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20"/>
                <w:szCs w:val="20"/>
              </w:rPr>
              <w:t xml:space="preserve">🔗 Dépendances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T1.1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796B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PHASE 1 — Normalizer (Août 2026)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5D6A7" w:sz="4"/>
          <w:left w:val="single" w:color="A5D6A7" w:sz="4"/>
          <w:bottom w:val="single" w:color="A5D6A7" w:sz="4"/>
          <w:right w:val="single" w:color="A5D6A7" w:sz="4"/>
          <w:insideH w:val="single" w:color="A5D6A7" w:sz="4"/>
          <w:insideV w:val="single" w:color="A5D6A7" w:sz="4"/>
        </w:tblBorders>
      </w:tblPr>
      <w:tblGrid>
        <w:gridCol w:w="900"/>
        <w:gridCol w:w="5226"/>
        <w:gridCol w:w="1200"/>
        <w:gridCol w:w="1700"/>
      </w:tblGrid>
      <w:tr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T3.2</w:t>
            </w:r>
          </w:p>
        </w:tc>
        <w:tc>
          <w:tcPr>
            <w:tcW w:type="dxa" w:w="8126"/>
            <w:gridSpan w:val="3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96B"/>
                <w:sz w:val="22"/>
                <w:szCs w:val="22"/>
              </w:rPr>
              <w:t xml:space="preserve">Développer le module normalizer.py</w:t>
            </w:r>
          </w:p>
        </w:tc>
      </w:tr>
      <w:tr>
        <w:tc>
          <w:tcPr>
            <w:tcW w:type="dxa" w:w="6126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0" w:after="4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Actions à réaliser :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Prendre en entrée : fichier CSV Bracken (abondances taxonomiques par échantillon)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Implémenter normalisation PMMoV : Signal_norm = Abondance(pathogène) / Abondance(PMMoV) × 10⁶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Implémenter normalisation CrAssphage (biomarqueur alternatif)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Gérer les cas limites : PMMoV non détecté, abondances nulles, valeurs aberrantes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5. Exporter le signal normalisé en JSON (format PHA4GE-compliant : site_id, timestamp, pathogen, signal_normalized, normalization_marker)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6. Recevoir les données de test depuis Membre 1 (sorties Kraken2/Bracken phase 1)</w:t>
            </w:r>
          </w:p>
        </w:tc>
        <w:tc>
          <w:tcPr>
            <w:tcW w:type="dxa" w:w="2900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📦 Livrable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scripts/normalizer.py fonctionnel + JSON PHA4GE-compliant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00796B"/>
                <w:sz w:val="20"/>
                <w:szCs w:val="20"/>
              </w:rPr>
              <w:t xml:space="preserve">📅 Délai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Semaines 5–6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20"/>
                <w:szCs w:val="20"/>
              </w:rPr>
              <w:t xml:space="preserve">🔗 Dépendances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T1.8, T3.1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5D6A7" w:sz="4"/>
          <w:left w:val="single" w:color="A5D6A7" w:sz="4"/>
          <w:bottom w:val="single" w:color="A5D6A7" w:sz="4"/>
          <w:right w:val="single" w:color="A5D6A7" w:sz="4"/>
          <w:insideH w:val="single" w:color="A5D6A7" w:sz="4"/>
          <w:insideV w:val="single" w:color="A5D6A7" w:sz="4"/>
        </w:tblBorders>
      </w:tblPr>
      <w:tblGrid>
        <w:gridCol w:w="900"/>
        <w:gridCol w:w="5226"/>
        <w:gridCol w:w="1200"/>
        <w:gridCol w:w="1700"/>
      </w:tblGrid>
      <w:tr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T3.3</w:t>
            </w:r>
          </w:p>
        </w:tc>
        <w:tc>
          <w:tcPr>
            <w:tcW w:type="dxa" w:w="8126"/>
            <w:gridSpan w:val="3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96B"/>
                <w:sz w:val="22"/>
                <w:szCs w:val="22"/>
              </w:rPr>
              <w:t xml:space="preserve">Écrire les tests unitaires du Normalizer</w:t>
            </w:r>
          </w:p>
        </w:tc>
      </w:tr>
      <w:tr>
        <w:tc>
          <w:tcPr>
            <w:tcW w:type="dxa" w:w="6126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0" w:after="4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Actions à réaliser :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tests/test_normalizer.py : tester normalisation avec PMMoV présent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Tester le cas où PMMoV est absent (fallback sur CrAssphage)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Tester avec données nulles et valeurs extrêmes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Tester le format de sortie JSON (vérifier tous les champs PHA4GE)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5. Atteindre &gt; 90% de couverture de code (pytest --cov)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6. Intégrer les tests dans le repo GitHub (CI optionnel)</w:t>
            </w:r>
          </w:p>
        </w:tc>
        <w:tc>
          <w:tcPr>
            <w:tcW w:type="dxa" w:w="2900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📦 Livrable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tests/test_normalizer.py passant à &gt; 90% coverage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00796B"/>
                <w:sz w:val="20"/>
                <w:szCs w:val="20"/>
              </w:rPr>
              <w:t xml:space="preserve">📅 Délai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Semaine 6–7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20"/>
                <w:szCs w:val="20"/>
              </w:rPr>
              <w:t xml:space="preserve">🔗 Dépendances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T3.2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8B57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PHASE 2 — Trend Predictor &amp; Dashboard (Septembre 2026)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5D6A7" w:sz="4"/>
          <w:left w:val="single" w:color="A5D6A7" w:sz="4"/>
          <w:bottom w:val="single" w:color="A5D6A7" w:sz="4"/>
          <w:right w:val="single" w:color="A5D6A7" w:sz="4"/>
          <w:insideH w:val="single" w:color="A5D6A7" w:sz="4"/>
          <w:insideV w:val="single" w:color="A5D6A7" w:sz="4"/>
        </w:tblBorders>
      </w:tblPr>
      <w:tblGrid>
        <w:gridCol w:w="900"/>
        <w:gridCol w:w="5226"/>
        <w:gridCol w:w="1200"/>
        <w:gridCol w:w="1700"/>
      </w:tblGrid>
      <w:tr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T3.4</w:t>
            </w:r>
          </w:p>
        </w:tc>
        <w:tc>
          <w:tcPr>
            <w:tcW w:type="dxa" w:w="8126"/>
            <w:gridSpan w:val="3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96B"/>
                <w:sz w:val="22"/>
                <w:szCs w:val="22"/>
              </w:rPr>
              <w:t xml:space="preserve">Développer le module trend_predictor.py</w:t>
            </w:r>
          </w:p>
        </w:tc>
      </w:tr>
      <w:tr>
        <w:tc>
          <w:tcPr>
            <w:tcW w:type="dxa" w:w="6126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0" w:after="4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Actions à réaliser :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Implémenter Niveau 1 : ratio signal_N / moyenne_mobile_4_semaines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Appliquer les seuils : &gt; 2.0 → alerte jaune, &gt; 4.0 → alerte rouge (seuils M2)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Implémenter Niveau 2 : ARIMA(p,d,q) pour projection tendance 2 semaines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Sélection automatique des paramètres (p,d,q) via AIC/BIC (auto_arima de pmdarima)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5. Implémenter Niveau 3 : Isolation Forest pour détection anomalies multivariées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6. Exporter les alertes en JSON avec niveau d'alerte, score, pathogène, site</w:t>
            </w:r>
          </w:p>
        </w:tc>
        <w:tc>
          <w:tcPr>
            <w:tcW w:type="dxa" w:w="2900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📦 Livrable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scripts/trend_predictor.py avec 3 niveaux de détection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00796B"/>
                <w:sz w:val="20"/>
                <w:szCs w:val="20"/>
              </w:rPr>
              <w:t xml:space="preserve">📅 Délai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Semaines 8–10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20"/>
                <w:szCs w:val="20"/>
              </w:rPr>
              <w:t xml:space="preserve">🔗 Dépendances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T3.2, T2.4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5D6A7" w:sz="4"/>
          <w:left w:val="single" w:color="A5D6A7" w:sz="4"/>
          <w:bottom w:val="single" w:color="A5D6A7" w:sz="4"/>
          <w:right w:val="single" w:color="A5D6A7" w:sz="4"/>
          <w:insideH w:val="single" w:color="A5D6A7" w:sz="4"/>
          <w:insideV w:val="single" w:color="A5D6A7" w:sz="4"/>
        </w:tblBorders>
      </w:tblPr>
      <w:tblGrid>
        <w:gridCol w:w="900"/>
        <w:gridCol w:w="5226"/>
        <w:gridCol w:w="1200"/>
        <w:gridCol w:w="1700"/>
      </w:tblGrid>
      <w:tr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T3.5</w:t>
            </w:r>
          </w:p>
        </w:tc>
        <w:tc>
          <w:tcPr>
            <w:tcW w:type="dxa" w:w="8126"/>
            <w:gridSpan w:val="3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96B"/>
                <w:sz w:val="22"/>
                <w:szCs w:val="22"/>
              </w:rPr>
              <w:t xml:space="preserve">Notebook Jupyter — Exploration NCBI SRA</w:t>
            </w:r>
          </w:p>
        </w:tc>
      </w:tr>
      <w:tr>
        <w:tc>
          <w:tcPr>
            <w:tcW w:type="dxa" w:w="6126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0" w:after="4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Actions à réaliser :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Charger les sorties Kraken2/Bracken des datasets NCBI SRA (transmis par M1)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Analyse exploratoire : distributions des abondances, diversité taxonomique, saisonnalité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Tester la normalisation PMMoV sur des données africaines réelles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Calibrer les paramètres ARIMA sur ces séries temporelles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5. Documenter les observations dans le notebook (markdown cells)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6. Exporter le notebook HTML pour partage avec l'équipe</w:t>
            </w:r>
          </w:p>
        </w:tc>
        <w:tc>
          <w:tcPr>
            <w:tcW w:type="dxa" w:w="2900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📦 Livrable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notebooks/exploration_ncbi_sra.ipynb + HTML exporté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00796B"/>
                <w:sz w:val="20"/>
                <w:szCs w:val="20"/>
              </w:rPr>
              <w:t xml:space="preserve">📅 Délai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Semaines 9–11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20"/>
                <w:szCs w:val="20"/>
              </w:rPr>
              <w:t xml:space="preserve">🔗 Dépendances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T1.11, T3.4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5D6A7" w:sz="4"/>
          <w:left w:val="single" w:color="A5D6A7" w:sz="4"/>
          <w:bottom w:val="single" w:color="A5D6A7" w:sz="4"/>
          <w:right w:val="single" w:color="A5D6A7" w:sz="4"/>
          <w:insideH w:val="single" w:color="A5D6A7" w:sz="4"/>
          <w:insideV w:val="single" w:color="A5D6A7" w:sz="4"/>
        </w:tblBorders>
      </w:tblPr>
      <w:tblGrid>
        <w:gridCol w:w="900"/>
        <w:gridCol w:w="5226"/>
        <w:gridCol w:w="1200"/>
        <w:gridCol w:w="1700"/>
      </w:tblGrid>
      <w:tr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T3.6</w:t>
            </w:r>
          </w:p>
        </w:tc>
        <w:tc>
          <w:tcPr>
            <w:tcW w:type="dxa" w:w="8126"/>
            <w:gridSpan w:val="3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96B"/>
                <w:sz w:val="22"/>
                <w:szCs w:val="22"/>
              </w:rPr>
              <w:t xml:space="preserve">Développer la Brique 3 — Dashboard d'alerte</w:t>
            </w:r>
          </w:p>
        </w:tc>
      </w:tr>
      <w:tr>
        <w:tc>
          <w:tcPr>
            <w:tcW w:type="dxa" w:w="6126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0" w:after="4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Actions à réaliser :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Backend FastAPI : endpoint GET /alerts retournant les alertes JSON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Endpoint GET /timeseries/{site_id}/{pathogen} retournant la série temporelle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Frontend : carte Leaflet.js des 5 sites Lomé avec markers colorés (vert/jaune/rouge)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Graphes Chart.js : évolution temporelle du signal normalisé par site et pathogène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5. Intégrer les GeoJSON des sites (fournis par M2)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6. Tester le dashboard avec les données simulées de Phase 1</w:t>
            </w:r>
          </w:p>
        </w:tc>
        <w:tc>
          <w:tcPr>
            <w:tcW w:type="dxa" w:w="2900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📦 Livrable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Dashboard fonctionnel en local (demo données simulées)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00796B"/>
                <w:sz w:val="20"/>
                <w:szCs w:val="20"/>
              </w:rPr>
              <w:t xml:space="preserve">📅 Délai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Semaines 12–14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20"/>
                <w:szCs w:val="20"/>
              </w:rPr>
              <w:t xml:space="preserve">🔗 Dépendances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T3.4, T2.1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44444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PHASE 4 — Article (Octobre 2026)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5D6A7" w:sz="4"/>
          <w:left w:val="single" w:color="A5D6A7" w:sz="4"/>
          <w:bottom w:val="single" w:color="A5D6A7" w:sz="4"/>
          <w:right w:val="single" w:color="A5D6A7" w:sz="4"/>
          <w:insideH w:val="single" w:color="A5D6A7" w:sz="4"/>
          <w:insideV w:val="single" w:color="A5D6A7" w:sz="4"/>
        </w:tblBorders>
      </w:tblPr>
      <w:tblGrid>
        <w:gridCol w:w="900"/>
        <w:gridCol w:w="5226"/>
        <w:gridCol w:w="1200"/>
        <w:gridCol w:w="1700"/>
      </w:tblGrid>
      <w:tr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T3.7</w:t>
            </w:r>
          </w:p>
        </w:tc>
        <w:tc>
          <w:tcPr>
            <w:tcW w:type="dxa" w:w="8126"/>
            <w:gridSpan w:val="3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96B"/>
                <w:sz w:val="22"/>
                <w:szCs w:val="22"/>
              </w:rPr>
              <w:t xml:space="preserve">Rédiger la section Analyse Statistique</w:t>
            </w:r>
          </w:p>
        </w:tc>
      </w:tr>
      <w:tr>
        <w:tc>
          <w:tcPr>
            <w:tcW w:type="dxa" w:w="6126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0" w:after="4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Actions à réaliser :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Décrire la méthode de normalisation et les biomarqueurs utilisés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Décrire les modèles ARIMA et Isolation Forest (paramètres, critères de sélection)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Présenter les métriques de performance : précision, recall, F1 sur données simulées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Inclure les courbes ROC si applicable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5. Longueur cible : 400–600 mots</w:t>
            </w:r>
          </w:p>
        </w:tc>
        <w:tc>
          <w:tcPr>
            <w:tcW w:type="dxa" w:w="2900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📦 Livrable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Section Analyse Statistique rédigée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00796B"/>
                <w:sz w:val="20"/>
                <w:szCs w:val="20"/>
              </w:rPr>
              <w:t xml:space="preserve">📅 Délai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Semaine 16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20"/>
                <w:szCs w:val="20"/>
              </w:rPr>
              <w:t xml:space="preserve">🔗 Dépendances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T3.5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5A32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before="0"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</w:rPr>
              <w:t xml:space="preserve">Membre 4 — Biologiste &amp; Référent Laboratoire</w:t>
            </w:r>
          </w:p>
          <w:p>
            <w:pPr>
              <w:spacing w:before="0" w:after="0"/>
            </w:pPr>
            <w:r>
              <w:rPr>
                <w:rFonts w:ascii="Calibri" w:cs="Calibri" w:eastAsia="Calibri" w:hAnsi="Calibri"/>
                <w:i/>
                <w:iCs/>
                <w:color w:val="444444"/>
                <w:sz w:val="20"/>
                <w:szCs w:val="20"/>
              </w:rPr>
              <w:t xml:space="preserve">Biologiste — Microbiologie / Biologie Moléculaire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6B3A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PHASE SETUP — Juillet 2026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5D6A7" w:sz="4"/>
          <w:left w:val="single" w:color="A5D6A7" w:sz="4"/>
          <w:bottom w:val="single" w:color="A5D6A7" w:sz="4"/>
          <w:right w:val="single" w:color="A5D6A7" w:sz="4"/>
          <w:insideH w:val="single" w:color="A5D6A7" w:sz="4"/>
          <w:insideV w:val="single" w:color="A5D6A7" w:sz="4"/>
        </w:tblBorders>
      </w:tblPr>
      <w:tblGrid>
        <w:gridCol w:w="900"/>
        <w:gridCol w:w="5226"/>
        <w:gridCol w:w="1200"/>
        <w:gridCol w:w="1700"/>
      </w:tblGrid>
      <w:tr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T4.1</w:t>
            </w:r>
          </w:p>
        </w:tc>
        <w:tc>
          <w:tcPr>
            <w:tcW w:type="dxa" w:w="8126"/>
            <w:gridSpan w:val="3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96B"/>
                <w:sz w:val="22"/>
                <w:szCs w:val="22"/>
              </w:rPr>
              <w:t xml:space="preserve">Identifier un laboratoire partenaire de séquençage</w:t>
            </w:r>
          </w:p>
        </w:tc>
      </w:tr>
      <w:tr>
        <w:tc>
          <w:tcPr>
            <w:tcW w:type="dxa" w:w="6126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0" w:after="4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Actions à réaliser :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Contacter l'Université de Lomé (Département Biologie/Sciences) : ont-ils un MiSeq ou NGS ?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Contacter l'INSP Togo : capacité de séquençage ou accès à un prestataire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Contacter l'IRD bureau Togo ou Bénin : partenariat possible ?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Obtenir les tarifs : coût d'une run MiSeq partagée (cible : 200–400 USD)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5. Explorer l'option Oxford Nanopore MinION (achat ~1000 USD, validé terrain africain ODIN 2026)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6. Documenter les résultats de prospection dans docs/laboratoires_partenaires.docx</w:t>
            </w:r>
          </w:p>
        </w:tc>
        <w:tc>
          <w:tcPr>
            <w:tcW w:type="dxa" w:w="2900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📦 Livrable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Rapport de prospection séquenceurs + au moins 1 contact formalisé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00796B"/>
                <w:sz w:val="20"/>
                <w:szCs w:val="20"/>
              </w:rPr>
              <w:t xml:space="preserve">📅 Délai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Semaine 2–3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20"/>
                <w:szCs w:val="20"/>
              </w:rPr>
              <w:t xml:space="preserve">🔗 Dépendances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—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5D6A7" w:sz="4"/>
          <w:left w:val="single" w:color="A5D6A7" w:sz="4"/>
          <w:bottom w:val="single" w:color="A5D6A7" w:sz="4"/>
          <w:right w:val="single" w:color="A5D6A7" w:sz="4"/>
          <w:insideH w:val="single" w:color="A5D6A7" w:sz="4"/>
          <w:insideV w:val="single" w:color="A5D6A7" w:sz="4"/>
        </w:tblBorders>
      </w:tblPr>
      <w:tblGrid>
        <w:gridCol w:w="900"/>
        <w:gridCol w:w="5226"/>
        <w:gridCol w:w="1200"/>
        <w:gridCol w:w="1700"/>
      </w:tblGrid>
      <w:tr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T4.2</w:t>
            </w:r>
          </w:p>
        </w:tc>
        <w:tc>
          <w:tcPr>
            <w:tcW w:type="dxa" w:w="8126"/>
            <w:gridSpan w:val="3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96B"/>
                <w:sz w:val="22"/>
                <w:szCs w:val="22"/>
              </w:rPr>
              <w:t xml:space="preserve">Sélectionner le kit d'extraction ADN et le matériel terrain</w:t>
            </w:r>
          </w:p>
        </w:tc>
      </w:tr>
      <w:tr>
        <w:tc>
          <w:tcPr>
            <w:tcW w:type="dxa" w:w="6126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0" w:after="4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Actions à réaliser :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Comparer : PowerSoil Pro Kit (QIAGEN) vs NucleoSpin Soil (Macherey-Nagel)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Critères : validé pour eaux usées, coût, disponibilité au Togo ou import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Vérifier disponibilité locale (distributeurs au Togo, Bénin, ou import direct)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Estimer le budget : kit extraction + consommables pour 8 semaines de prélèvements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5. Identifier les fournisseurs de : flacons stériles, glacières, équipements EPI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6. Rédiger la liste de commande complète du matériel terrain</w:t>
            </w:r>
          </w:p>
        </w:tc>
        <w:tc>
          <w:tcPr>
            <w:tcW w:type="dxa" w:w="2900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📦 Livrable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Sélection kit ADN justifiée + liste de commande matériel terrain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00796B"/>
                <w:sz w:val="20"/>
                <w:szCs w:val="20"/>
              </w:rPr>
              <w:t xml:space="preserve">📅 Délai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Semaine 2–3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20"/>
                <w:szCs w:val="20"/>
              </w:rPr>
              <w:t xml:space="preserve">🔗 Dépendances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—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796B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PHASE 1 — Protocoles Biologiques (Août 2026)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5D6A7" w:sz="4"/>
          <w:left w:val="single" w:color="A5D6A7" w:sz="4"/>
          <w:bottom w:val="single" w:color="A5D6A7" w:sz="4"/>
          <w:right w:val="single" w:color="A5D6A7" w:sz="4"/>
          <w:insideH w:val="single" w:color="A5D6A7" w:sz="4"/>
          <w:insideV w:val="single" w:color="A5D6A7" w:sz="4"/>
        </w:tblBorders>
      </w:tblPr>
      <w:tblGrid>
        <w:gridCol w:w="900"/>
        <w:gridCol w:w="5226"/>
        <w:gridCol w:w="1200"/>
        <w:gridCol w:w="1700"/>
      </w:tblGrid>
      <w:tr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T4.3</w:t>
            </w:r>
          </w:p>
        </w:tc>
        <w:tc>
          <w:tcPr>
            <w:tcW w:type="dxa" w:w="8126"/>
            <w:gridSpan w:val="3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96B"/>
                <w:sz w:val="22"/>
                <w:szCs w:val="22"/>
              </w:rPr>
              <w:t xml:space="preserve">Rédiger le Protocole d'Extraction ADN v1.0</w:t>
            </w:r>
          </w:p>
        </w:tc>
      </w:tr>
      <w:tr>
        <w:tc>
          <w:tcPr>
            <w:tcW w:type="dxa" w:w="6126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0" w:after="4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Actions à réaliser :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S'appuyer sur le ODIN Laboratory Handbook (D2.3) adapté au contexte togolais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Décrire : filtration initiale de l'échantillon (0.22 µm ou 0.45 µm), centrifugation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Décrire : étapes d'extraction avec le kit sélectionné (T4.2)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Intégrer les contrôles qualité : extraction negative control, positive control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5. Décrire le stockage de l'ADN extrait (−20°C ou −80°C, délai max)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6. Faire valider le protocole par Membre 2 pour cohérence avec le PSP</w:t>
            </w:r>
          </w:p>
        </w:tc>
        <w:tc>
          <w:tcPr>
            <w:tcW w:type="dxa" w:w="2900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📦 Livrable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Protocole d'extraction ADN v1.0 (docs/protocoles/extraction_ADN_v1.0.docx)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00796B"/>
                <w:sz w:val="20"/>
                <w:szCs w:val="20"/>
              </w:rPr>
              <w:t xml:space="preserve">📅 Délai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Semaines 3–5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20"/>
                <w:szCs w:val="20"/>
              </w:rPr>
              <w:t xml:space="preserve">🔗 Dépendances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T4.2, T2.3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5D6A7" w:sz="4"/>
          <w:left w:val="single" w:color="A5D6A7" w:sz="4"/>
          <w:bottom w:val="single" w:color="A5D6A7" w:sz="4"/>
          <w:right w:val="single" w:color="A5D6A7" w:sz="4"/>
          <w:insideH w:val="single" w:color="A5D6A7" w:sz="4"/>
          <w:insideV w:val="single" w:color="A5D6A7" w:sz="4"/>
        </w:tblBorders>
      </w:tblPr>
      <w:tblGrid>
        <w:gridCol w:w="900"/>
        <w:gridCol w:w="5226"/>
        <w:gridCol w:w="1200"/>
        <w:gridCol w:w="1700"/>
      </w:tblGrid>
      <w:tr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T4.4</w:t>
            </w:r>
          </w:p>
        </w:tc>
        <w:tc>
          <w:tcPr>
            <w:tcW w:type="dxa" w:w="8126"/>
            <w:gridSpan w:val="3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96B"/>
                <w:sz w:val="22"/>
                <w:szCs w:val="22"/>
              </w:rPr>
              <w:t xml:space="preserve">Établir le tableau de priorisation des pathogènes cibles</w:t>
            </w:r>
          </w:p>
        </w:tc>
      </w:tr>
      <w:tr>
        <w:tc>
          <w:tcPr>
            <w:tcW w:type="dxa" w:w="6126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0" w:after="4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Actions à réaliser :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Lister les pathogènes endémiques au Togo : choléra, typhoïde, polio, dengue, rotavirus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Pour chaque pathogène : saisonnalité (mois de pics), prévalence estimée Lomé, détectabilité WBE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Vérifier si chaque pathogène est présent dans la base MiniKraken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Identifier les biomarqueurs moléculaires cibles (gènes spécifiques si qPCR de confirmation)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5. Classer par priorité : P1 (surveillance obligatoire), P2 (surveillance opportuniste)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6. Transmettre le tableau à Membre 1 pour vérification dans la DB Kraken2</w:t>
            </w:r>
          </w:p>
        </w:tc>
        <w:tc>
          <w:tcPr>
            <w:tcW w:type="dxa" w:w="2900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📦 Livrable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Tableau de priorisation pathogènes (docs/pathogenes_cibles.xlsx)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00796B"/>
                <w:sz w:val="20"/>
                <w:szCs w:val="20"/>
              </w:rPr>
              <w:t xml:space="preserve">📅 Délai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Semaine 4–5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20"/>
                <w:szCs w:val="20"/>
              </w:rPr>
              <w:t xml:space="preserve">🔗 Dépendances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T1.3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5D6A7" w:sz="4"/>
          <w:left w:val="single" w:color="A5D6A7" w:sz="4"/>
          <w:bottom w:val="single" w:color="A5D6A7" w:sz="4"/>
          <w:right w:val="single" w:color="A5D6A7" w:sz="4"/>
          <w:insideH w:val="single" w:color="A5D6A7" w:sz="4"/>
          <w:insideV w:val="single" w:color="A5D6A7" w:sz="4"/>
        </w:tblBorders>
      </w:tblPr>
      <w:tblGrid>
        <w:gridCol w:w="900"/>
        <w:gridCol w:w="5226"/>
        <w:gridCol w:w="1200"/>
        <w:gridCol w:w="1700"/>
      </w:tblGrid>
      <w:tr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T4.5</w:t>
            </w:r>
          </w:p>
        </w:tc>
        <w:tc>
          <w:tcPr>
            <w:tcW w:type="dxa" w:w="8126"/>
            <w:gridSpan w:val="3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96B"/>
                <w:sz w:val="22"/>
                <w:szCs w:val="22"/>
              </w:rPr>
              <w:t xml:space="preserve">Contrôle qualité FastQC sur données simulées</w:t>
            </w:r>
          </w:p>
        </w:tc>
      </w:tr>
      <w:tr>
        <w:tc>
          <w:tcPr>
            <w:tcW w:type="dxa" w:w="6126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0" w:after="4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Actions à réaliser :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Lancer FastQC sur les 3 jeux de données InSilicoSeq (fournis par M1)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Analyser les rapports : scores Phred, distribution des longueurs, taux de duplication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Identifier les problèmes de qualité éventuels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Configurer Trimmomatic selon les problèmes observés (adaptateurs, Phred seuil)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5. Lancer MultiQC pour rapport agrégé des 3 jeux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6. Documenter les observations dans Wiki GitHub</w:t>
            </w:r>
          </w:p>
        </w:tc>
        <w:tc>
          <w:tcPr>
            <w:tcW w:type="dxa" w:w="2900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📦 Livrable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Rapport FastQC/MultiQC Phase 1 + paramètres Trimmomatic définis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00796B"/>
                <w:sz w:val="20"/>
                <w:szCs w:val="20"/>
              </w:rPr>
              <w:t xml:space="preserve">📅 Délai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Semaine 5–6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20"/>
                <w:szCs w:val="20"/>
              </w:rPr>
              <w:t xml:space="preserve">🔗 Dépendances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T1.7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8B57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PHASES 2–3 — Données Réelles (Septembre–Octobre 2026)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5D6A7" w:sz="4"/>
          <w:left w:val="single" w:color="A5D6A7" w:sz="4"/>
          <w:bottom w:val="single" w:color="A5D6A7" w:sz="4"/>
          <w:right w:val="single" w:color="A5D6A7" w:sz="4"/>
          <w:insideH w:val="single" w:color="A5D6A7" w:sz="4"/>
          <w:insideV w:val="single" w:color="A5D6A7" w:sz="4"/>
        </w:tblBorders>
      </w:tblPr>
      <w:tblGrid>
        <w:gridCol w:w="900"/>
        <w:gridCol w:w="5226"/>
        <w:gridCol w:w="1200"/>
        <w:gridCol w:w="1700"/>
      </w:tblGrid>
      <w:tr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T4.6</w:t>
            </w:r>
          </w:p>
        </w:tc>
        <w:tc>
          <w:tcPr>
            <w:tcW w:type="dxa" w:w="8126"/>
            <w:gridSpan w:val="3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96B"/>
                <w:sz w:val="22"/>
                <w:szCs w:val="22"/>
              </w:rPr>
              <w:t xml:space="preserve">Contrôle qualité sur datasets NCBI SRA</w:t>
            </w:r>
          </w:p>
        </w:tc>
      </w:tr>
      <w:tr>
        <w:tc>
          <w:tcPr>
            <w:tcW w:type="dxa" w:w="6126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0" w:after="4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Actions à réaliser :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Lancer FastQC sur les 3–5 datasets téléchargés (fournis par M1)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Comparer les profils qualité Afrique vs données simulées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Identifier les différences : longueurs de reads, biais de composition, contaminants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Adapter les paramètres Trimmomatic si nécessaire pour ces données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5. Produire le rapport MultiQC agrégé Phase 2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6. Transmettre les recommandations QC à M1 pour adaptation du Snakefile</w:t>
            </w:r>
          </w:p>
        </w:tc>
        <w:tc>
          <w:tcPr>
            <w:tcW w:type="dxa" w:w="2900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📦 Livrable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Rapport FastQC/MultiQC Phase 2 + recommandations QC documentées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00796B"/>
                <w:sz w:val="20"/>
                <w:szCs w:val="20"/>
              </w:rPr>
              <w:t xml:space="preserve">📅 Délai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Semaine 8–9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20"/>
                <w:szCs w:val="20"/>
              </w:rPr>
              <w:t xml:space="preserve">🔗 Dépendances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T1.10, T4.5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5D6A7" w:sz="4"/>
          <w:left w:val="single" w:color="A5D6A7" w:sz="4"/>
          <w:bottom w:val="single" w:color="A5D6A7" w:sz="4"/>
          <w:right w:val="single" w:color="A5D6A7" w:sz="4"/>
          <w:insideH w:val="single" w:color="A5D6A7" w:sz="4"/>
          <w:insideV w:val="single" w:color="A5D6A7" w:sz="4"/>
        </w:tblBorders>
      </w:tblPr>
      <w:tblGrid>
        <w:gridCol w:w="900"/>
        <w:gridCol w:w="5226"/>
        <w:gridCol w:w="1200"/>
        <w:gridCol w:w="1700"/>
      </w:tblGrid>
      <w:tr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T4.7</w:t>
            </w:r>
          </w:p>
        </w:tc>
        <w:tc>
          <w:tcPr>
            <w:tcW w:type="dxa" w:w="8126"/>
            <w:gridSpan w:val="3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96B"/>
                <w:sz w:val="22"/>
                <w:szCs w:val="22"/>
              </w:rPr>
              <w:t xml:space="preserve">Coordonner l'accès au séquenceur pour Phase 3</w:t>
            </w:r>
          </w:p>
        </w:tc>
      </w:tr>
      <w:tr>
        <w:tc>
          <w:tcPr>
            <w:tcW w:type="dxa" w:w="6126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0" w:after="4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Actions à réaliser :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Finaliser l'accord avec le laboratoire partenaire identifié en T4.1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Établir le planning de séquençage : date de la run, préparation des librairies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Calculer le budget de séquençage (run partagée MiSeq ou MinION)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Préparer les échantillons pour séquençage : vérifier concentration ADN, intégrité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5. Superviser ou déléguer la préparation de librairie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6. Récupérer les fichiers .fastq et lancer immédiatement le contrôle qualité</w:t>
            </w:r>
          </w:p>
        </w:tc>
        <w:tc>
          <w:tcPr>
            <w:tcW w:type="dxa" w:w="2900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📦 Livrable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Données réelles .fastq Lomé disponibles + rapport QC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00796B"/>
                <w:sz w:val="20"/>
                <w:szCs w:val="20"/>
              </w:rPr>
              <w:t xml:space="preserve">📅 Délai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Octobre 2026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20"/>
                <w:szCs w:val="20"/>
              </w:rPr>
              <w:t xml:space="preserve">🔗 Dépendances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T4.1, T2.5, T4.3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44444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PHASE 4 — Article (Octobre 2026)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5D6A7" w:sz="4"/>
          <w:left w:val="single" w:color="A5D6A7" w:sz="4"/>
          <w:bottom w:val="single" w:color="A5D6A7" w:sz="4"/>
          <w:right w:val="single" w:color="A5D6A7" w:sz="4"/>
          <w:insideH w:val="single" w:color="A5D6A7" w:sz="4"/>
          <w:insideV w:val="single" w:color="A5D6A7" w:sz="4"/>
        </w:tblBorders>
      </w:tblPr>
      <w:tblGrid>
        <w:gridCol w:w="900"/>
        <w:gridCol w:w="5226"/>
        <w:gridCol w:w="1200"/>
        <w:gridCol w:w="1700"/>
      </w:tblGrid>
      <w:tr>
        <w:tc>
          <w:tcPr>
            <w:tcW w:type="dxa" w:w="9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T4.8</w:t>
            </w:r>
          </w:p>
        </w:tc>
        <w:tc>
          <w:tcPr>
            <w:tcW w:type="dxa" w:w="8126"/>
            <w:gridSpan w:val="3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796B"/>
                <w:sz w:val="22"/>
                <w:szCs w:val="22"/>
              </w:rPr>
              <w:t xml:space="preserve">Rédiger Matériel &amp; Méthodes — Partie Biologique</w:t>
            </w:r>
          </w:p>
        </w:tc>
      </w:tr>
      <w:tr>
        <w:tc>
          <w:tcPr>
            <w:tcW w:type="dxa" w:w="6126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0" w:after="4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Actions à réaliser :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Décrire : protocole de prélèvement terrain (résumé du PSP v1.0)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Décrire : kit d'extraction ADN, étapes, contrôles qualité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Décrire : plateforme de séquençage utilisée, type de librairie, paramètres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Décrire : critères de contrôle qualité FastQC et paramètres Trimmomatic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5. Inclure les informations de dépôt NCBI SRA (BioProject, SRR accession numbers)</w:t>
            </w:r>
          </w:p>
          <w:p>
            <w:pPr>
              <w:spacing w:before="20" w:after="20"/>
              <w:ind w:left="20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6. Longueur cible : 400–600 mots</w:t>
            </w:r>
          </w:p>
        </w:tc>
        <w:tc>
          <w:tcPr>
            <w:tcW w:type="dxa" w:w="2900"/>
            <w:gridSpan w:val="2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1B6B3A"/>
                <w:sz w:val="20"/>
                <w:szCs w:val="20"/>
              </w:rPr>
              <w:t xml:space="preserve">📦 Livrable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Section Matériel &amp; Méthodes biologiques rédigée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00796B"/>
                <w:sz w:val="20"/>
                <w:szCs w:val="20"/>
              </w:rPr>
              <w:t xml:space="preserve">📅 Délai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Semaine 15–16</w:t>
            </w:r>
          </w:p>
          <w:p>
            <w:pPr>
              <w:spacing w:before="30" w:after="30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20"/>
                <w:szCs w:val="20"/>
              </w:rPr>
              <w:t xml:space="preserve">🔗 Dépendances :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T4.6, T4.7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pBdr>
          <w:bottom w:val="single" w:color="2E8B57" w:sz="10" w:space="6"/>
        </w:pBdr>
        <w:spacing w:before="400" w:after="160"/>
      </w:pPr>
      <w:r>
        <w:rPr>
          <w:rFonts w:ascii="Calibri" w:cs="Calibri" w:eastAsia="Calibri" w:hAnsi="Calibri"/>
          <w:b/>
          <w:bCs/>
          <w:color w:val="1B6B3A"/>
          <w:sz w:val="34"/>
          <w:szCs w:val="34"/>
        </w:rPr>
        <w:t xml:space="preserve">Synthèse — Toutes les Tâches par Phase</w:t>
      </w:r>
    </w:p>
    <w:p>
      <w:pPr>
        <w:spacing w:before="80" w:after="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Vue d'ensemble des tâches de tous les membres, classées par phase. Utiliser pour la planification des réunions hebdomadaires et le suivi kanban GitHub.</w:t>
      </w:r>
    </w:p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3826"/>
        <w:gridCol w:w="2200"/>
        <w:gridCol w:w="1000"/>
      </w:tblGrid>
      <w:tr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382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Tâche</w:t>
            </w:r>
          </w:p>
        </w:tc>
        <w:tc>
          <w:tcPr>
            <w:tcW w:type="dxa" w:w="2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Livrable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1B6B3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Délai</w:t>
            </w:r>
          </w:p>
        </w:tc>
      </w:tr>
      <w:tr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6B3A"/>
                <w:sz w:val="18"/>
                <w:szCs w:val="18"/>
              </w:rPr>
              <w:t xml:space="preserve">T1.1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Setup</w:t>
            </w:r>
          </w:p>
        </w:tc>
        <w:tc>
          <w:tcPr>
            <w:tcW w:type="dxa" w:w="382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Créer et structurer le repo GitHub</w:t>
            </w:r>
          </w:p>
        </w:tc>
        <w:tc>
          <w:tcPr>
            <w:tcW w:type="dxa" w:w="2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Repo public opérationnel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Sem. 1</w:t>
            </w:r>
          </w:p>
        </w:tc>
      </w:tr>
      <w:tr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6B3A"/>
                <w:sz w:val="18"/>
                <w:szCs w:val="18"/>
              </w:rPr>
              <w:t xml:space="preserve">T1.2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Setup</w:t>
            </w:r>
          </w:p>
        </w:tc>
        <w:tc>
          <w:tcPr>
            <w:tcW w:type="dxa" w:w="382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Installer l'environnement bioinformatique</w:t>
            </w:r>
          </w:p>
        </w:tc>
        <w:tc>
          <w:tcPr>
            <w:tcW w:type="dxa" w:w="2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environment.yml validé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Sem. 1–2</w:t>
            </w:r>
          </w:p>
        </w:tc>
      </w:tr>
      <w:tr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6B3A"/>
                <w:sz w:val="18"/>
                <w:szCs w:val="18"/>
              </w:rPr>
              <w:t xml:space="preserve">T1.3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Setup</w:t>
            </w:r>
          </w:p>
        </w:tc>
        <w:tc>
          <w:tcPr>
            <w:tcW w:type="dxa" w:w="382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Télécharger base MiniKraken2</w:t>
            </w:r>
          </w:p>
        </w:tc>
        <w:tc>
          <w:tcPr>
            <w:tcW w:type="dxa" w:w="2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DB opérationnelle + test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Sem. 2</w:t>
            </w:r>
          </w:p>
        </w:tc>
      </w:tr>
      <w:tr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6B3A"/>
                <w:sz w:val="18"/>
                <w:szCs w:val="18"/>
              </w:rPr>
              <w:t xml:space="preserve">T1.4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Setup</w:t>
            </w:r>
          </w:p>
        </w:tc>
        <w:tc>
          <w:tcPr>
            <w:tcW w:type="dxa" w:w="382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Email Africa CDC</w:t>
            </w:r>
          </w:p>
        </w:tc>
        <w:tc>
          <w:tcPr>
            <w:tcW w:type="dxa" w:w="2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Email envoyé + archivé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Avant 15 juil.</w:t>
            </w:r>
          </w:p>
        </w:tc>
      </w:tr>
      <w:tr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6B3A"/>
                <w:sz w:val="18"/>
                <w:szCs w:val="18"/>
              </w:rPr>
              <w:t xml:space="preserve">T1.5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Setup</w:t>
            </w:r>
          </w:p>
        </w:tc>
        <w:tc>
          <w:tcPr>
            <w:tcW w:type="dxa" w:w="382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Réunion de lancement</w:t>
            </w:r>
          </w:p>
        </w:tc>
        <w:tc>
          <w:tcPr>
            <w:tcW w:type="dxa" w:w="2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CR Wiki + issues créées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Sem. 2</w:t>
            </w:r>
          </w:p>
        </w:tc>
      </w:tr>
      <w:tr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6B3A"/>
                <w:sz w:val="18"/>
                <w:szCs w:val="18"/>
              </w:rPr>
              <w:t xml:space="preserve">T2.1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Setup</w:t>
            </w:r>
          </w:p>
        </w:tc>
        <w:tc>
          <w:tcPr>
            <w:tcW w:type="dxa" w:w="382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Cartographier sites Lomé</w:t>
            </w:r>
          </w:p>
        </w:tc>
        <w:tc>
          <w:tcPr>
            <w:tcW w:type="dxa" w:w="2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Carte GeoJSON + PDF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Sem. 1–2</w:t>
            </w:r>
          </w:p>
        </w:tc>
      </w:tr>
      <w:tr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6B3A"/>
                <w:sz w:val="18"/>
                <w:szCs w:val="18"/>
              </w:rPr>
              <w:t xml:space="preserve">T2.2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Setup</w:t>
            </w:r>
          </w:p>
        </w:tc>
        <w:tc>
          <w:tcPr>
            <w:tcW w:type="dxa" w:w="382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Identifier partenaires institutionnels</w:t>
            </w:r>
          </w:p>
        </w:tc>
        <w:tc>
          <w:tcPr>
            <w:tcW w:type="dxa" w:w="2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Annuaire contacts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Sem. 2</w:t>
            </w:r>
          </w:p>
        </w:tc>
      </w:tr>
      <w:tr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6B3A"/>
                <w:sz w:val="18"/>
                <w:szCs w:val="18"/>
              </w:rPr>
              <w:t xml:space="preserve">T3.1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Setup</w:t>
            </w:r>
          </w:p>
        </w:tc>
        <w:tc>
          <w:tcPr>
            <w:tcW w:type="dxa" w:w="382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Environnement Python modélisation</w:t>
            </w:r>
          </w:p>
        </w:tc>
        <w:tc>
          <w:tcPr>
            <w:tcW w:type="dxa" w:w="2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environment_modelling.yml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Sem. 1–2</w:t>
            </w:r>
          </w:p>
        </w:tc>
      </w:tr>
      <w:tr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6B3A"/>
                <w:sz w:val="18"/>
                <w:szCs w:val="18"/>
              </w:rPr>
              <w:t xml:space="preserve">T4.1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Setup</w:t>
            </w:r>
          </w:p>
        </w:tc>
        <w:tc>
          <w:tcPr>
            <w:tcW w:type="dxa" w:w="382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Identifier laboratoire séquençage</w:t>
            </w:r>
          </w:p>
        </w:tc>
        <w:tc>
          <w:tcPr>
            <w:tcW w:type="dxa" w:w="2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Rapport prospection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Sem. 2–3</w:t>
            </w:r>
          </w:p>
        </w:tc>
      </w:tr>
      <w:tr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6B3A"/>
                <w:sz w:val="18"/>
                <w:szCs w:val="18"/>
              </w:rPr>
              <w:t xml:space="preserve">T4.2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Setup</w:t>
            </w:r>
          </w:p>
        </w:tc>
        <w:tc>
          <w:tcPr>
            <w:tcW w:type="dxa" w:w="382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Sélectionner kit extraction ADN</w:t>
            </w:r>
          </w:p>
        </w:tc>
        <w:tc>
          <w:tcPr>
            <w:tcW w:type="dxa" w:w="2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Liste commande matériel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Sem. 2–3</w:t>
            </w:r>
          </w:p>
        </w:tc>
      </w:tr>
      <w:tr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6B3A"/>
                <w:sz w:val="18"/>
                <w:szCs w:val="18"/>
              </w:rPr>
              <w:t xml:space="preserve">T1.6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Phase 1</w:t>
            </w:r>
          </w:p>
        </w:tc>
        <w:tc>
          <w:tcPr>
            <w:tcW w:type="dxa" w:w="382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Écrire le Snakefile principal</w:t>
            </w:r>
          </w:p>
        </w:tc>
        <w:tc>
          <w:tcPr>
            <w:tcW w:type="dxa" w:w="2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Snakefile validé end-to-end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Sem. 5–6</w:t>
            </w:r>
          </w:p>
        </w:tc>
      </w:tr>
      <w:tr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6B3A"/>
                <w:sz w:val="18"/>
                <w:szCs w:val="18"/>
              </w:rPr>
              <w:t xml:space="preserve">T1.7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Phase 1</w:t>
            </w:r>
          </w:p>
        </w:tc>
        <w:tc>
          <w:tcPr>
            <w:tcW w:type="dxa" w:w="382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Générer données simulées InSilicoSeq</w:t>
            </w:r>
          </w:p>
        </w:tc>
        <w:tc>
          <w:tcPr>
            <w:tcW w:type="dxa" w:w="2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 jeux .fastq simulés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Sem. 3–4</w:t>
            </w:r>
          </w:p>
        </w:tc>
      </w:tr>
      <w:tr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6B3A"/>
                <w:sz w:val="18"/>
                <w:szCs w:val="18"/>
              </w:rPr>
              <w:t xml:space="preserve">T1.8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Phase 1</w:t>
            </w:r>
          </w:p>
        </w:tc>
        <w:tc>
          <w:tcPr>
            <w:tcW w:type="dxa" w:w="382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Écrire kraken2_runner.py</w:t>
            </w:r>
          </w:p>
        </w:tc>
        <w:tc>
          <w:tcPr>
            <w:tcW w:type="dxa" w:w="2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Script + tests pytest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Sem. 5–6</w:t>
            </w:r>
          </w:p>
        </w:tc>
      </w:tr>
      <w:tr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6B3A"/>
                <w:sz w:val="18"/>
                <w:szCs w:val="18"/>
              </w:rPr>
              <w:t xml:space="preserve">T1.9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Phase 1</w:t>
            </w:r>
          </w:p>
        </w:tc>
        <w:tc>
          <w:tcPr>
            <w:tcW w:type="dxa" w:w="382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Valider pipeline données simulées</w:t>
            </w:r>
          </w:p>
        </w:tc>
        <w:tc>
          <w:tcPr>
            <w:tcW w:type="dxa" w:w="2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Rapport validation Phase 1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Fin août</w:t>
            </w:r>
          </w:p>
        </w:tc>
      </w:tr>
      <w:tr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6B3A"/>
                <w:sz w:val="18"/>
                <w:szCs w:val="18"/>
              </w:rPr>
              <w:t xml:space="preserve">T2.3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Phase 1</w:t>
            </w:r>
          </w:p>
        </w:tc>
        <w:tc>
          <w:tcPr>
            <w:tcW w:type="dxa" w:w="382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Rédiger PSP v1.0</w:t>
            </w:r>
          </w:p>
        </w:tc>
        <w:tc>
          <w:tcPr>
            <w:tcW w:type="dxa" w:w="2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PSP validé M4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Sem. 3–4</w:t>
            </w:r>
          </w:p>
        </w:tc>
      </w:tr>
      <w:tr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6B3A"/>
                <w:sz w:val="18"/>
                <w:szCs w:val="18"/>
              </w:rPr>
              <w:t xml:space="preserve">T2.4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Phase 1</w:t>
            </w:r>
          </w:p>
        </w:tc>
        <w:tc>
          <w:tcPr>
            <w:tcW w:type="dxa" w:w="382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Définir seuils d'alerte</w:t>
            </w:r>
          </w:p>
        </w:tc>
        <w:tc>
          <w:tcPr>
            <w:tcW w:type="dxa" w:w="2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Dictionnaire des seuils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Sem. 5–6</w:t>
            </w:r>
          </w:p>
        </w:tc>
      </w:tr>
      <w:tr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6B3A"/>
                <w:sz w:val="18"/>
                <w:szCs w:val="18"/>
              </w:rPr>
              <w:t xml:space="preserve">T2.5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Phase 1</w:t>
            </w:r>
          </w:p>
        </w:tc>
        <w:tc>
          <w:tcPr>
            <w:tcW w:type="dxa" w:w="382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Contact institutions partenaires</w:t>
            </w:r>
          </w:p>
        </w:tc>
        <w:tc>
          <w:tcPr>
            <w:tcW w:type="dxa" w:w="2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Accord Université de Lomé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Fin août</w:t>
            </w:r>
          </w:p>
        </w:tc>
      </w:tr>
      <w:tr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6B3A"/>
                <w:sz w:val="18"/>
                <w:szCs w:val="18"/>
              </w:rPr>
              <w:t xml:space="preserve">T3.2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Phase 1</w:t>
            </w:r>
          </w:p>
        </w:tc>
        <w:tc>
          <w:tcPr>
            <w:tcW w:type="dxa" w:w="382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Développer normalizer.py</w:t>
            </w:r>
          </w:p>
        </w:tc>
        <w:tc>
          <w:tcPr>
            <w:tcW w:type="dxa" w:w="2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Script + JSON PHA4GE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Sem. 5–6</w:t>
            </w:r>
          </w:p>
        </w:tc>
      </w:tr>
      <w:tr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6B3A"/>
                <w:sz w:val="18"/>
                <w:szCs w:val="18"/>
              </w:rPr>
              <w:t xml:space="preserve">T3.3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Phase 1</w:t>
            </w:r>
          </w:p>
        </w:tc>
        <w:tc>
          <w:tcPr>
            <w:tcW w:type="dxa" w:w="382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Tests unitaires normalizer</w:t>
            </w:r>
          </w:p>
        </w:tc>
        <w:tc>
          <w:tcPr>
            <w:tcW w:type="dxa" w:w="2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pytest &gt; 90% coverage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Sem. 6–7</w:t>
            </w:r>
          </w:p>
        </w:tc>
      </w:tr>
      <w:tr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6B3A"/>
                <w:sz w:val="18"/>
                <w:szCs w:val="18"/>
              </w:rPr>
              <w:t xml:space="preserve">T4.3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Phase 1</w:t>
            </w:r>
          </w:p>
        </w:tc>
        <w:tc>
          <w:tcPr>
            <w:tcW w:type="dxa" w:w="382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Protocole extraction ADN v1.0</w:t>
            </w:r>
          </w:p>
        </w:tc>
        <w:tc>
          <w:tcPr>
            <w:tcW w:type="dxa" w:w="2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Protocole validé M2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Sem. 3–5</w:t>
            </w:r>
          </w:p>
        </w:tc>
      </w:tr>
      <w:tr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6B3A"/>
                <w:sz w:val="18"/>
                <w:szCs w:val="18"/>
              </w:rPr>
              <w:t xml:space="preserve">T4.4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Phase 1</w:t>
            </w:r>
          </w:p>
        </w:tc>
        <w:tc>
          <w:tcPr>
            <w:tcW w:type="dxa" w:w="382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Tableau priorisation pathogènes</w:t>
            </w:r>
          </w:p>
        </w:tc>
        <w:tc>
          <w:tcPr>
            <w:tcW w:type="dxa" w:w="2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Tableau pathogènes cibles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Sem. 4–5</w:t>
            </w:r>
          </w:p>
        </w:tc>
      </w:tr>
      <w:tr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6B3A"/>
                <w:sz w:val="18"/>
                <w:szCs w:val="18"/>
              </w:rPr>
              <w:t xml:space="preserve">T4.5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Phase 1</w:t>
            </w:r>
          </w:p>
        </w:tc>
        <w:tc>
          <w:tcPr>
            <w:tcW w:type="dxa" w:w="382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QC FastQC données simulées</w:t>
            </w:r>
          </w:p>
        </w:tc>
        <w:tc>
          <w:tcPr>
            <w:tcW w:type="dxa" w:w="2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Rapport FastQC + Trimmomatic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Sem. 5–6</w:t>
            </w:r>
          </w:p>
        </w:tc>
      </w:tr>
      <w:tr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6B3A"/>
                <w:sz w:val="18"/>
                <w:szCs w:val="18"/>
              </w:rPr>
              <w:t xml:space="preserve">T1.10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Phase 2</w:t>
            </w:r>
          </w:p>
        </w:tc>
        <w:tc>
          <w:tcPr>
            <w:tcW w:type="dxa" w:w="382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Télécharger datasets NCBI SRA</w:t>
            </w:r>
          </w:p>
        </w:tc>
        <w:tc>
          <w:tcPr>
            <w:tcW w:type="dxa" w:w="2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3–5 datasets + README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Sem. 7–8</w:t>
            </w:r>
          </w:p>
        </w:tc>
      </w:tr>
      <w:tr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6B3A"/>
                <w:sz w:val="18"/>
                <w:szCs w:val="18"/>
              </w:rPr>
              <w:t xml:space="preserve">T1.11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Phase 2</w:t>
            </w:r>
          </w:p>
        </w:tc>
        <w:tc>
          <w:tcPr>
            <w:tcW w:type="dxa" w:w="382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Appliquer pipeline NCBI SRA</w:t>
            </w:r>
          </w:p>
        </w:tc>
        <w:tc>
          <w:tcPr>
            <w:tcW w:type="dxa" w:w="2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Résultats + rapport interméd.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Sem. 9–10</w:t>
            </w:r>
          </w:p>
        </w:tc>
      </w:tr>
      <w:tr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6B3A"/>
                <w:sz w:val="18"/>
                <w:szCs w:val="18"/>
              </w:rPr>
              <w:t xml:space="preserve">T3.4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Phase 2</w:t>
            </w:r>
          </w:p>
        </w:tc>
        <w:tc>
          <w:tcPr>
            <w:tcW w:type="dxa" w:w="382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Développer trend_predictor.py</w:t>
            </w:r>
          </w:p>
        </w:tc>
        <w:tc>
          <w:tcPr>
            <w:tcW w:type="dxa" w:w="2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Script 3 niveaux détection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Sem. 8–10</w:t>
            </w:r>
          </w:p>
        </w:tc>
      </w:tr>
      <w:tr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6B3A"/>
                <w:sz w:val="18"/>
                <w:szCs w:val="18"/>
              </w:rPr>
              <w:t xml:space="preserve">T3.5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Phase 2</w:t>
            </w:r>
          </w:p>
        </w:tc>
        <w:tc>
          <w:tcPr>
            <w:tcW w:type="dxa" w:w="382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Notebook exploration NCBI SRA</w:t>
            </w:r>
          </w:p>
        </w:tc>
        <w:tc>
          <w:tcPr>
            <w:tcW w:type="dxa" w:w="2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Notebook + HTML exporté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Sem. 9–11</w:t>
            </w:r>
          </w:p>
        </w:tc>
      </w:tr>
      <w:tr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6B3A"/>
                <w:sz w:val="18"/>
                <w:szCs w:val="18"/>
              </w:rPr>
              <w:t xml:space="preserve">T3.6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Phase 2</w:t>
            </w:r>
          </w:p>
        </w:tc>
        <w:tc>
          <w:tcPr>
            <w:tcW w:type="dxa" w:w="382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Développer dashboard (Brique 3)</w:t>
            </w:r>
          </w:p>
        </w:tc>
        <w:tc>
          <w:tcPr>
            <w:tcW w:type="dxa" w:w="2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Dashboard local fonctionnel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Sem. 12–14</w:t>
            </w:r>
          </w:p>
        </w:tc>
      </w:tr>
      <w:tr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6B3A"/>
                <w:sz w:val="18"/>
                <w:szCs w:val="18"/>
              </w:rPr>
              <w:t xml:space="preserve">T4.6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Phase 2</w:t>
            </w:r>
          </w:p>
        </w:tc>
        <w:tc>
          <w:tcPr>
            <w:tcW w:type="dxa" w:w="382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QC FastQC datasets NCBI SRA</w:t>
            </w:r>
          </w:p>
        </w:tc>
        <w:tc>
          <w:tcPr>
            <w:tcW w:type="dxa" w:w="2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Rapport QC Phase 2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Sem. 8–9</w:t>
            </w:r>
          </w:p>
        </w:tc>
      </w:tr>
      <w:tr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6B3A"/>
                <w:sz w:val="18"/>
                <w:szCs w:val="18"/>
              </w:rPr>
              <w:t xml:space="preserve">T4.7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Phase 3</w:t>
            </w:r>
          </w:p>
        </w:tc>
        <w:tc>
          <w:tcPr>
            <w:tcW w:type="dxa" w:w="382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Coordonner accès séquenceur</w:t>
            </w:r>
          </w:p>
        </w:tc>
        <w:tc>
          <w:tcPr>
            <w:tcW w:type="dxa" w:w="2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Données .fastq Lomé + QC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Oct. 2026</w:t>
            </w:r>
          </w:p>
        </w:tc>
      </w:tr>
      <w:tr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6B3A"/>
                <w:sz w:val="18"/>
                <w:szCs w:val="18"/>
              </w:rPr>
              <w:t xml:space="preserve">T1.12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Rédaction</w:t>
            </w:r>
          </w:p>
        </w:tc>
        <w:tc>
          <w:tcPr>
            <w:tcW w:type="dxa" w:w="382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Rédiger section Méthodes-Pipeline</w:t>
            </w:r>
          </w:p>
        </w:tc>
        <w:tc>
          <w:tcPr>
            <w:tcW w:type="dxa" w:w="2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Section validée équipe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Sem. 15</w:t>
            </w:r>
          </w:p>
        </w:tc>
      </w:tr>
      <w:tr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6B3A"/>
                <w:sz w:val="18"/>
                <w:szCs w:val="18"/>
              </w:rPr>
              <w:t xml:space="preserve">T2.6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Rédaction</w:t>
            </w:r>
          </w:p>
        </w:tc>
        <w:tc>
          <w:tcPr>
            <w:tcW w:type="dxa" w:w="382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Rédiger section Introduction</w:t>
            </w:r>
          </w:p>
        </w:tc>
        <w:tc>
          <w:tcPr>
            <w:tcW w:type="dxa" w:w="2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Section Introduction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Sem. 15–16</w:t>
            </w:r>
          </w:p>
        </w:tc>
      </w:tr>
      <w:tr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6B3A"/>
                <w:sz w:val="18"/>
                <w:szCs w:val="18"/>
              </w:rPr>
              <w:t xml:space="preserve">T2.7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Rédaction</w:t>
            </w:r>
          </w:p>
        </w:tc>
        <w:tc>
          <w:tcPr>
            <w:tcW w:type="dxa" w:w="382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Rédiger Discussion &amp; Conclusion</w:t>
            </w:r>
          </w:p>
        </w:tc>
        <w:tc>
          <w:tcPr>
            <w:tcW w:type="dxa" w:w="2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Section Discussion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Sem. 17</w:t>
            </w:r>
          </w:p>
        </w:tc>
      </w:tr>
      <w:tr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6B3A"/>
                <w:sz w:val="18"/>
                <w:szCs w:val="18"/>
              </w:rPr>
              <w:t xml:space="preserve">T3.7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Rédaction</w:t>
            </w:r>
          </w:p>
        </w:tc>
        <w:tc>
          <w:tcPr>
            <w:tcW w:type="dxa" w:w="382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Rédiger section Analyse Statistique</w:t>
            </w:r>
          </w:p>
        </w:tc>
        <w:tc>
          <w:tcPr>
            <w:tcW w:type="dxa" w:w="2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Section stat. rédigée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Sem. 16</w:t>
            </w:r>
          </w:p>
        </w:tc>
      </w:tr>
      <w:tr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6B3A"/>
                <w:sz w:val="18"/>
                <w:szCs w:val="18"/>
              </w:rPr>
              <w:t xml:space="preserve">T4.8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Rédaction</w:t>
            </w:r>
          </w:p>
        </w:tc>
        <w:tc>
          <w:tcPr>
            <w:tcW w:type="dxa" w:w="382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Rédiger Matériel &amp; Méthodes bio</w:t>
            </w:r>
          </w:p>
        </w:tc>
        <w:tc>
          <w:tcPr>
            <w:tcW w:type="dxa" w:w="2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Section M&amp;M biologiques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Sem. 15–16</w:t>
            </w:r>
          </w:p>
        </w:tc>
      </w:tr>
      <w:tr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6B3A"/>
                <w:sz w:val="18"/>
                <w:szCs w:val="18"/>
              </w:rPr>
              <w:t xml:space="preserve">T1.13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Publication</w:t>
            </w:r>
          </w:p>
        </w:tc>
        <w:tc>
          <w:tcPr>
            <w:tcW w:type="dxa" w:w="382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Lead Révision &amp; Soumission</w:t>
            </w:r>
          </w:p>
        </w:tc>
        <w:tc>
          <w:tcPr>
            <w:tcW w:type="dxa" w:w="2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bioRxiv + soumission journal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EBF5E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Fin oct.</w:t>
            </w:r>
          </w:p>
        </w:tc>
      </w:tr>
      <w:tr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6B3A"/>
                <w:sz w:val="18"/>
                <w:szCs w:val="18"/>
              </w:rPr>
              <w:t xml:space="preserve">T1.14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CPHIA</w:t>
            </w:r>
          </w:p>
        </w:tc>
        <w:tc>
          <w:tcPr>
            <w:tcW w:type="dxa" w:w="3826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Préparer présentation CPHIA</w:t>
            </w:r>
          </w:p>
        </w:tc>
        <w:tc>
          <w:tcPr>
            <w:tcW w:type="dxa" w:w="22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Slides + pitch CEDEAO</w:t>
            </w:r>
          </w:p>
        </w:tc>
        <w:tc>
          <w:tcPr>
            <w:tcW w:type="dxa" w:w="1000"/>
            <w:tcBorders>
              <w:top w:val="single" w:color="A5D6A7" w:sz="1"/>
              <w:left w:val="single" w:color="A5D6A7" w:sz="1"/>
              <w:bottom w:val="single" w:color="A5D6A7" w:sz="1"/>
              <w:right w:val="single" w:color="A5D6A7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Avant 20 nov.</w:t>
            </w:r>
          </w:p>
        </w:tc>
      </w:tr>
    </w:tbl>
    <w:p>
      <w:pPr>
        <w:spacing w:before="50" w:after="5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p>
      <w:pPr>
        <w:spacing w:before="200" w:after="0"/>
        <w:jc w:val="center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AquaVigil-WA · Plan de Travail Détaillé par Membre · Version 1.0 · Juillet 2026</w:t>
      </w:r>
    </w:p>
    <w:sectPr>
      <w:pgSz w:w="12240" w:h="15840"/>
      <w:pgMar w:top="1440" w:right="1080" w:bottom="1440" w:left="108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E6C9" w:sz="4" w:space="4"/>
      </w:pBd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AquaVigil-WA · Document de Référence Équipe · Version 1.2  ·  Page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88888"/>
        <w:sz w:val="18"/>
        <w:szCs w:val="18"/>
      </w:rPr>
      <w:t xml:space="preserve"> /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80" w:hanging="3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8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Calibri" w:cs="Calibri" w:eastAsia="Calibri" w:hAnsi="Calibri"/>
      <w:b/>
      <w:bCs/>
      <w:color w:val="1B6B3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Calibri" w:cs="Calibri" w:eastAsia="Calibri" w:hAnsi="Calibri"/>
      <w:b/>
      <w:bCs/>
      <w:color w:val="00796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E8B57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2026-06-25T15:07:36.534Z</dcterms:created>
  <dcterms:modified xsi:type="dcterms:W3CDTF">2026-06-25T15:07:36.550Z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