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6B3A" w:val="clear"/>
            <w:tcMar>
              <w:top w:type="dxa" w:w="400"/>
              <w:left w:type="dxa" w:w="400"/>
              <w:bottom w:type="dxa" w:w="400"/>
              <w:right w:type="dxa" w:w="400"/>
            </w:tcMar>
          </w:tcPr>
          <w:p>
            <w:pPr>
              <w:spacing w:before="0" w:after="20"/>
              <w:jc w:val="center"/>
            </w:pPr>
            <w:r>
              <w:rPr>
                <w:rFonts w:ascii="Calibri" w:cs="Calibri" w:eastAsia="Calibri" w:hAnsi="Calibri"/>
                <w:b/>
                <w:bCs/>
                <w:color w:val="FFFFFF"/>
                <w:sz w:val="80"/>
                <w:szCs w:val="80"/>
              </w:rPr>
              <w:t xml:space="preserve">AQUAVIGIL-WA</w:t>
            </w:r>
          </w:p>
          <w:p>
            <w:pPr>
              <w:spacing w:before="0" w:after="0"/>
              <w:jc w:val="center"/>
            </w:pPr>
            <w:r>
              <w:rPr>
                <w:rFonts w:ascii="Calibri" w:cs="Calibri" w:eastAsia="Calibri" w:hAnsi="Calibri"/>
                <w:i/>
                <w:iCs/>
                <w:color w:val="C8E6C9"/>
                <w:sz w:val="26"/>
                <w:szCs w:val="26"/>
              </w:rPr>
              <w:t xml:space="preserve">Surveillance Épidémiologique par Analyse des Eaux Usées</w:t>
            </w:r>
          </w:p>
        </w:tc>
      </w:tr>
    </w:tbl>
    <w:p>
      <w:pPr>
        <w:spacing w:before="50" w:after="50"/>
      </w:pPr>
      <w:r>
        <w:rPr>
          <w:rFonts w:ascii="Calibri" w:cs="Calibri" w:eastAsia="Calibri" w:hAnsi="Calibri"/>
          <w:color w:val="1A1A1A"/>
          <w:sz w:val="22"/>
          <w:szCs w:val="22"/>
        </w:rPr>
        <w:t xml:space="preserve"/>
      </w:r>
    </w:p>
    <w:p>
      <w:pPr>
        <w:pBdr>
          <w:top w:val="single" w:color="00796B" w:sz="6" w:space="4"/>
          <w:bottom w:val="single" w:color="00796B" w:sz="6" w:space="4"/>
        </w:pBdr>
        <w:spacing w:before="60" w:after="60"/>
        <w:jc w:val="center"/>
      </w:pPr>
      <w:r>
        <w:rPr>
          <w:rFonts w:ascii="Calibri" w:cs="Calibri" w:eastAsia="Calibri" w:hAnsi="Calibri"/>
          <w:b/>
          <w:bCs/>
          <w:color w:val="00796B"/>
          <w:sz w:val="22"/>
          <w:szCs w:val="22"/>
        </w:rPr>
        <w:t xml:space="preserve">Wastewater-Based Epidemiology (WBE) · Togo · Afrique de l'Ouest</w:t>
      </w:r>
    </w:p>
    <w:p>
      <w:pPr>
        <w:spacing w:before="50" w:after="50"/>
      </w:pPr>
      <w:r>
        <w:rPr>
          <w:rFonts w:ascii="Calibri" w:cs="Calibri" w:eastAsia="Calibri" w:hAnsi="Calibri"/>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Borders>
              <w:top w:val="none" w:color="FFFFFF" w:sz="0"/>
              <w:left w:val="none" w:color="FFFFFF" w:sz="0"/>
              <w:bottom w:val="none" w:color="FFFFFF" w:sz="0"/>
              <w:right w:val="none" w:color="FFFFFF" w:sz="0"/>
            </w:tcBorders>
            <w:shd w:fill="00796B" w:val="clear"/>
            <w:tcMar>
              <w:top w:type="dxa" w:w="160"/>
              <w:left w:type="dxa" w:w="100"/>
              <w:bottom w:type="dxa" w:w="160"/>
              <w:right w:type="dxa" w:w="100"/>
            </w:tcMar>
          </w:tcPr>
          <w:p>
            <w:pPr>
              <w:jc w:val="center"/>
            </w:pPr>
            <w:r>
              <w:rPr>
                <w:rFonts w:ascii="Calibri" w:cs="Calibri" w:eastAsia="Calibri" w:hAnsi="Calibri"/>
                <w:color w:val="1A1A1A"/>
                <w:sz w:val="22"/>
                <w:szCs w:val="22"/>
              </w:rPr>
              <w:t xml:space="preserve">+</w:t>
            </w:r>
          </w:p>
        </w:tc>
        <w:tc>
          <w:tcPr>
            <w:tcBorders>
              <w:top w:val="none" w:color="FFFFFF" w:sz="0"/>
              <w:left w:val="none" w:color="FFFFFF" w:sz="0"/>
              <w:bottom w:val="none" w:color="FFFFFF" w:sz="0"/>
              <w:right w:val="none" w:color="FFFFFF" w:sz="0"/>
            </w:tcBorders>
            <w:shd w:fill="E0F2F1" w:val="clear"/>
            <w:tcMar>
              <w:top w:type="dxa" w:w="120"/>
              <w:left w:type="dxa" w:w="200"/>
              <w:bottom w:type="dxa" w:w="120"/>
              <w:right w:type="dxa" w:w="200"/>
            </w:tcMar>
          </w:tcPr>
          <w:p>
            <w:pPr>
              <w:spacing w:before="0" w:after="20"/>
            </w:pPr>
            <w:r>
              <w:rPr>
                <w:rFonts w:ascii="Calibri" w:cs="Calibri" w:eastAsia="Calibri" w:hAnsi="Calibri"/>
                <w:b/>
                <w:bCs/>
                <w:color w:val="1B6B3A"/>
                <w:sz w:val="22"/>
                <w:szCs w:val="22"/>
              </w:rPr>
              <w:t xml:space="preserve">Premier Pipeline WBE Open-Source d'Afrique de l'Ouest.</w:t>
            </w:r>
          </w:p>
          <w:p>
            <w:pPr>
              <w:spacing w:before="0" w:after="0"/>
            </w:pPr>
            <w:r>
              <w:rPr>
                <w:rFonts w:ascii="Calibri" w:cs="Calibri" w:eastAsia="Calibri" w:hAnsi="Calibri"/>
                <w:color w:val="444444"/>
                <w:sz w:val="20"/>
                <w:szCs w:val="20"/>
              </w:rPr>
              <w:t xml:space="preserve">Détecter les épidémies avant les hôpitaux · Pipeline bioinformatique open source · Lomé, Togo · Objectif CPHIA Novembre 2026</w:t>
            </w:r>
          </w:p>
        </w:tc>
      </w:tr>
    </w:tbl>
    <w:p>
      <w:pPr>
        <w:spacing w:before="50" w:after="50"/>
      </w:pPr>
      <w:r>
        <w:rPr>
          <w:rFonts w:ascii="Calibri" w:cs="Calibri" w:eastAsia="Calibri" w:hAnsi="Calibri"/>
          <w:color w:val="1A1A1A"/>
          <w:sz w:val="22"/>
          <w:szCs w:val="22"/>
        </w:rPr>
        <w:t xml:space="preserve"/>
      </w:r>
    </w:p>
    <w:p>
      <w:pPr>
        <w:spacing w:before="50" w:after="50"/>
      </w:pPr>
      <w:r>
        <w:rPr>
          <w:rFonts w:ascii="Calibri" w:cs="Calibri" w:eastAsia="Calibri" w:hAnsi="Calibri"/>
          <w:color w:val="1A1A1A"/>
          <w:sz w:val="22"/>
          <w:szCs w:val="22"/>
        </w:rPr>
        <w:t xml:space="preserve"/>
      </w:r>
    </w:p>
    <w:p>
      <w:pPr>
        <w:spacing w:before="50" w:after="50"/>
      </w:pPr>
      <w:r>
        <w:rPr>
          <w:rFonts w:ascii="Calibri" w:cs="Calibri" w:eastAsia="Calibri" w:hAnsi="Calibri"/>
          <w:color w:val="1A1A1A"/>
          <w:sz w:val="22"/>
          <w:szCs w:val="22"/>
        </w:rPr>
        <w:t xml:space="preserve"/>
      </w:r>
    </w:p>
    <w:p>
      <w:pPr>
        <w:spacing w:before="0" w:after="0"/>
        <w:jc w:val="center"/>
      </w:pPr>
      <w:r>
        <w:rPr>
          <w:rFonts w:ascii="Calibri" w:cs="Calibri" w:eastAsia="Calibri" w:hAnsi="Calibri"/>
          <w:color w:val="444444"/>
          <w:sz w:val="20"/>
          <w:szCs w:val="20"/>
        </w:rPr>
        <w:t xml:space="preserve">Document de Référence Équipe · Version 1.3</w:t>
      </w:r>
    </w:p>
    <w:p>
      <w:pPr>
        <w:spacing w:before="0" w:after="0"/>
        <w:jc w:val="center"/>
      </w:pPr>
      <w:r>
        <w:rPr>
          <w:rFonts w:ascii="Calibri" w:cs="Calibri" w:eastAsia="Calibri" w:hAnsi="Calibri"/>
          <w:color w:val="444444"/>
          <w:sz w:val="20"/>
          <w:szCs w:val="20"/>
        </w:rPr>
        <w:t xml:space="preserve">Togo · Lomé · Juillet 2026</w:t>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Note d'Orientation : Contexte et Vision Stratégique</w:t>
      </w:r>
    </w:p>
    <w:p>
      <w:pPr>
        <w:pStyle w:val="Heading2"/>
        <w:spacing w:before="280" w:after="100"/>
      </w:pPr>
      <w:r>
        <w:rPr>
          <w:rFonts w:ascii="Calibri" w:cs="Calibri" w:eastAsia="Calibri" w:hAnsi="Calibri"/>
          <w:b/>
          <w:bCs/>
          <w:color w:val="00796B"/>
          <w:sz w:val="26"/>
          <w:szCs w:val="26"/>
        </w:rPr>
        <w:t xml:space="preserve">Positionnement continental du projet</w:t>
      </w:r>
    </w:p>
    <w:p>
      <w:pPr>
        <w:spacing w:before="80" w:after="80"/>
      </w:pPr>
      <w:r>
        <w:rPr>
          <w:rFonts w:ascii="Calibri" w:cs="Calibri" w:eastAsia="Calibri" w:hAnsi="Calibri"/>
          <w:color w:val="1A1A1A"/>
          <w:sz w:val="22"/>
          <w:szCs w:val="22"/>
        </w:rPr>
        <w:t xml:space="preserve">L'Africa CDC a réuni l'OMS, la Fondation Gates et plus de 50 délégués nationaux pour définir une stratégie continentale unifiée sur la surveillance des eaux usées, matérialisée par le réseau GLOWACON (Global Wastewater and Environmental Surveillance Consortium, lancé mars 2024). En décembre 2024, la conférence régionale GLOWACON Afrique (Addis-Abeba, 250+ participants) a validé la feuille de route continentale. AquaVigil-WA s'inscrit directement dans cette dynamique et constitue le point d'entrée du Togo dans ce réseau continental.</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Analyse concurrentielle — Ce que fait le Burkina Faso réellement</w:t>
      </w:r>
    </w:p>
    <w:p>
      <w:pPr>
        <w:spacing w:before="80" w:after="80"/>
      </w:pPr>
      <w:r>
        <w:rPr>
          <w:rFonts w:ascii="Calibri" w:cs="Calibri" w:eastAsia="Calibri" w:hAnsi="Calibri"/>
          <w:color w:val="1A1A1A"/>
          <w:sz w:val="22"/>
          <w:szCs w:val="22"/>
        </w:rPr>
        <w:t xml:space="preserve">Le Burkina Faso est présenté comme modèle de référence en Afrique de l'Ouest, mais une analyse approfondie (intelligence bibliographique, juin 2026) révèle un programme plus fragmenté qu'il n'y paraît :</w:t>
      </w:r>
    </w:p>
    <w:p>
      <w:pPr>
        <w:spacing w:before="50" w:after="50"/>
      </w:pPr>
      <w:r>
        <w:rPr>
          <w:rFonts w:ascii="Calibri" w:cs="Calibri" w:eastAsia="Calibri" w:hAnsi="Calibri"/>
          <w:color w:val="1A1A1A"/>
          <w:sz w:val="22"/>
          <w:szCs w:val="22"/>
        </w:rPr>
        <w:t xml:space="preserve"/>
      </w:r>
    </w:p>
    <w:p>
      <w:pPr>
        <w:pStyle w:val="ListParagraph"/>
        <w:numPr>
          <w:ilvl w:val="0"/>
          <w:numId w:val="2"/>
        </w:numPr>
        <w:spacing w:before="55" w:after="55"/>
      </w:pPr>
      <w:r>
        <w:rPr>
          <w:rFonts w:ascii="Calibri" w:cs="Calibri" w:eastAsia="Calibri" w:hAnsi="Calibri"/>
          <w:color w:val="1A1A1A"/>
          <w:sz w:val="22"/>
          <w:szCs w:val="22"/>
        </w:rPr>
        <w:t xml:space="preserve">Polio ES : échantillons envoyés chaque semaine à l'Institut Pasteur de Dakar — aucun labo accrédité in-country, dépendance totale à une infrastructure externe.</w:t>
      </w:r>
    </w:p>
    <w:p>
      <w:pPr>
        <w:pStyle w:val="ListParagraph"/>
        <w:numPr>
          <w:ilvl w:val="0"/>
          <w:numId w:val="2"/>
        </w:numPr>
        <w:spacing w:before="55" w:after="55"/>
      </w:pPr>
      <w:r>
        <w:rPr>
          <w:rFonts w:ascii="Calibri" w:cs="Calibri" w:eastAsia="Calibri" w:hAnsi="Calibri"/>
          <w:color w:val="1A1A1A"/>
          <w:sz w:val="22"/>
          <w:szCs w:val="22"/>
        </w:rPr>
        <w:t xml:space="preserve">AMR : uniquement dans les eaux usées hospitalières (5 centres de santé), jamais au niveau communautaire. Rapports trimestriels au Ministère — trop lent pour de l'alerte précoce.</w:t>
      </w:r>
    </w:p>
    <w:p>
      <w:pPr>
        <w:pStyle w:val="ListParagraph"/>
        <w:numPr>
          <w:ilvl w:val="0"/>
          <w:numId w:val="2"/>
        </w:numPr>
        <w:spacing w:before="55" w:after="55"/>
      </w:pPr>
      <w:r>
        <w:rPr>
          <w:rFonts w:ascii="Calibri" w:cs="Calibri" w:eastAsia="Calibri" w:hAnsi="Calibri"/>
          <w:color w:val="1A1A1A"/>
          <w:sz w:val="22"/>
          <w:szCs w:val="22"/>
        </w:rPr>
        <w:t xml:space="preserve">Pipeline bioinformatique : aucun repo public, aucun pipeline propre. Dépendance aux collaborateurs finlandais et au projet ODIN (EU EDCTP3).</w:t>
      </w:r>
    </w:p>
    <w:p>
      <w:pPr>
        <w:pStyle w:val="ListParagraph"/>
        <w:numPr>
          <w:ilvl w:val="0"/>
          <w:numId w:val="2"/>
        </w:numPr>
        <w:spacing w:before="55" w:after="55"/>
      </w:pPr>
      <w:r>
        <w:rPr>
          <w:rFonts w:ascii="Calibri" w:cs="Calibri" w:eastAsia="Calibri" w:hAnsi="Calibri"/>
          <w:color w:val="1A1A1A"/>
          <w:sz w:val="22"/>
          <w:szCs w:val="22"/>
        </w:rPr>
        <w:t xml:space="preserve">Dashboard : inexistant. Le projet ODIN en développe un, fermé, orienté ministères uniquement.</w:t>
      </w:r>
    </w:p>
    <w:p>
      <w:pPr>
        <w:pStyle w:val="ListParagraph"/>
        <w:numPr>
          <w:ilvl w:val="0"/>
          <w:numId w:val="2"/>
        </w:numPr>
        <w:spacing w:before="55" w:after="55"/>
      </w:pPr>
      <w:r>
        <w:rPr>
          <w:rFonts w:ascii="Calibri" w:cs="Calibri" w:eastAsia="Calibri" w:hAnsi="Calibri"/>
          <w:color w:val="1A1A1A"/>
          <w:sz w:val="22"/>
          <w:szCs w:val="22"/>
        </w:rPr>
        <w:t xml:space="preserve">Données publiques : aucune soumission NCBI/ENA, non conformes aux standards PHA4GE.</w:t>
      </w:r>
    </w:p>
    <w:p>
      <w:pPr>
        <w:pStyle w:val="ListParagraph"/>
        <w:numPr>
          <w:ilvl w:val="0"/>
          <w:numId w:val="2"/>
        </w:numPr>
        <w:spacing w:before="55" w:after="55"/>
      </w:pPr>
      <w:r>
        <w:rPr>
          <w:rFonts w:ascii="Calibri" w:cs="Calibri" w:eastAsia="Calibri" w:hAnsi="Calibri"/>
          <w:color w:val="1A1A1A"/>
          <w:sz w:val="22"/>
          <w:szCs w:val="22"/>
        </w:rPr>
        <w:t xml:space="preserve">Contexte sécuritaire : opérations de terrain restreintes depuis 2022 (instabilité politique).</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Notre positionnement différentiel</w:t>
      </w:r>
    </w:p>
    <w:p>
      <w:pPr>
        <w:spacing w:before="80" w:after="80"/>
      </w:pPr>
      <w:r>
        <w:rPr>
          <w:rFonts w:ascii="Calibri" w:cs="Calibri" w:eastAsia="Calibri" w:hAnsi="Calibri"/>
          <w:color w:val="1A1A1A"/>
          <w:sz w:val="22"/>
          <w:szCs w:val="22"/>
        </w:rPr>
        <w:t xml:space="preserve">AquaVigil-WA ne copie pas le Burkina Faso — AquaVigil-WA le dépasse sur tous les axes critiques :</w:t>
      </w:r>
    </w:p>
    <w:p>
      <w:pPr>
        <w:spacing w:before="50" w:after="50"/>
      </w:pPr>
      <w:r>
        <w:rPr>
          <w:rFonts w:ascii="Calibri" w:cs="Calibri" w:eastAsia="Calibri" w:hAnsi="Calibri"/>
          <w:color w:val="1A1A1A"/>
          <w:sz w:val="22"/>
          <w:szCs w:val="22"/>
        </w:rPr>
        <w:t xml:space="preserve"/>
      </w:r>
    </w:p>
    <w:p>
      <w:pPr>
        <w:pStyle w:val="ListParagraph"/>
        <w:numPr>
          <w:ilvl w:val="0"/>
          <w:numId w:val="2"/>
        </w:numPr>
        <w:spacing w:before="55" w:after="55"/>
      </w:pPr>
      <w:r>
        <w:rPr>
          <w:rFonts w:ascii="Calibri" w:cs="Calibri" w:eastAsia="Calibri" w:hAnsi="Calibri"/>
          <w:b/>
          <w:bCs/>
          <w:color w:val="1A1A1A"/>
          <w:sz w:val="22"/>
          <w:szCs w:val="22"/>
        </w:rPr>
        <w:t xml:space="preserve">Souverain : </w:t>
      </w:r>
      <w:r>
        <w:rPr>
          <w:rFonts w:ascii="Calibri" w:cs="Calibri" w:eastAsia="Calibri" w:hAnsi="Calibri"/>
          <w:color w:val="1A1A1A"/>
          <w:sz w:val="22"/>
          <w:szCs w:val="22"/>
        </w:rPr>
        <w:t xml:space="preserve">Pipeline et séquençage entièrement in-country. Aucune dépendance à Dakar ou partenaires étrangers.</w:t>
      </w:r>
    </w:p>
    <w:p>
      <w:pPr>
        <w:pStyle w:val="ListParagraph"/>
        <w:numPr>
          <w:ilvl w:val="0"/>
          <w:numId w:val="2"/>
        </w:numPr>
        <w:spacing w:before="55" w:after="55"/>
      </w:pPr>
      <w:r>
        <w:rPr>
          <w:rFonts w:ascii="Calibri" w:cs="Calibri" w:eastAsia="Calibri" w:hAnsi="Calibri"/>
          <w:b/>
          <w:bCs/>
          <w:color w:val="1A1A1A"/>
          <w:sz w:val="22"/>
          <w:szCs w:val="22"/>
        </w:rPr>
        <w:t xml:space="preserve">Open-source : </w:t>
      </w:r>
      <w:r>
        <w:rPr>
          <w:rFonts w:ascii="Calibri" w:cs="Calibri" w:eastAsia="Calibri" w:hAnsi="Calibri"/>
          <w:color w:val="1A1A1A"/>
          <w:sz w:val="22"/>
          <w:szCs w:val="22"/>
        </w:rPr>
        <w:t xml:space="preserve">Premier pipeline WBE public sur GitHub en Afrique de l'Ouest. Reproductible, auditable, citable.</w:t>
      </w:r>
    </w:p>
    <w:p>
      <w:pPr>
        <w:pStyle w:val="ListParagraph"/>
        <w:numPr>
          <w:ilvl w:val="0"/>
          <w:numId w:val="2"/>
        </w:numPr>
        <w:spacing w:before="55" w:after="55"/>
      </w:pPr>
      <w:r>
        <w:rPr>
          <w:rFonts w:ascii="Calibri" w:cs="Calibri" w:eastAsia="Calibri" w:hAnsi="Calibri"/>
          <w:b/>
          <w:bCs/>
          <w:color w:val="1A1A1A"/>
          <w:sz w:val="22"/>
          <w:szCs w:val="22"/>
        </w:rPr>
        <w:t xml:space="preserve">Multi-pathogènes dès le jour 1 : </w:t>
      </w:r>
      <w:r>
        <w:rPr>
          <w:rFonts w:ascii="Calibri" w:cs="Calibri" w:eastAsia="Calibri" w:hAnsi="Calibri"/>
          <w:color w:val="1A1A1A"/>
          <w:sz w:val="22"/>
          <w:szCs w:val="22"/>
        </w:rPr>
        <w:t xml:space="preserve">Choléra + typhoïde + entérovirus/polio + AMR communautaire dans un seul événement d'échantillonnage.</w:t>
      </w:r>
    </w:p>
    <w:p>
      <w:pPr>
        <w:pStyle w:val="ListParagraph"/>
        <w:numPr>
          <w:ilvl w:val="0"/>
          <w:numId w:val="2"/>
        </w:numPr>
        <w:spacing w:before="55" w:after="55"/>
      </w:pPr>
      <w:r>
        <w:rPr>
          <w:rFonts w:ascii="Calibri" w:cs="Calibri" w:eastAsia="Calibri" w:hAnsi="Calibri"/>
          <w:b/>
          <w:bCs/>
          <w:color w:val="1A1A1A"/>
          <w:sz w:val="22"/>
          <w:szCs w:val="22"/>
        </w:rPr>
        <w:t xml:space="preserve">Adapté aux réalités togolaises : </w:t>
      </w:r>
      <w:r>
        <w:rPr>
          <w:rFonts w:ascii="Calibri" w:cs="Calibri" w:eastAsia="Calibri" w:hAnsi="Calibri"/>
          <w:color w:val="1A1A1A"/>
          <w:sz w:val="22"/>
          <w:szCs w:val="22"/>
        </w:rPr>
        <w:t xml:space="preserve">Conçu pour les canaux, drains et marchés (milieux non-raccordés, &gt;95% du territoire).</w:t>
      </w:r>
    </w:p>
    <w:p>
      <w:pPr>
        <w:pStyle w:val="ListParagraph"/>
        <w:numPr>
          <w:ilvl w:val="0"/>
          <w:numId w:val="2"/>
        </w:numPr>
        <w:spacing w:before="55" w:after="55"/>
      </w:pPr>
      <w:r>
        <w:rPr>
          <w:rFonts w:ascii="Calibri" w:cs="Calibri" w:eastAsia="Calibri" w:hAnsi="Calibri"/>
          <w:b/>
          <w:bCs/>
          <w:color w:val="1A1A1A"/>
          <w:sz w:val="22"/>
          <w:szCs w:val="22"/>
        </w:rPr>
        <w:t xml:space="preserve">Données ouvertes : </w:t>
      </w:r>
      <w:r>
        <w:rPr>
          <w:rFonts w:ascii="Calibri" w:cs="Calibri" w:eastAsia="Calibri" w:hAnsi="Calibri"/>
          <w:color w:val="1A1A1A"/>
          <w:sz w:val="22"/>
          <w:szCs w:val="22"/>
        </w:rPr>
        <w:t xml:space="preserve">Soumission NCBI SRA + conformité PHA4GE Wastewater Contextual Data Specification dès le pilote.</w:t>
      </w:r>
    </w:p>
    <w:p>
      <w:pPr>
        <w:pStyle w:val="ListParagraph"/>
        <w:numPr>
          <w:ilvl w:val="0"/>
          <w:numId w:val="2"/>
        </w:numPr>
        <w:spacing w:before="55" w:after="55"/>
      </w:pPr>
      <w:r>
        <w:rPr>
          <w:rFonts w:ascii="Calibri" w:cs="Calibri" w:eastAsia="Calibri" w:hAnsi="Calibri"/>
          <w:b/>
          <w:bCs/>
          <w:color w:val="1A1A1A"/>
          <w:sz w:val="22"/>
          <w:szCs w:val="22"/>
        </w:rPr>
        <w:t xml:space="preserve">Alertes hebdomadaires : </w:t>
      </w:r>
      <w:r>
        <w:rPr>
          <w:rFonts w:ascii="Calibri" w:cs="Calibri" w:eastAsia="Calibri" w:hAnsi="Calibri"/>
          <w:color w:val="1A1A1A"/>
          <w:sz w:val="22"/>
          <w:szCs w:val="22"/>
        </w:rPr>
        <w:t xml:space="preserve">Système de seuils automatisés en temps quasi-réel — pas trimestriel.</w:t>
      </w:r>
    </w:p>
    <w:p>
      <w:pPr>
        <w:pStyle w:val="ListParagraph"/>
        <w:numPr>
          <w:ilvl w:val="0"/>
          <w:numId w:val="2"/>
        </w:numPr>
        <w:spacing w:before="55" w:after="55"/>
      </w:pPr>
      <w:r>
        <w:rPr>
          <w:rFonts w:ascii="Calibri" w:cs="Calibri" w:eastAsia="Calibri" w:hAnsi="Calibri"/>
          <w:b/>
          <w:bCs/>
          <w:color w:val="1A1A1A"/>
          <w:sz w:val="22"/>
          <w:szCs w:val="22"/>
        </w:rPr>
        <w:t xml:space="preserve">Réplicable : </w:t>
      </w:r>
      <w:r>
        <w:rPr>
          <w:rFonts w:ascii="Calibri" w:cs="Calibri" w:eastAsia="Calibri" w:hAnsi="Calibri"/>
          <w:color w:val="1A1A1A"/>
          <w:sz w:val="22"/>
          <w:szCs w:val="22"/>
        </w:rPr>
        <w:t xml:space="preserve">Architecture modulaire permettant à tout pays de la CEDEAO de déployer AquaVigil en moins de 2 semaines.</w:t>
      </w:r>
    </w:p>
    <w:p>
      <w:pPr>
        <w:spacing w:before="50" w:after="50"/>
      </w:pPr>
      <w:r>
        <w:rPr>
          <w:rFonts w:ascii="Calibri" w:cs="Calibri" w:eastAsia="Calibri" w:hAnsi="Calibri"/>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B57" w:sz="3"/>
              <w:bottom w:val="single" w:color="2E8B57" w:sz="3"/>
              <w:right w:val="single" w:color="2E8B57" w:sz="3"/>
              <w:left w:val="thick" w:color="2E8B57" w:sz="14"/>
            </w:tcBorders>
            <w:shd w:fill="EBF5EB" w:val="clear"/>
            <w:tcMar>
              <w:top w:type="dxa" w:w="120"/>
              <w:left w:type="dxa" w:w="240"/>
              <w:bottom w:type="dxa" w:w="120"/>
              <w:right w:type="dxa" w:w="240"/>
            </w:tcMar>
          </w:tcPr>
          <w:p>
            <w:pPr>
              <w:spacing w:before="40" w:after="40"/>
            </w:pPr>
            <w:r>
              <w:rPr>
                <w:rFonts w:ascii="Calibri" w:cs="Calibri" w:eastAsia="Calibri" w:hAnsi="Calibri"/>
                <w:b/>
                <w:bCs/>
                <w:color w:val="1B6B3A"/>
                <w:sz w:val="20"/>
                <w:szCs w:val="20"/>
              </w:rPr>
              <w:t xml:space="preserve">Pitch CPHIA Novembre 2026 :</w:t>
            </w:r>
          </w:p>
          <w:p>
            <w:pPr>
              <w:spacing w:before="40" w:after="40"/>
            </w:pPr>
            <w:r>
              <w:rPr>
                <w:rFonts w:ascii="Calibri" w:cs="Calibri" w:eastAsia="Calibri" w:hAnsi="Calibri"/>
                <w:color w:val="444444"/>
                <w:sz w:val="20"/>
                <w:szCs w:val="20"/>
              </w:rPr>
              <w:t xml:space="preserve">« Premier pipeline WBE open-source, multi-pathogènes, adapté aux environnements non-raccordés</w:t>
            </w:r>
          </w:p>
          <w:p>
            <w:pPr>
              <w:spacing w:before="40" w:after="40"/>
            </w:pPr>
            <w:r>
              <w:rPr>
                <w:rFonts w:ascii="Calibri" w:cs="Calibri" w:eastAsia="Calibri" w:hAnsi="Calibri"/>
                <w:color w:val="444444"/>
                <w:sz w:val="20"/>
                <w:szCs w:val="20"/>
              </w:rPr>
              <w:t xml:space="preserve">d'Afrique de l'Ouest — conçu pour la souveraineté épidémiologique et la réplicabilité sous-régionale. »</w:t>
            </w:r>
          </w:p>
        </w:tc>
      </w:tr>
    </w:tbl>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Résumé Exécutif</w:t>
      </w:r>
    </w:p>
    <w:p>
      <w:pPr>
        <w:spacing w:before="80" w:after="80"/>
      </w:pPr>
      <w:r>
        <w:rPr>
          <w:rFonts w:ascii="Calibri" w:cs="Calibri" w:eastAsia="Calibri" w:hAnsi="Calibri"/>
          <w:color w:val="1A1A1A"/>
          <w:sz w:val="22"/>
          <w:szCs w:val="22"/>
        </w:rPr>
        <w:t xml:space="preserve">AquaVigil-WA est un système de surveillance épidémiologique basé sur l'analyse métagénomique des eaux usées (Wastewater-Based Epidemiology, WBE). Conçu pour l'Afrique de l'Ouest — et plus particulièrement le Togo —, il permet de détecter en temps quasi-réel l'émergence d'agents pathogènes (choléra, typhoïde, polio, résistance aux antibiotiques) au sein d'une population entière, sans recourir aux tests individuels.</w:t>
      </w:r>
    </w:p>
    <w:p>
      <w:pPr>
        <w:spacing w:before="50" w:after="50"/>
      </w:pPr>
      <w:r>
        <w:rPr>
          <w:rFonts w:ascii="Calibri" w:cs="Calibri" w:eastAsia="Calibri" w:hAnsi="Calibri"/>
          <w:color w:val="1A1A1A"/>
          <w:sz w:val="22"/>
          <w:szCs w:val="22"/>
        </w:rPr>
        <w:t xml:space="preserve"/>
      </w:r>
    </w:p>
    <w:p>
      <w:pPr>
        <w:pStyle w:val="ListParagraph"/>
        <w:numPr>
          <w:ilvl w:val="0"/>
          <w:numId w:val="2"/>
        </w:numPr>
        <w:spacing w:before="55" w:after="55"/>
      </w:pPr>
      <w:r>
        <w:rPr>
          <w:rFonts w:ascii="Calibri" w:cs="Calibri" w:eastAsia="Calibri" w:hAnsi="Calibri"/>
          <w:color w:val="1A1A1A"/>
          <w:sz w:val="22"/>
          <w:szCs w:val="22"/>
        </w:rPr>
        <w:t xml:space="preserve">Un pipeline bioinformatique léger et automatisé (Snakemake + Kraken2 + Bracken) capable de traiter des fichiers de séquençage bruts (.fastq) sur du matériel modeste, sans recours au cloud.</w:t>
      </w:r>
    </w:p>
    <w:p>
      <w:pPr>
        <w:pStyle w:val="ListParagraph"/>
        <w:numPr>
          <w:ilvl w:val="0"/>
          <w:numId w:val="2"/>
        </w:numPr>
        <w:spacing w:before="55" w:after="55"/>
      </w:pPr>
      <w:r>
        <w:rPr>
          <w:rFonts w:ascii="Calibri" w:cs="Calibri" w:eastAsia="Calibri" w:hAnsi="Calibri"/>
          <w:color w:val="1A1A1A"/>
          <w:sz w:val="22"/>
          <w:szCs w:val="22"/>
        </w:rPr>
        <w:t xml:space="preserve">Un moteur de normalisation et de prédiction de tendance (Python / statsmodels) qui corrige les biais de dilution et génère des alertes précoces via ARIMA et Isolation Forest.</w:t>
      </w:r>
    </w:p>
    <w:p>
      <w:pPr>
        <w:pStyle w:val="ListParagraph"/>
        <w:numPr>
          <w:ilvl w:val="0"/>
          <w:numId w:val="2"/>
        </w:numPr>
        <w:spacing w:before="55" w:after="55"/>
      </w:pPr>
      <w:r>
        <w:rPr>
          <w:rFonts w:ascii="Calibri" w:cs="Calibri" w:eastAsia="Calibri" w:hAnsi="Calibri"/>
          <w:color w:val="1A1A1A"/>
          <w:sz w:val="22"/>
          <w:szCs w:val="22"/>
        </w:rPr>
        <w:t xml:space="preserve">Un tableau de bord web public destiné aux épidémiologistes, décideurs de santé publique et partenaires internationaux (Africa CDC, OMS, GLOWACON).</w:t>
      </w:r>
    </w:p>
    <w:p>
      <w:pPr>
        <w:pStyle w:val="ListParagraph"/>
        <w:numPr>
          <w:ilvl w:val="0"/>
          <w:numId w:val="2"/>
        </w:numPr>
        <w:spacing w:before="55" w:after="55"/>
      </w:pPr>
      <w:r>
        <w:rPr>
          <w:rFonts w:ascii="Calibri" w:cs="Calibri" w:eastAsia="Calibri" w:hAnsi="Calibri"/>
          <w:color w:val="1A1A1A"/>
          <w:sz w:val="22"/>
          <w:szCs w:val="22"/>
        </w:rPr>
        <w:t xml:space="preserve">Un dépôt de données ouvertes conforme aux standards PHA4GE Wastewater Contextual Data Specification, soumis sur NCBI SRA après acceptation.</w:t>
      </w:r>
    </w:p>
    <w:p>
      <w:pPr>
        <w:spacing w:before="50" w:after="50"/>
      </w:pPr>
      <w:r>
        <w:rPr>
          <w:rFonts w:ascii="Calibri" w:cs="Calibri" w:eastAsia="Calibri" w:hAnsi="Calibri"/>
          <w:color w:val="1A1A1A"/>
          <w:sz w:val="22"/>
          <w:szCs w:val="22"/>
        </w:rPr>
        <w:t xml:space="preserve"/>
      </w:r>
    </w:p>
    <w:p>
      <w:pPr>
        <w:spacing w:before="80" w:after="80"/>
      </w:pPr>
      <w:r>
        <w:rPr>
          <w:rFonts w:ascii="Calibri" w:cs="Calibri" w:eastAsia="Calibri" w:hAnsi="Calibri"/>
          <w:i/>
          <w:iCs/>
          <w:color w:val="1A1A1A"/>
          <w:sz w:val="22"/>
          <w:szCs w:val="22"/>
        </w:rPr>
        <w:t xml:space="preserve">Objectif final : publier un article scientifique méthodologique dans une revue internationale (PLOS ONE, BMC Bioinformatics, Frontiers in Public Health) et présenter un pilote opérationnel à la conférence CPHIA d'Addis-Abeba en novembre 2026.</w:t>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1. Contexte et Justification Scientifique</w:t>
      </w:r>
    </w:p>
    <w:p>
      <w:pPr>
        <w:pStyle w:val="Heading2"/>
        <w:spacing w:before="280" w:after="100"/>
      </w:pPr>
      <w:r>
        <w:rPr>
          <w:rFonts w:ascii="Calibri" w:cs="Calibri" w:eastAsia="Calibri" w:hAnsi="Calibri"/>
          <w:b/>
          <w:bCs/>
          <w:color w:val="00796B"/>
          <w:sz w:val="26"/>
          <w:szCs w:val="26"/>
        </w:rPr>
        <w:t xml:space="preserve">1.1 Les lacunes de surveillance épidémiologique en Afrique de l'Ouest</w:t>
      </w:r>
    </w:p>
    <w:p>
      <w:pPr>
        <w:pStyle w:val="ListParagraph"/>
        <w:numPr>
          <w:ilvl w:val="0"/>
          <w:numId w:val="2"/>
        </w:numPr>
        <w:spacing w:before="55" w:after="55"/>
      </w:pPr>
      <w:r>
        <w:rPr>
          <w:rFonts w:ascii="Calibri" w:cs="Calibri" w:eastAsia="Calibri" w:hAnsi="Calibri"/>
          <w:color w:val="1A1A1A"/>
          <w:sz w:val="22"/>
          <w:szCs w:val="22"/>
        </w:rPr>
        <w:t xml:space="preserve">Sous-notification clinique : la majorité des cas de choléra, typhoïde ou polio ne parviennent jamais aux registres officiels.</w:t>
      </w:r>
    </w:p>
    <w:p>
      <w:pPr>
        <w:pStyle w:val="ListParagraph"/>
        <w:numPr>
          <w:ilvl w:val="0"/>
          <w:numId w:val="2"/>
        </w:numPr>
        <w:spacing w:before="55" w:after="55"/>
      </w:pPr>
      <w:r>
        <w:rPr>
          <w:rFonts w:ascii="Calibri" w:cs="Calibri" w:eastAsia="Calibri" w:hAnsi="Calibri"/>
          <w:color w:val="1A1A1A"/>
          <w:sz w:val="22"/>
          <w:szCs w:val="22"/>
        </w:rPr>
        <w:t xml:space="preserve">Délai de détection : un signal épidémique est reconnu en moyenne plusieurs semaines après le début de la circulation communautaire.</w:t>
      </w:r>
    </w:p>
    <w:p>
      <w:pPr>
        <w:pStyle w:val="ListParagraph"/>
        <w:numPr>
          <w:ilvl w:val="0"/>
          <w:numId w:val="2"/>
        </w:numPr>
        <w:spacing w:before="55" w:after="55"/>
      </w:pPr>
      <w:r>
        <w:rPr>
          <w:rFonts w:ascii="Calibri" w:cs="Calibri" w:eastAsia="Calibri" w:hAnsi="Calibri"/>
          <w:color w:val="1A1A1A"/>
          <w:sz w:val="22"/>
          <w:szCs w:val="22"/>
        </w:rPr>
        <w:t xml:space="preserve">Coût prohibitif des enquêtes sérologiques populationnelles pour les ministères de la sous-région.</w:t>
      </w:r>
    </w:p>
    <w:p>
      <w:pPr>
        <w:pStyle w:val="ListParagraph"/>
        <w:numPr>
          <w:ilvl w:val="0"/>
          <w:numId w:val="2"/>
        </w:numPr>
        <w:spacing w:before="55" w:after="55"/>
      </w:pPr>
      <w:r>
        <w:rPr>
          <w:rFonts w:ascii="Calibri" w:cs="Calibri" w:eastAsia="Calibri" w:hAnsi="Calibri"/>
          <w:color w:val="1A1A1A"/>
          <w:sz w:val="22"/>
          <w:szCs w:val="22"/>
        </w:rPr>
        <w:t xml:space="preserve">Aucun pays de la CEDEAO ne dispose d'un pipeline WBE souverain, open-source et multi-pathogènes documenté publiquement.</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1.2 La WBE comme réponse directe</w:t>
      </w:r>
    </w:p>
    <w:p>
      <w:pPr>
        <w:spacing w:before="80" w:after="80"/>
      </w:pPr>
      <w:r>
        <w:rPr>
          <w:rFonts w:ascii="Calibri" w:cs="Calibri" w:eastAsia="Calibri" w:hAnsi="Calibri"/>
          <w:color w:val="1A1A1A"/>
          <w:sz w:val="22"/>
          <w:szCs w:val="22"/>
        </w:rPr>
        <w:t xml:space="preserve">La surveillance par eaux usées consiste à analyser l'ADN/ARN microbien des eaux usées collectives pour inférer l'état sanitaire d'une communauté entière. Lors de la pandémie COVID-19, plusieurs pays ont détecté des vagues épidémiques via les eaux usées 4 à 7 jours avant que les hospitalisations n'augmentent. En 2025, des études à Dakar (IPD) ont détecté des pathogènes entériques dans 96% des échantillons d'eaux usées.</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1.3 Spécificité du contexte togolais et milieux non-raccordés</w:t>
      </w:r>
    </w:p>
    <w:p>
      <w:pPr>
        <w:spacing w:before="80" w:after="80"/>
      </w:pPr>
      <w:r>
        <w:rPr>
          <w:rFonts w:ascii="Calibri" w:cs="Calibri" w:eastAsia="Calibri" w:hAnsi="Calibri"/>
          <w:color w:val="1A1A1A"/>
          <w:sz w:val="22"/>
          <w:szCs w:val="22"/>
        </w:rPr>
        <w:t xml:space="preserve">Comme au Burkina Faso (~235 connexions d'égout pour toute la ville d'Ouagadougou), Lomé ne dispose pas d'un réseau d'assainissement couvrant la majorité de la population. AquaVigil-WA est conçu dès l'origine pour les canaux ouverts, les drains de marché et les sites de convergence des eaux usées — et non pour des stations d'épuration formalisées. Cette adaptation est la clé de la faisabilité et de la réplicabilité dans toute la sous-région.</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1.4 Distinction avec GenVigil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Dimension</w:t>
            </w:r>
          </w:p>
        </w:tc>
        <w:tc>
          <w:tcPr>
            <w:tcW w:type="dxa" w:w="30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GenVigil</w:t>
            </w:r>
          </w:p>
        </w:tc>
        <w:tc>
          <w:tcPr>
            <w:tcW w:type="dxa" w:w="35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AquaVigil-WA</w:t>
            </w:r>
          </w:p>
        </w:tc>
      </w:tr>
      <w:tr>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Objet d'analyse</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Sang d'un patient individuel</w:t>
            </w:r>
          </w:p>
        </w:tc>
        <w:tc>
          <w:tcPr>
            <w:tcW w:type="dxa" w:w="3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Eaux usées d'une communauté</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Échelle</w:t>
            </w:r>
          </w:p>
        </w:tc>
        <w:tc>
          <w:tcPr>
            <w:tcW w:type="dxa" w:w="3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1 patient à la fois</w:t>
            </w:r>
          </w:p>
        </w:tc>
        <w:tc>
          <w:tcPr>
            <w:tcW w:type="dxa" w:w="3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10 000 à 500 000 personnes par échantillon</w:t>
            </w:r>
          </w:p>
        </w:tc>
      </w:tr>
      <w:tr>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Données produites</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Génotype parasitaire (ex. Kelch13)</w:t>
            </w:r>
          </w:p>
        </w:tc>
        <w:tc>
          <w:tcPr>
            <w:tcW w:type="dxa" w:w="3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Profil métagénomique communautaire</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Méthode bioinformatique</w:t>
            </w:r>
          </w:p>
        </w:tc>
        <w:tc>
          <w:tcPr>
            <w:tcW w:type="dxa" w:w="3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Alignement ciblé (BWA, GATK)</w:t>
            </w:r>
          </w:p>
        </w:tc>
        <w:tc>
          <w:tcPr>
            <w:tcW w:type="dxa" w:w="3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Profilage taxonomique (Kraken2, Bracken)</w:t>
            </w:r>
          </w:p>
        </w:tc>
      </w:tr>
      <w:tr>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Utilisateur final</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Clinicien / biologiste</w:t>
            </w:r>
          </w:p>
        </w:tc>
        <w:tc>
          <w:tcPr>
            <w:tcW w:type="dxa" w:w="3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Épidémiologiste / Ministère de la Santé</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Article visé</w:t>
            </w:r>
          </w:p>
        </w:tc>
        <w:tc>
          <w:tcPr>
            <w:tcW w:type="dxa" w:w="3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Résistance aux antipaludiques</w:t>
            </w:r>
          </w:p>
        </w:tc>
        <w:tc>
          <w:tcPr>
            <w:tcW w:type="dxa" w:w="3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Méthodologie WBE contexte africain</w:t>
            </w:r>
          </w:p>
        </w:tc>
      </w:tr>
    </w:tbl>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2. Équipe et Rôles</w:t>
      </w:r>
    </w:p>
    <w:p>
      <w:pPr>
        <w:spacing w:before="80" w:after="80"/>
      </w:pPr>
      <w:r>
        <w:rPr>
          <w:rFonts w:ascii="Calibri" w:cs="Calibri" w:eastAsia="Calibri" w:hAnsi="Calibri"/>
          <w:color w:val="1A1A1A"/>
          <w:sz w:val="22"/>
          <w:szCs w:val="22"/>
        </w:rPr>
        <w:t xml:space="preserve">L'équipe est composée de quatre membres aux profils strictement complémentaires.</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Membre 1 — Chef de Projet &amp; Chef de Projet</w:t>
      </w:r>
    </w:p>
    <w:p>
      <w:pPr>
        <w:spacing w:before="0" w:after="40"/>
      </w:pPr>
      <w:r>
        <w:rPr>
          <w:rFonts w:ascii="Calibri" w:cs="Calibri" w:eastAsia="Calibri" w:hAnsi="Calibri"/>
          <w:i/>
          <w:iCs/>
          <w:color w:val="444444"/>
          <w:sz w:val="20"/>
          <w:szCs w:val="20"/>
        </w:rPr>
        <w:t xml:space="preserve">Profil : Data Scientist en formation, spécialisation Biodonnées (WBE)</w:t>
      </w:r>
    </w:p>
    <w:p>
      <w:pPr>
        <w:spacing w:before="0" w:after="60"/>
      </w:pPr>
      <w:r>
        <w:rPr>
          <w:rFonts w:ascii="Calibri" w:cs="Calibri" w:eastAsia="Calibri" w:hAnsi="Calibri"/>
          <w:b/>
          <w:bCs/>
          <w:color w:val="1A1A1A"/>
          <w:sz w:val="22"/>
          <w:szCs w:val="22"/>
        </w:rPr>
        <w:t xml:space="preserve">Rôle central : Pipeline bioinformatique, coordination générale, rédaction scientifique.</w:t>
      </w:r>
    </w:p>
    <w:p>
      <w:pPr>
        <w:spacing w:before="40" w:after="40"/>
      </w:pPr>
      <w:r>
        <w:rPr>
          <w:rFonts w:ascii="Calibri" w:cs="Calibri" w:eastAsia="Calibri" w:hAnsi="Calibri"/>
          <w:b/>
          <w:bCs/>
          <w:color w:val="1A1A1A"/>
          <w:sz w:val="22"/>
          <w:szCs w:val="22"/>
        </w:rPr>
        <w:t xml:space="preserve">Responsabilités</w:t>
      </w:r>
    </w:p>
    <w:p>
      <w:pPr>
        <w:pStyle w:val="ListParagraph"/>
        <w:numPr>
          <w:ilvl w:val="0"/>
          <w:numId w:val="2"/>
        </w:numPr>
        <w:spacing w:before="55" w:after="55"/>
      </w:pPr>
      <w:r>
        <w:rPr>
          <w:rFonts w:ascii="Calibri" w:cs="Calibri" w:eastAsia="Calibri" w:hAnsi="Calibri"/>
          <w:color w:val="1A1A1A"/>
          <w:sz w:val="22"/>
          <w:szCs w:val="22"/>
        </w:rPr>
        <w:t xml:space="preserve">Conception du workflow Snakemake (Brique 1 — Déconvolution Engine)</w:t>
      </w:r>
    </w:p>
    <w:p>
      <w:pPr>
        <w:pStyle w:val="ListParagraph"/>
        <w:numPr>
          <w:ilvl w:val="0"/>
          <w:numId w:val="2"/>
        </w:numPr>
        <w:spacing w:before="55" w:after="55"/>
      </w:pPr>
      <w:r>
        <w:rPr>
          <w:rFonts w:ascii="Calibri" w:cs="Calibri" w:eastAsia="Calibri" w:hAnsi="Calibri"/>
          <w:color w:val="1A1A1A"/>
          <w:sz w:val="22"/>
          <w:szCs w:val="22"/>
        </w:rPr>
        <w:t xml:space="preserve">Intégration et paramétrage de Kraken2 et Bracken (base MiniKraken)</w:t>
      </w:r>
    </w:p>
    <w:p>
      <w:pPr>
        <w:pStyle w:val="ListParagraph"/>
        <w:numPr>
          <w:ilvl w:val="0"/>
          <w:numId w:val="2"/>
        </w:numPr>
        <w:spacing w:before="55" w:after="55"/>
      </w:pPr>
      <w:r>
        <w:rPr>
          <w:rFonts w:ascii="Calibri" w:cs="Calibri" w:eastAsia="Calibri" w:hAnsi="Calibri"/>
          <w:color w:val="1A1A1A"/>
          <w:sz w:val="22"/>
          <w:szCs w:val="22"/>
        </w:rPr>
        <w:t xml:space="preserve">Scripts Python de parsing des sorties JSON/CSV du pipeline</w:t>
      </w:r>
    </w:p>
    <w:p>
      <w:pPr>
        <w:pStyle w:val="ListParagraph"/>
        <w:numPr>
          <w:ilvl w:val="0"/>
          <w:numId w:val="2"/>
        </w:numPr>
        <w:spacing w:before="55" w:after="55"/>
      </w:pPr>
      <w:r>
        <w:rPr>
          <w:rFonts w:ascii="Calibri" w:cs="Calibri" w:eastAsia="Calibri" w:hAnsi="Calibri"/>
          <w:color w:val="1A1A1A"/>
          <w:sz w:val="22"/>
          <w:szCs w:val="22"/>
        </w:rPr>
        <w:t xml:space="preserve">Gestion du dépôt GitHub (branches, documentation, kanban Projects)</w:t>
      </w:r>
    </w:p>
    <w:p>
      <w:pPr>
        <w:pStyle w:val="ListParagraph"/>
        <w:numPr>
          <w:ilvl w:val="0"/>
          <w:numId w:val="2"/>
        </w:numPr>
        <w:spacing w:before="55" w:after="55"/>
      </w:pPr>
      <w:r>
        <w:rPr>
          <w:rFonts w:ascii="Calibri" w:cs="Calibri" w:eastAsia="Calibri" w:hAnsi="Calibri"/>
          <w:color w:val="1A1A1A"/>
          <w:sz w:val="22"/>
          <w:szCs w:val="22"/>
        </w:rPr>
        <w:t xml:space="preserve">Coordination des phases de développement et de test</w:t>
      </w:r>
    </w:p>
    <w:p>
      <w:pPr>
        <w:pStyle w:val="ListParagraph"/>
        <w:numPr>
          <w:ilvl w:val="0"/>
          <w:numId w:val="2"/>
        </w:numPr>
        <w:spacing w:before="55" w:after="55"/>
      </w:pPr>
      <w:r>
        <w:rPr>
          <w:rFonts w:ascii="Calibri" w:cs="Calibri" w:eastAsia="Calibri" w:hAnsi="Calibri"/>
          <w:color w:val="1A1A1A"/>
          <w:sz w:val="22"/>
          <w:szCs w:val="22"/>
        </w:rPr>
        <w:t xml:space="preserve">Rédaction principale de l'article (sections Méthodes, Résultats)</w:t>
      </w:r>
    </w:p>
    <w:p>
      <w:pPr>
        <w:pStyle w:val="ListParagraph"/>
        <w:numPr>
          <w:ilvl w:val="0"/>
          <w:numId w:val="2"/>
        </w:numPr>
        <w:spacing w:before="55" w:after="55"/>
      </w:pPr>
      <w:r>
        <w:rPr>
          <w:rFonts w:ascii="Calibri" w:cs="Calibri" w:eastAsia="Calibri" w:hAnsi="Calibri"/>
          <w:color w:val="1A1A1A"/>
          <w:sz w:val="22"/>
          <w:szCs w:val="22"/>
        </w:rPr>
        <w:t xml:space="preserve">Intégration conformité PHA4GE dans le format de sortie Brique 2</w:t>
      </w:r>
    </w:p>
    <w:p>
      <w:pPr>
        <w:pStyle w:val="ListParagraph"/>
        <w:numPr>
          <w:ilvl w:val="0"/>
          <w:numId w:val="2"/>
        </w:numPr>
        <w:spacing w:before="55" w:after="55"/>
      </w:pPr>
      <w:r>
        <w:rPr>
          <w:rFonts w:ascii="Calibri" w:cs="Calibri" w:eastAsia="Calibri" w:hAnsi="Calibri"/>
          <w:color w:val="1A1A1A"/>
          <w:sz w:val="22"/>
          <w:szCs w:val="22"/>
        </w:rPr>
        <w:t xml:space="preserve">Email formel à Africa CDC (Juin–Juillet 2026)</w:t>
      </w:r>
    </w:p>
    <w:p>
      <w:pPr>
        <w:pStyle w:val="ListParagraph"/>
        <w:numPr>
          <w:ilvl w:val="0"/>
          <w:numId w:val="2"/>
        </w:numPr>
        <w:spacing w:before="55" w:after="55"/>
      </w:pPr>
      <w:r>
        <w:rPr>
          <w:rFonts w:ascii="Calibri" w:cs="Calibri" w:eastAsia="Calibri" w:hAnsi="Calibri"/>
          <w:color w:val="1A1A1A"/>
          <w:sz w:val="22"/>
          <w:szCs w:val="22"/>
        </w:rPr>
        <w:t xml:space="preserve">Veille technologique (ONT MinION pour Phase 3, outils WBE)</w:t>
      </w:r>
    </w:p>
    <w:p>
      <w:pPr>
        <w:spacing w:before="50" w:after="50"/>
      </w:pPr>
      <w:r>
        <w:rPr>
          <w:rFonts w:ascii="Calibri" w:cs="Calibri" w:eastAsia="Calibri" w:hAnsi="Calibri"/>
          <w:color w:val="1A1A1A"/>
          <w:sz w:val="22"/>
          <w:szCs w:val="22"/>
        </w:rPr>
        <w:t xml:space="preserve"/>
      </w:r>
    </w:p>
    <w:p>
      <w:pPr>
        <w:spacing w:before="40" w:after="40"/>
      </w:pPr>
      <w:r>
        <w:rPr>
          <w:rFonts w:ascii="Calibri" w:cs="Calibri" w:eastAsia="Calibri" w:hAnsi="Calibri"/>
          <w:b/>
          <w:bCs/>
          <w:color w:val="1A1A1A"/>
          <w:sz w:val="22"/>
          <w:szCs w:val="22"/>
        </w:rPr>
        <w:t xml:space="preserve">Livrables</w:t>
      </w:r>
    </w:p>
    <w:p>
      <w:pPr>
        <w:pStyle w:val="ListParagraph"/>
        <w:numPr>
          <w:ilvl w:val="0"/>
          <w:numId w:val="2"/>
        </w:numPr>
        <w:spacing w:before="55" w:after="55"/>
      </w:pPr>
      <w:r>
        <w:rPr>
          <w:rFonts w:ascii="Calibri" w:cs="Calibri" w:eastAsia="Calibri" w:hAnsi="Calibri"/>
          <w:color w:val="1A1A1A"/>
          <w:sz w:val="22"/>
          <w:szCs w:val="22"/>
        </w:rPr>
        <w:t xml:space="preserve">Pipeline Snakemake fonctionnel (Snakefile + règles modulaires)</w:t>
      </w:r>
    </w:p>
    <w:p>
      <w:pPr>
        <w:pStyle w:val="ListParagraph"/>
        <w:numPr>
          <w:ilvl w:val="0"/>
          <w:numId w:val="2"/>
        </w:numPr>
        <w:spacing w:before="55" w:after="55"/>
      </w:pPr>
      <w:r>
        <w:rPr>
          <w:rFonts w:ascii="Calibri" w:cs="Calibri" w:eastAsia="Calibri" w:hAnsi="Calibri"/>
          <w:color w:val="1A1A1A"/>
          <w:sz w:val="22"/>
          <w:szCs w:val="22"/>
        </w:rPr>
        <w:t xml:space="preserve">Script kraken2_runner.py automatisant le lancement et le parsing</w:t>
      </w:r>
    </w:p>
    <w:p>
      <w:pPr>
        <w:pStyle w:val="ListParagraph"/>
        <w:numPr>
          <w:ilvl w:val="0"/>
          <w:numId w:val="2"/>
        </w:numPr>
        <w:spacing w:before="55" w:after="55"/>
      </w:pPr>
      <w:r>
        <w:rPr>
          <w:rFonts w:ascii="Calibri" w:cs="Calibri" w:eastAsia="Calibri" w:hAnsi="Calibri"/>
          <w:color w:val="1A1A1A"/>
          <w:sz w:val="22"/>
          <w:szCs w:val="22"/>
        </w:rPr>
        <w:t xml:space="preserve">Documentation technique (README.md + Wiki GitHub)</w:t>
      </w:r>
    </w:p>
    <w:p>
      <w:pPr>
        <w:pStyle w:val="ListParagraph"/>
        <w:numPr>
          <w:ilvl w:val="0"/>
          <w:numId w:val="2"/>
        </w:numPr>
        <w:spacing w:before="55" w:after="55"/>
      </w:pPr>
      <w:r>
        <w:rPr>
          <w:rFonts w:ascii="Calibri" w:cs="Calibri" w:eastAsia="Calibri" w:hAnsi="Calibri"/>
          <w:color w:val="1A1A1A"/>
          <w:sz w:val="22"/>
          <w:szCs w:val="22"/>
        </w:rPr>
        <w:t xml:space="preserve">Rapport de résultats sur données simulées InSilicoSeq</w:t>
      </w:r>
    </w:p>
    <w:p>
      <w:pPr>
        <w:pStyle w:val="ListParagraph"/>
        <w:numPr>
          <w:ilvl w:val="0"/>
          <w:numId w:val="2"/>
        </w:numPr>
        <w:spacing w:before="55" w:after="55"/>
      </w:pPr>
      <w:r>
        <w:rPr>
          <w:rFonts w:ascii="Calibri" w:cs="Calibri" w:eastAsia="Calibri" w:hAnsi="Calibri"/>
          <w:color w:val="1A1A1A"/>
          <w:sz w:val="22"/>
          <w:szCs w:val="22"/>
        </w:rPr>
        <w:t xml:space="preserve">Format de sortie PHA4GE-compliant pour les métadonnées</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Membre 2 — Épidémiologiste de Santé Publique</w:t>
      </w:r>
    </w:p>
    <w:p>
      <w:pPr>
        <w:spacing w:before="0" w:after="40"/>
      </w:pPr>
      <w:r>
        <w:rPr>
          <w:rFonts w:ascii="Calibri" w:cs="Calibri" w:eastAsia="Calibri" w:hAnsi="Calibri"/>
          <w:i/>
          <w:iCs/>
          <w:color w:val="444444"/>
          <w:sz w:val="20"/>
          <w:szCs w:val="20"/>
        </w:rPr>
        <w:t xml:space="preserve">Profil : Spécialiste en santé publique / épidémiologie de terrain</w:t>
      </w:r>
    </w:p>
    <w:p>
      <w:pPr>
        <w:spacing w:before="0" w:after="60"/>
      </w:pPr>
      <w:r>
        <w:rPr>
          <w:rFonts w:ascii="Calibri" w:cs="Calibri" w:eastAsia="Calibri" w:hAnsi="Calibri"/>
          <w:b/>
          <w:bCs/>
          <w:color w:val="1A1A1A"/>
          <w:sz w:val="22"/>
          <w:szCs w:val="22"/>
        </w:rPr>
        <w:t xml:space="preserve">Rôle central : Protocole de prélèvement, interprétation des signaux, liaisons institutionnelles.</w:t>
      </w:r>
    </w:p>
    <w:p>
      <w:pPr>
        <w:spacing w:before="40" w:after="40"/>
      </w:pPr>
      <w:r>
        <w:rPr>
          <w:rFonts w:ascii="Calibri" w:cs="Calibri" w:eastAsia="Calibri" w:hAnsi="Calibri"/>
          <w:b/>
          <w:bCs/>
          <w:color w:val="1A1A1A"/>
          <w:sz w:val="22"/>
          <w:szCs w:val="22"/>
        </w:rPr>
        <w:t xml:space="preserve">Responsabilités</w:t>
      </w:r>
    </w:p>
    <w:p>
      <w:pPr>
        <w:pStyle w:val="ListParagraph"/>
        <w:numPr>
          <w:ilvl w:val="0"/>
          <w:numId w:val="2"/>
        </w:numPr>
        <w:spacing w:before="55" w:after="55"/>
      </w:pPr>
      <w:r>
        <w:rPr>
          <w:rFonts w:ascii="Calibri" w:cs="Calibri" w:eastAsia="Calibri" w:hAnsi="Calibri"/>
          <w:color w:val="1A1A1A"/>
          <w:sz w:val="22"/>
          <w:szCs w:val="22"/>
        </w:rPr>
        <w:t xml:space="preserve">Rédaction du Protocole Standard de Prélèvement (PSP) adapté milieux non-raccordés (canaux, drains, marchés)</w:t>
      </w:r>
    </w:p>
    <w:p>
      <w:pPr>
        <w:pStyle w:val="ListParagraph"/>
        <w:numPr>
          <w:ilvl w:val="0"/>
          <w:numId w:val="2"/>
        </w:numPr>
        <w:spacing w:before="55" w:after="55"/>
      </w:pPr>
      <w:r>
        <w:rPr>
          <w:rFonts w:ascii="Calibri" w:cs="Calibri" w:eastAsia="Calibri" w:hAnsi="Calibri"/>
          <w:color w:val="1A1A1A"/>
          <w:sz w:val="22"/>
          <w:szCs w:val="22"/>
        </w:rPr>
        <w:t xml:space="preserve">Définition des seuils d'alerte épidémiologique (alerte jaune / rouge)</w:t>
      </w:r>
    </w:p>
    <w:p>
      <w:pPr>
        <w:pStyle w:val="ListParagraph"/>
        <w:numPr>
          <w:ilvl w:val="0"/>
          <w:numId w:val="2"/>
        </w:numPr>
        <w:spacing w:before="55" w:after="55"/>
      </w:pPr>
      <w:r>
        <w:rPr>
          <w:rFonts w:ascii="Calibri" w:cs="Calibri" w:eastAsia="Calibri" w:hAnsi="Calibri"/>
          <w:color w:val="1A1A1A"/>
          <w:sz w:val="22"/>
          <w:szCs w:val="22"/>
        </w:rPr>
        <w:t xml:space="preserve">Cartographie des sites de prélèvement prioritaires à Lomé</w:t>
      </w:r>
    </w:p>
    <w:p>
      <w:pPr>
        <w:pStyle w:val="ListParagraph"/>
        <w:numPr>
          <w:ilvl w:val="0"/>
          <w:numId w:val="2"/>
        </w:numPr>
        <w:spacing w:before="55" w:after="55"/>
      </w:pPr>
      <w:r>
        <w:rPr>
          <w:rFonts w:ascii="Calibri" w:cs="Calibri" w:eastAsia="Calibri" w:hAnsi="Calibri"/>
          <w:color w:val="1A1A1A"/>
          <w:sz w:val="22"/>
          <w:szCs w:val="22"/>
        </w:rPr>
        <w:t xml:space="preserve">Identification et contact des partenaires institutionnels : Ministère de la Santé, Direction de l'Hygiène Publique, INSP, OMS bureau Lomé</w:t>
      </w:r>
    </w:p>
    <w:p>
      <w:pPr>
        <w:pStyle w:val="ListParagraph"/>
        <w:numPr>
          <w:ilvl w:val="0"/>
          <w:numId w:val="2"/>
        </w:numPr>
        <w:spacing w:before="55" w:after="55"/>
      </w:pPr>
      <w:r>
        <w:rPr>
          <w:rFonts w:ascii="Calibri" w:cs="Calibri" w:eastAsia="Calibri" w:hAnsi="Calibri"/>
          <w:color w:val="1A1A1A"/>
          <w:sz w:val="22"/>
          <w:szCs w:val="22"/>
        </w:rPr>
        <w:t xml:space="preserve">Interprétation contextuelle des sorties du Normalizer (saison, événements, migrations)</w:t>
      </w:r>
    </w:p>
    <w:p>
      <w:pPr>
        <w:pStyle w:val="ListParagraph"/>
        <w:numPr>
          <w:ilvl w:val="0"/>
          <w:numId w:val="2"/>
        </w:numPr>
        <w:spacing w:before="55" w:after="55"/>
      </w:pPr>
      <w:r>
        <w:rPr>
          <w:rFonts w:ascii="Calibri" w:cs="Calibri" w:eastAsia="Calibri" w:hAnsi="Calibri"/>
          <w:color w:val="1A1A1A"/>
          <w:sz w:val="22"/>
          <w:szCs w:val="22"/>
        </w:rPr>
        <w:t xml:space="preserve">Contribution à l'article (Introduction, Discussion, Implications Santé Publique)</w:t>
      </w:r>
    </w:p>
    <w:p>
      <w:pPr>
        <w:pStyle w:val="ListParagraph"/>
        <w:numPr>
          <w:ilvl w:val="0"/>
          <w:numId w:val="2"/>
        </w:numPr>
        <w:spacing w:before="55" w:after="55"/>
      </w:pPr>
      <w:r>
        <w:rPr>
          <w:rFonts w:ascii="Calibri" w:cs="Calibri" w:eastAsia="Calibri" w:hAnsi="Calibri"/>
          <w:color w:val="1A1A1A"/>
          <w:sz w:val="22"/>
          <w:szCs w:val="22"/>
        </w:rPr>
        <w:t xml:space="preserve">Recherche bibliographique épidémiologie togolaise (données MSPS, OMS Togo)</w:t>
      </w:r>
    </w:p>
    <w:p>
      <w:pPr>
        <w:spacing w:before="50" w:after="50"/>
      </w:pPr>
      <w:r>
        <w:rPr>
          <w:rFonts w:ascii="Calibri" w:cs="Calibri" w:eastAsia="Calibri" w:hAnsi="Calibri"/>
          <w:color w:val="1A1A1A"/>
          <w:sz w:val="22"/>
          <w:szCs w:val="22"/>
        </w:rPr>
        <w:t xml:space="preserve"/>
      </w:r>
    </w:p>
    <w:p>
      <w:pPr>
        <w:spacing w:before="40" w:after="40"/>
      </w:pPr>
      <w:r>
        <w:rPr>
          <w:rFonts w:ascii="Calibri" w:cs="Calibri" w:eastAsia="Calibri" w:hAnsi="Calibri"/>
          <w:b/>
          <w:bCs/>
          <w:color w:val="1A1A1A"/>
          <w:sz w:val="22"/>
          <w:szCs w:val="22"/>
        </w:rPr>
        <w:t xml:space="preserve">Livrables</w:t>
      </w:r>
    </w:p>
    <w:p>
      <w:pPr>
        <w:pStyle w:val="ListParagraph"/>
        <w:numPr>
          <w:ilvl w:val="0"/>
          <w:numId w:val="2"/>
        </w:numPr>
        <w:spacing w:before="55" w:after="55"/>
      </w:pPr>
      <w:r>
        <w:rPr>
          <w:rFonts w:ascii="Calibri" w:cs="Calibri" w:eastAsia="Calibri" w:hAnsi="Calibri"/>
          <w:color w:val="1A1A1A"/>
          <w:sz w:val="22"/>
          <w:szCs w:val="22"/>
        </w:rPr>
        <w:t xml:space="preserve">Protocole Standard de Prélèvement v1.0 (milieux non-raccordés inclus)</w:t>
      </w:r>
    </w:p>
    <w:p>
      <w:pPr>
        <w:pStyle w:val="ListParagraph"/>
        <w:numPr>
          <w:ilvl w:val="0"/>
          <w:numId w:val="2"/>
        </w:numPr>
        <w:spacing w:before="55" w:after="55"/>
      </w:pPr>
      <w:r>
        <w:rPr>
          <w:rFonts w:ascii="Calibri" w:cs="Calibri" w:eastAsia="Calibri" w:hAnsi="Calibri"/>
          <w:color w:val="1A1A1A"/>
          <w:sz w:val="22"/>
          <w:szCs w:val="22"/>
        </w:rPr>
        <w:t xml:space="preserve">Carte des sites de prélèvement Lomé (GeoJSON ou PDF)</w:t>
      </w:r>
    </w:p>
    <w:p>
      <w:pPr>
        <w:pStyle w:val="ListParagraph"/>
        <w:numPr>
          <w:ilvl w:val="0"/>
          <w:numId w:val="2"/>
        </w:numPr>
        <w:spacing w:before="55" w:after="55"/>
      </w:pPr>
      <w:r>
        <w:rPr>
          <w:rFonts w:ascii="Calibri" w:cs="Calibri" w:eastAsia="Calibri" w:hAnsi="Calibri"/>
          <w:color w:val="1A1A1A"/>
          <w:sz w:val="22"/>
          <w:szCs w:val="22"/>
        </w:rPr>
        <w:t xml:space="preserve">Dictionnaire des seuils d'alerte épidémiologique</w:t>
      </w:r>
    </w:p>
    <w:p>
      <w:pPr>
        <w:pStyle w:val="ListParagraph"/>
        <w:numPr>
          <w:ilvl w:val="0"/>
          <w:numId w:val="2"/>
        </w:numPr>
        <w:spacing w:before="55" w:after="55"/>
      </w:pPr>
      <w:r>
        <w:rPr>
          <w:rFonts w:ascii="Calibri" w:cs="Calibri" w:eastAsia="Calibri" w:hAnsi="Calibri"/>
          <w:color w:val="1A1A1A"/>
          <w:sz w:val="22"/>
          <w:szCs w:val="22"/>
        </w:rPr>
        <w:t xml:space="preserve">Lettre de présentation aux institutions partenaires</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Membre 3 — Data Scientist &amp; Modélisation Prédictive</w:t>
      </w:r>
    </w:p>
    <w:p>
      <w:pPr>
        <w:spacing w:before="0" w:after="40"/>
      </w:pPr>
      <w:r>
        <w:rPr>
          <w:rFonts w:ascii="Calibri" w:cs="Calibri" w:eastAsia="Calibri" w:hAnsi="Calibri"/>
          <w:i/>
          <w:iCs/>
          <w:color w:val="444444"/>
          <w:sz w:val="20"/>
          <w:szCs w:val="20"/>
        </w:rPr>
        <w:t xml:space="preserve">Profil : Data Scientist, spécialisation modélisation statistique et machine learning</w:t>
      </w:r>
    </w:p>
    <w:p>
      <w:pPr>
        <w:spacing w:before="0" w:after="60"/>
      </w:pPr>
      <w:r>
        <w:rPr>
          <w:rFonts w:ascii="Calibri" w:cs="Calibri" w:eastAsia="Calibri" w:hAnsi="Calibri"/>
          <w:b/>
          <w:bCs/>
          <w:color w:val="1A1A1A"/>
          <w:sz w:val="22"/>
          <w:szCs w:val="22"/>
        </w:rPr>
        <w:t xml:space="preserve">Rôle central : Normalisation du signal, algorithmes de tendance épidémique, contribution dashboard.</w:t>
      </w:r>
    </w:p>
    <w:p>
      <w:pPr>
        <w:spacing w:before="40" w:after="40"/>
      </w:pPr>
      <w:r>
        <w:rPr>
          <w:rFonts w:ascii="Calibri" w:cs="Calibri" w:eastAsia="Calibri" w:hAnsi="Calibri"/>
          <w:b/>
          <w:bCs/>
          <w:color w:val="1A1A1A"/>
          <w:sz w:val="22"/>
          <w:szCs w:val="22"/>
        </w:rPr>
        <w:t xml:space="preserve">Responsabilités</w:t>
      </w:r>
    </w:p>
    <w:p>
      <w:pPr>
        <w:pStyle w:val="ListParagraph"/>
        <w:numPr>
          <w:ilvl w:val="0"/>
          <w:numId w:val="2"/>
        </w:numPr>
        <w:spacing w:before="55" w:after="55"/>
      </w:pPr>
      <w:r>
        <w:rPr>
          <w:rFonts w:ascii="Calibri" w:cs="Calibri" w:eastAsia="Calibri" w:hAnsi="Calibri"/>
          <w:color w:val="1A1A1A"/>
          <w:sz w:val="22"/>
          <w:szCs w:val="22"/>
        </w:rPr>
        <w:t xml:space="preserve">Développement de la Brique 2 : Normalizer &amp; Trend Predictor</w:t>
      </w:r>
    </w:p>
    <w:p>
      <w:pPr>
        <w:pStyle w:val="ListParagraph"/>
        <w:numPr>
          <w:ilvl w:val="0"/>
          <w:numId w:val="2"/>
        </w:numPr>
        <w:spacing w:before="55" w:after="55"/>
      </w:pPr>
      <w:r>
        <w:rPr>
          <w:rFonts w:ascii="Calibri" w:cs="Calibri" w:eastAsia="Calibri" w:hAnsi="Calibri"/>
          <w:color w:val="1A1A1A"/>
          <w:sz w:val="22"/>
          <w:szCs w:val="22"/>
        </w:rPr>
        <w:t xml:space="preserve">Algorithme de normalisation par PMMoV (+ CrAssphage en alternatif)</w:t>
      </w:r>
    </w:p>
    <w:p>
      <w:pPr>
        <w:pStyle w:val="ListParagraph"/>
        <w:numPr>
          <w:ilvl w:val="0"/>
          <w:numId w:val="2"/>
        </w:numPr>
        <w:spacing w:before="55" w:after="55"/>
      </w:pPr>
      <w:r>
        <w:rPr>
          <w:rFonts w:ascii="Calibri" w:cs="Calibri" w:eastAsia="Calibri" w:hAnsi="Calibri"/>
          <w:color w:val="1A1A1A"/>
          <w:sz w:val="22"/>
          <w:szCs w:val="22"/>
        </w:rPr>
        <w:t xml:space="preserve">Modèle de détection d'anomalies : ARIMA + Isolation Forest</w:t>
      </w:r>
    </w:p>
    <w:p>
      <w:pPr>
        <w:pStyle w:val="ListParagraph"/>
        <w:numPr>
          <w:ilvl w:val="0"/>
          <w:numId w:val="2"/>
        </w:numPr>
        <w:spacing w:before="55" w:after="55"/>
      </w:pPr>
      <w:r>
        <w:rPr>
          <w:rFonts w:ascii="Calibri" w:cs="Calibri" w:eastAsia="Calibri" w:hAnsi="Calibri"/>
          <w:color w:val="1A1A1A"/>
          <w:sz w:val="22"/>
          <w:szCs w:val="22"/>
        </w:rPr>
        <w:t xml:space="preserve">Tests unitaires (pytest) pour valider la robustesse</w:t>
      </w:r>
    </w:p>
    <w:p>
      <w:pPr>
        <w:pStyle w:val="ListParagraph"/>
        <w:numPr>
          <w:ilvl w:val="0"/>
          <w:numId w:val="2"/>
        </w:numPr>
        <w:spacing w:before="55" w:after="55"/>
      </w:pPr>
      <w:r>
        <w:rPr>
          <w:rFonts w:ascii="Calibri" w:cs="Calibri" w:eastAsia="Calibri" w:hAnsi="Calibri"/>
          <w:color w:val="1A1A1A"/>
          <w:sz w:val="22"/>
          <w:szCs w:val="22"/>
        </w:rPr>
        <w:t xml:space="preserve">Module d'export PHA4GE-compliant (fichier JSON pour dashboard)</w:t>
      </w:r>
    </w:p>
    <w:p>
      <w:pPr>
        <w:pStyle w:val="ListParagraph"/>
        <w:numPr>
          <w:ilvl w:val="0"/>
          <w:numId w:val="2"/>
        </w:numPr>
        <w:spacing w:before="55" w:after="55"/>
      </w:pPr>
      <w:r>
        <w:rPr>
          <w:rFonts w:ascii="Calibri" w:cs="Calibri" w:eastAsia="Calibri" w:hAnsi="Calibri"/>
          <w:color w:val="1A1A1A"/>
          <w:sz w:val="22"/>
          <w:szCs w:val="22"/>
        </w:rPr>
        <w:t xml:space="preserve">Contribution Brique 3 : dashboard FastAPI + Leaflet.js + Chart.js</w:t>
      </w:r>
    </w:p>
    <w:p>
      <w:pPr>
        <w:pStyle w:val="ListParagraph"/>
        <w:numPr>
          <w:ilvl w:val="0"/>
          <w:numId w:val="2"/>
        </w:numPr>
        <w:spacing w:before="55" w:after="55"/>
      </w:pPr>
      <w:r>
        <w:rPr>
          <w:rFonts w:ascii="Calibri" w:cs="Calibri" w:eastAsia="Calibri" w:hAnsi="Calibri"/>
          <w:color w:val="1A1A1A"/>
          <w:sz w:val="22"/>
          <w:szCs w:val="22"/>
        </w:rPr>
        <w:t xml:space="preserve">Analyse exploratoire des datasets NCBI SRA (Afrique / Amérique du Sud)</w:t>
      </w:r>
    </w:p>
    <w:p>
      <w:pPr>
        <w:pStyle w:val="ListParagraph"/>
        <w:numPr>
          <w:ilvl w:val="0"/>
          <w:numId w:val="2"/>
        </w:numPr>
        <w:spacing w:before="55" w:after="55"/>
      </w:pPr>
      <w:r>
        <w:rPr>
          <w:rFonts w:ascii="Calibri" w:cs="Calibri" w:eastAsia="Calibri" w:hAnsi="Calibri"/>
          <w:color w:val="1A1A1A"/>
          <w:sz w:val="22"/>
          <w:szCs w:val="22"/>
        </w:rPr>
        <w:t xml:space="preserve">Contribution à l'article (section Analyse Statistique)</w:t>
      </w:r>
    </w:p>
    <w:p>
      <w:pPr>
        <w:spacing w:before="50" w:after="50"/>
      </w:pPr>
      <w:r>
        <w:rPr>
          <w:rFonts w:ascii="Calibri" w:cs="Calibri" w:eastAsia="Calibri" w:hAnsi="Calibri"/>
          <w:color w:val="1A1A1A"/>
          <w:sz w:val="22"/>
          <w:szCs w:val="22"/>
        </w:rPr>
        <w:t xml:space="preserve"/>
      </w:r>
    </w:p>
    <w:p>
      <w:pPr>
        <w:spacing w:before="40" w:after="40"/>
      </w:pPr>
      <w:r>
        <w:rPr>
          <w:rFonts w:ascii="Calibri" w:cs="Calibri" w:eastAsia="Calibri" w:hAnsi="Calibri"/>
          <w:b/>
          <w:bCs/>
          <w:color w:val="1A1A1A"/>
          <w:sz w:val="22"/>
          <w:szCs w:val="22"/>
        </w:rPr>
        <w:t xml:space="preserve">Livrables</w:t>
      </w:r>
    </w:p>
    <w:p>
      <w:pPr>
        <w:pStyle w:val="ListParagraph"/>
        <w:numPr>
          <w:ilvl w:val="0"/>
          <w:numId w:val="2"/>
        </w:numPr>
        <w:spacing w:before="55" w:after="55"/>
      </w:pPr>
      <w:r>
        <w:rPr>
          <w:rFonts w:ascii="Calibri" w:cs="Calibri" w:eastAsia="Calibri" w:hAnsi="Calibri"/>
          <w:color w:val="1A1A1A"/>
          <w:sz w:val="22"/>
          <w:szCs w:val="22"/>
        </w:rPr>
        <w:t xml:space="preserve">Module normalizer.py avec tests unitaires</w:t>
      </w:r>
    </w:p>
    <w:p>
      <w:pPr>
        <w:pStyle w:val="ListParagraph"/>
        <w:numPr>
          <w:ilvl w:val="0"/>
          <w:numId w:val="2"/>
        </w:numPr>
        <w:spacing w:before="55" w:after="55"/>
      </w:pPr>
      <w:r>
        <w:rPr>
          <w:rFonts w:ascii="Calibri" w:cs="Calibri" w:eastAsia="Calibri" w:hAnsi="Calibri"/>
          <w:color w:val="1A1A1A"/>
          <w:sz w:val="22"/>
          <w:szCs w:val="22"/>
        </w:rPr>
        <w:t xml:space="preserve">Module trend_predictor.py (ARIMA + Isolation Forest documenté)</w:t>
      </w:r>
    </w:p>
    <w:p>
      <w:pPr>
        <w:pStyle w:val="ListParagraph"/>
        <w:numPr>
          <w:ilvl w:val="0"/>
          <w:numId w:val="2"/>
        </w:numPr>
        <w:spacing w:before="55" w:after="55"/>
      </w:pPr>
      <w:r>
        <w:rPr>
          <w:rFonts w:ascii="Calibri" w:cs="Calibri" w:eastAsia="Calibri" w:hAnsi="Calibri"/>
          <w:color w:val="1A1A1A"/>
          <w:sz w:val="22"/>
          <w:szCs w:val="22"/>
        </w:rPr>
        <w:t xml:space="preserve">Notebook Jupyter exploration NCBI SRA</w:t>
      </w:r>
    </w:p>
    <w:p>
      <w:pPr>
        <w:pStyle w:val="ListParagraph"/>
        <w:numPr>
          <w:ilvl w:val="0"/>
          <w:numId w:val="2"/>
        </w:numPr>
        <w:spacing w:before="55" w:after="55"/>
      </w:pPr>
      <w:r>
        <w:rPr>
          <w:rFonts w:ascii="Calibri" w:cs="Calibri" w:eastAsia="Calibri" w:hAnsi="Calibri"/>
          <w:color w:val="1A1A1A"/>
          <w:sz w:val="22"/>
          <w:szCs w:val="22"/>
        </w:rPr>
        <w:t xml:space="preserve">Rapport de validation modèle sur données simulées et réelles</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Membre 4 — Biologiste &amp; Référent Laboratoire</w:t>
      </w:r>
    </w:p>
    <w:p>
      <w:pPr>
        <w:spacing w:before="0" w:after="40"/>
      </w:pPr>
      <w:r>
        <w:rPr>
          <w:rFonts w:ascii="Calibri" w:cs="Calibri" w:eastAsia="Calibri" w:hAnsi="Calibri"/>
          <w:i/>
          <w:iCs/>
          <w:color w:val="444444"/>
          <w:sz w:val="20"/>
          <w:szCs w:val="20"/>
        </w:rPr>
        <w:t xml:space="preserve">Profil : Biologiste (microbiologie / biologie moléculaire)</w:t>
      </w:r>
    </w:p>
    <w:p>
      <w:pPr>
        <w:spacing w:before="0" w:after="60"/>
      </w:pPr>
      <w:r>
        <w:rPr>
          <w:rFonts w:ascii="Calibri" w:cs="Calibri" w:eastAsia="Calibri" w:hAnsi="Calibri"/>
          <w:b/>
          <w:bCs/>
          <w:color w:val="1A1A1A"/>
          <w:sz w:val="22"/>
          <w:szCs w:val="22"/>
        </w:rPr>
        <w:t xml:space="preserve">Rôle central : Protocoles biologiques, extraction ADN, interface laboratoire, validation scientifique.</w:t>
      </w:r>
    </w:p>
    <w:p>
      <w:pPr>
        <w:spacing w:before="40" w:after="40"/>
      </w:pPr>
      <w:r>
        <w:rPr>
          <w:rFonts w:ascii="Calibri" w:cs="Calibri" w:eastAsia="Calibri" w:hAnsi="Calibri"/>
          <w:b/>
          <w:bCs/>
          <w:color w:val="1A1A1A"/>
          <w:sz w:val="22"/>
          <w:szCs w:val="22"/>
        </w:rPr>
        <w:t xml:space="preserve">Responsabilités</w:t>
      </w:r>
    </w:p>
    <w:p>
      <w:pPr>
        <w:pStyle w:val="ListParagraph"/>
        <w:numPr>
          <w:ilvl w:val="0"/>
          <w:numId w:val="2"/>
        </w:numPr>
        <w:spacing w:before="55" w:after="55"/>
      </w:pPr>
      <w:r>
        <w:rPr>
          <w:rFonts w:ascii="Calibri" w:cs="Calibri" w:eastAsia="Calibri" w:hAnsi="Calibri"/>
          <w:color w:val="1A1A1A"/>
          <w:sz w:val="22"/>
          <w:szCs w:val="22"/>
        </w:rPr>
        <w:t xml:space="preserve">Protocoles d'extraction et de préparation des eaux usées (filtration, concentration, eDNA)</w:t>
      </w:r>
    </w:p>
    <w:p>
      <w:pPr>
        <w:pStyle w:val="ListParagraph"/>
        <w:numPr>
          <w:ilvl w:val="0"/>
          <w:numId w:val="2"/>
        </w:numPr>
        <w:spacing w:before="55" w:after="55"/>
      </w:pPr>
      <w:r>
        <w:rPr>
          <w:rFonts w:ascii="Calibri" w:cs="Calibri" w:eastAsia="Calibri" w:hAnsi="Calibri"/>
          <w:color w:val="1A1A1A"/>
          <w:sz w:val="22"/>
          <w:szCs w:val="22"/>
        </w:rPr>
        <w:t xml:space="preserve">Sélection du kit d'extraction ADN (PowerSoil Pro Kit, NucleoSpin Soil)</w:t>
      </w:r>
    </w:p>
    <w:p>
      <w:pPr>
        <w:pStyle w:val="ListParagraph"/>
        <w:numPr>
          <w:ilvl w:val="0"/>
          <w:numId w:val="2"/>
        </w:numPr>
        <w:spacing w:before="55" w:after="55"/>
      </w:pPr>
      <w:r>
        <w:rPr>
          <w:rFonts w:ascii="Calibri" w:cs="Calibri" w:eastAsia="Calibri" w:hAnsi="Calibri"/>
          <w:color w:val="1A1A1A"/>
          <w:sz w:val="22"/>
          <w:szCs w:val="22"/>
        </w:rPr>
        <w:t xml:space="preserve">Coordination avec un laboratoire partenaire pour accès séquenceur Illumina MiSeq</w:t>
      </w:r>
    </w:p>
    <w:p>
      <w:pPr>
        <w:pStyle w:val="ListParagraph"/>
        <w:numPr>
          <w:ilvl w:val="0"/>
          <w:numId w:val="2"/>
        </w:numPr>
        <w:spacing w:before="55" w:after="55"/>
      </w:pPr>
      <w:r>
        <w:rPr>
          <w:rFonts w:ascii="Calibri" w:cs="Calibri" w:eastAsia="Calibri" w:hAnsi="Calibri"/>
          <w:color w:val="1A1A1A"/>
          <w:sz w:val="22"/>
          <w:szCs w:val="22"/>
        </w:rPr>
        <w:t xml:space="preserve">Exploration option ONT MinION pour la Phase 3 (pipeline ODIN comme référence)</w:t>
      </w:r>
    </w:p>
    <w:p>
      <w:pPr>
        <w:pStyle w:val="ListParagraph"/>
        <w:numPr>
          <w:ilvl w:val="0"/>
          <w:numId w:val="2"/>
        </w:numPr>
        <w:spacing w:before="55" w:after="55"/>
      </w:pPr>
      <w:r>
        <w:rPr>
          <w:rFonts w:ascii="Calibri" w:cs="Calibri" w:eastAsia="Calibri" w:hAnsi="Calibri"/>
          <w:color w:val="1A1A1A"/>
          <w:sz w:val="22"/>
          <w:szCs w:val="22"/>
        </w:rPr>
        <w:t xml:space="preserve">Contrôle qualité des données brutes .fastq (FastQC, Trimmomatic, MultiQC)</w:t>
      </w:r>
    </w:p>
    <w:p>
      <w:pPr>
        <w:pStyle w:val="ListParagraph"/>
        <w:numPr>
          <w:ilvl w:val="0"/>
          <w:numId w:val="2"/>
        </w:numPr>
        <w:spacing w:before="55" w:after="55"/>
      </w:pPr>
      <w:r>
        <w:rPr>
          <w:rFonts w:ascii="Calibri" w:cs="Calibri" w:eastAsia="Calibri" w:hAnsi="Calibri"/>
          <w:color w:val="1A1A1A"/>
          <w:sz w:val="22"/>
          <w:szCs w:val="22"/>
        </w:rPr>
        <w:t xml:space="preserve">Choix des biomarqueurs de contrôle selon saisonnalité togolaise</w:t>
      </w:r>
    </w:p>
    <w:p>
      <w:pPr>
        <w:pStyle w:val="ListParagraph"/>
        <w:numPr>
          <w:ilvl w:val="0"/>
          <w:numId w:val="2"/>
        </w:numPr>
        <w:spacing w:before="55" w:after="55"/>
      </w:pPr>
      <w:r>
        <w:rPr>
          <w:rFonts w:ascii="Calibri" w:cs="Calibri" w:eastAsia="Calibri" w:hAnsi="Calibri"/>
          <w:color w:val="1A1A1A"/>
          <w:sz w:val="22"/>
          <w:szCs w:val="22"/>
        </w:rPr>
        <w:t xml:space="preserve">Contribution à l'article (Matériel &amp; Méthodes biologiques, Annexes)</w:t>
      </w:r>
    </w:p>
    <w:p>
      <w:pPr>
        <w:spacing w:before="50" w:after="50"/>
      </w:pPr>
      <w:r>
        <w:rPr>
          <w:rFonts w:ascii="Calibri" w:cs="Calibri" w:eastAsia="Calibri" w:hAnsi="Calibri"/>
          <w:color w:val="1A1A1A"/>
          <w:sz w:val="22"/>
          <w:szCs w:val="22"/>
        </w:rPr>
        <w:t xml:space="preserve"/>
      </w:r>
    </w:p>
    <w:p>
      <w:pPr>
        <w:spacing w:before="40" w:after="40"/>
      </w:pPr>
      <w:r>
        <w:rPr>
          <w:rFonts w:ascii="Calibri" w:cs="Calibri" w:eastAsia="Calibri" w:hAnsi="Calibri"/>
          <w:b/>
          <w:bCs/>
          <w:color w:val="1A1A1A"/>
          <w:sz w:val="22"/>
          <w:szCs w:val="22"/>
        </w:rPr>
        <w:t xml:space="preserve">Livrables</w:t>
      </w:r>
    </w:p>
    <w:p>
      <w:pPr>
        <w:pStyle w:val="ListParagraph"/>
        <w:numPr>
          <w:ilvl w:val="0"/>
          <w:numId w:val="2"/>
        </w:numPr>
        <w:spacing w:before="55" w:after="55"/>
      </w:pPr>
      <w:r>
        <w:rPr>
          <w:rFonts w:ascii="Calibri" w:cs="Calibri" w:eastAsia="Calibri" w:hAnsi="Calibri"/>
          <w:color w:val="1A1A1A"/>
          <w:sz w:val="22"/>
          <w:szCs w:val="22"/>
        </w:rPr>
        <w:t xml:space="preserve">Protocole d'extraction ADN des eaux usées v1.0</w:t>
      </w:r>
    </w:p>
    <w:p>
      <w:pPr>
        <w:pStyle w:val="ListParagraph"/>
        <w:numPr>
          <w:ilvl w:val="0"/>
          <w:numId w:val="2"/>
        </w:numPr>
        <w:spacing w:before="55" w:after="55"/>
      </w:pPr>
      <w:r>
        <w:rPr>
          <w:rFonts w:ascii="Calibri" w:cs="Calibri" w:eastAsia="Calibri" w:hAnsi="Calibri"/>
          <w:color w:val="1A1A1A"/>
          <w:sz w:val="22"/>
          <w:szCs w:val="22"/>
        </w:rPr>
        <w:t xml:space="preserve">Rapport FastQC sur les premiers jeux de données</w:t>
      </w:r>
    </w:p>
    <w:p>
      <w:pPr>
        <w:pStyle w:val="ListParagraph"/>
        <w:numPr>
          <w:ilvl w:val="0"/>
          <w:numId w:val="2"/>
        </w:numPr>
        <w:spacing w:before="55" w:after="55"/>
      </w:pPr>
      <w:r>
        <w:rPr>
          <w:rFonts w:ascii="Calibri" w:cs="Calibri" w:eastAsia="Calibri" w:hAnsi="Calibri"/>
          <w:color w:val="1A1A1A"/>
          <w:sz w:val="22"/>
          <w:szCs w:val="22"/>
        </w:rPr>
        <w:t xml:space="preserve">Contact formalisé avec un laboratoire partenaire de séquençage</w:t>
      </w:r>
    </w:p>
    <w:p>
      <w:pPr>
        <w:pStyle w:val="ListParagraph"/>
        <w:numPr>
          <w:ilvl w:val="0"/>
          <w:numId w:val="2"/>
        </w:numPr>
        <w:spacing w:before="55" w:after="55"/>
      </w:pPr>
      <w:r>
        <w:rPr>
          <w:rFonts w:ascii="Calibri" w:cs="Calibri" w:eastAsia="Calibri" w:hAnsi="Calibri"/>
          <w:color w:val="1A1A1A"/>
          <w:sz w:val="22"/>
          <w:szCs w:val="22"/>
        </w:rPr>
        <w:t xml:space="preserve">Tableau de priorisation des pathogènes cibles (saisonnalité Togo)</w:t>
      </w:r>
    </w:p>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3. Architecture Technique du Pipeline</w:t>
      </w:r>
    </w:p>
    <w:p>
      <w:pPr>
        <w:pStyle w:val="Heading2"/>
        <w:spacing w:before="280" w:after="100"/>
      </w:pPr>
      <w:r>
        <w:rPr>
          <w:rFonts w:ascii="Calibri" w:cs="Calibri" w:eastAsia="Calibri" w:hAnsi="Calibri"/>
          <w:b/>
          <w:bCs/>
          <w:color w:val="00796B"/>
          <w:sz w:val="26"/>
          <w:szCs w:val="26"/>
        </w:rPr>
        <w:t xml:space="preserve">3.1 Vue d'ensemble des briques</w:t>
      </w:r>
    </w:p>
    <w:p>
      <w:pPr>
        <w:spacing w:before="80" w:after="80"/>
      </w:pPr>
      <w:r>
        <w:rPr>
          <w:rFonts w:ascii="Calibri" w:cs="Calibri" w:eastAsia="Calibri" w:hAnsi="Calibri"/>
          <w:color w:val="1A1A1A"/>
          <w:sz w:val="22"/>
          <w:szCs w:val="22"/>
        </w:rPr>
        <w:t xml:space="preserve">Le pipeline AquaVigil-WA est conçu comme un ensemble de micro-services Python indépendants, orchestrés par Snakemake. Chaque brique peut être testée, mise à jour ou remplacée sans affecter les autres.</w:t>
      </w:r>
    </w:p>
    <w:p>
      <w:pPr>
        <w:spacing w:before="50" w:after="50"/>
      </w:pPr>
      <w:r>
        <w:rPr>
          <w:rFonts w:ascii="Calibri" w:cs="Calibri" w:eastAsia="Calibri" w:hAnsi="Calibri"/>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000"/>
        <w:gridCol w:w="1500"/>
        <w:gridCol w:w="1426"/>
      </w:tblGrid>
      <w:tr>
        <w:tc>
          <w:tcPr>
            <w:tcW w:type="dxa" w:w="11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Brique</w:t>
            </w:r>
          </w:p>
        </w:tc>
        <w:tc>
          <w:tcPr>
            <w:tcW w:type="dxa" w:w="20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Nom</w:t>
            </w:r>
          </w:p>
        </w:tc>
        <w:tc>
          <w:tcPr>
            <w:tcW w:type="dxa" w:w="30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Technologies</w:t>
            </w:r>
          </w:p>
        </w:tc>
        <w:tc>
          <w:tcPr>
            <w:tcW w:type="dxa" w:w="1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Responsable</w:t>
            </w:r>
          </w:p>
        </w:tc>
        <w:tc>
          <w:tcPr>
            <w:tcW w:type="dxa" w:w="14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Nouveauté v1.3</w:t>
            </w:r>
          </w:p>
        </w:tc>
      </w:tr>
      <w:tr>
        <w:tc>
          <w:tcPr>
            <w:tcW w:type="dxa" w:w="11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Brique 1</w:t>
            </w:r>
          </w:p>
        </w:tc>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Déconvolution Engine</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Snakemake, Kraken2, Bracken, MiniKraken DB</w:t>
            </w:r>
          </w:p>
        </w:tc>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 1</w:t>
            </w:r>
          </w:p>
        </w:tc>
        <w:tc>
          <w:tcPr>
            <w:tcW w:type="dxa" w:w="14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w:t>
            </w:r>
          </w:p>
        </w:tc>
      </w:tr>
      <w:tr>
        <w:tc>
          <w:tcPr>
            <w:tcW w:type="dxa" w:w="11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Brique 2</w:t>
            </w:r>
          </w:p>
        </w:tc>
        <w:tc>
          <w:tcPr>
            <w:tcW w:type="dxa" w:w="2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Normalizer &amp; Trend Predictor</w:t>
            </w:r>
          </w:p>
        </w:tc>
        <w:tc>
          <w:tcPr>
            <w:tcW w:type="dxa" w:w="3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Python, pandas, statsmodels, ARIMA, Isolation Forest</w:t>
            </w:r>
          </w:p>
        </w:tc>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b/>
                <w:bCs/>
                <w:color w:val="1A1A1A"/>
                <w:sz w:val="20"/>
                <w:szCs w:val="20"/>
              </w:rPr>
              <w:t xml:space="preserve">Membre 3</w:t>
            </w:r>
          </w:p>
        </w:tc>
        <w:tc>
          <w:tcPr>
            <w:tcW w:type="dxa" w:w="14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PHA4GE output</w:t>
            </w:r>
          </w:p>
        </w:tc>
      </w:tr>
      <w:tr>
        <w:tc>
          <w:tcPr>
            <w:tcW w:type="dxa" w:w="11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Brique 3</w:t>
            </w:r>
          </w:p>
        </w:tc>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Dashboard d'Alerte</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FastAPI, Leaflet.js, Chart.js, API REST publique</w:t>
            </w:r>
          </w:p>
        </w:tc>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Membres 1 &amp; 3</w:t>
            </w:r>
          </w:p>
        </w:tc>
        <w:tc>
          <w:tcPr>
            <w:tcW w:type="dxa" w:w="14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Accès public</w:t>
            </w:r>
          </w:p>
        </w:tc>
      </w:tr>
      <w:tr>
        <w:tc>
          <w:tcPr>
            <w:tcW w:type="dxa" w:w="11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QC</w:t>
            </w:r>
          </w:p>
        </w:tc>
        <w:tc>
          <w:tcPr>
            <w:tcW w:type="dxa" w:w="2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Contrôle Qualité</w:t>
            </w:r>
          </w:p>
        </w:tc>
        <w:tc>
          <w:tcPr>
            <w:tcW w:type="dxa" w:w="3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FastQC, MultiQC, Trimmomatic</w:t>
            </w:r>
          </w:p>
        </w:tc>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b/>
                <w:bCs/>
                <w:color w:val="1A1A1A"/>
                <w:sz w:val="20"/>
                <w:szCs w:val="20"/>
              </w:rPr>
              <w:t xml:space="preserve">Membre 4</w:t>
            </w:r>
          </w:p>
        </w:tc>
        <w:tc>
          <w:tcPr>
            <w:tcW w:type="dxa" w:w="14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w:t>
            </w:r>
          </w:p>
        </w:tc>
      </w:tr>
      <w:tr>
        <w:tc>
          <w:tcPr>
            <w:tcW w:type="dxa" w:w="11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Terrain</w:t>
            </w:r>
          </w:p>
        </w:tc>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Protocole Prélèvement</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PSP, chaîne du froid, traçabilité</w:t>
            </w:r>
          </w:p>
        </w:tc>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Membres 2 &amp; 4</w:t>
            </w:r>
          </w:p>
        </w:tc>
        <w:tc>
          <w:tcPr>
            <w:tcW w:type="dxa" w:w="14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Milieux non-raccordés</w:t>
            </w:r>
          </w:p>
        </w:tc>
      </w:tr>
    </w:tbl>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3.2 Flux de données — de l'échantillon à l'alerte</w:t>
      </w:r>
    </w:p>
    <w:p>
      <w:pPr>
        <w:spacing w:before="80" w:after="80"/>
      </w:pPr>
      <w:r>
        <w:rPr>
          <w:rFonts w:ascii="Calibri" w:cs="Calibri" w:eastAsia="Calibri" w:hAnsi="Calibri"/>
          <w:color w:val="1A1A1A"/>
          <w:sz w:val="22"/>
          <w:szCs w:val="22"/>
        </w:rPr>
        <w:t xml:space="preserve">Le schéma suivant représente le pipeline complet, de la collecte terrain jusqu'aux destinataires finaux. Chaque brique est indépendante et peut être testée séparément.</w:t>
      </w:r>
    </w:p>
    <w:p>
      <w:pPr>
        <w:spacing w:before="50" w:after="50"/>
      </w:pPr>
      <w:r>
        <w:rPr>
          <w:rFonts w:ascii="Calibri" w:cs="Calibri" w:eastAsia="Calibri" w:hAnsi="Calibri"/>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1726"/>
      </w:tblGrid>
      <w:tr>
        <w:tc>
          <w:tcPr>
            <w:tcW w:type="dxa" w:w="18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Étape</w:t>
            </w:r>
          </w:p>
        </w:tc>
        <w:tc>
          <w:tcPr>
            <w:tcW w:type="dxa" w:w="5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Description</w:t>
            </w:r>
          </w:p>
        </w:tc>
        <w:tc>
          <w:tcPr>
            <w:tcW w:type="dxa" w:w="17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Sortie</w:t>
            </w:r>
          </w:p>
        </w:tc>
      </w:tr>
      <w:tr>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Terrain  Membres 2 &amp; 4</w:t>
            </w:r>
          </w:p>
        </w:tc>
        <w:tc>
          <w:tcPr>
            <w:tcW w:type="dxa" w:w="5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Prélèvement canaux/drains/marchés · Flacons stériles · chaîne du froid 4°C · Traçabilité : code site + date + heure</w:t>
            </w:r>
          </w:p>
        </w:tc>
        <w:tc>
          <w:tcPr>
            <w:tcW w:type="dxa" w:w="17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fichier .fastq brut</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Qualité  Membre 4</w:t>
            </w:r>
          </w:p>
        </w:tc>
        <w:tc>
          <w:tcPr>
            <w:tcW w:type="dxa" w:w="5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FastQC : scores Phred, duplication, contamination · Trimmomatic : filtrage adaptateurs (Phred ≥ 20) · MultiQC : rapport agrégé</w:t>
            </w:r>
          </w:p>
        </w:tc>
        <w:tc>
          <w:tcPr>
            <w:tcW w:type="dxa" w:w="17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reads filtrés</w:t>
            </w:r>
          </w:p>
        </w:tc>
      </w:tr>
      <w:tr>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Brique 1  Membre 1</w:t>
            </w:r>
          </w:p>
        </w:tc>
        <w:tc>
          <w:tcPr>
            <w:tcW w:type="dxa" w:w="5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Snakemake : orchestration automatisée · Kraken2 : classification taxonomique par k-mers · Bracken : estimation bayésienne des abondances · Base MiniKraken (~8 GB)</w:t>
            </w:r>
          </w:p>
        </w:tc>
        <w:tc>
          <w:tcPr>
            <w:tcW w:type="dxa" w:w="17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profil taxonomique .csv / .json</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Brique 2  Membre 3</w:t>
            </w:r>
          </w:p>
        </w:tc>
        <w:tc>
          <w:tcPr>
            <w:tcW w:type="dxa" w:w="5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Normalisation PMMoV (Signal / Abondance PMMoV × 10⁶) · CrAssphage alternatif · Modèle ARIMA : tendance sur 2 semaines · Isolation Forest : anomalies multivariées · Export PHA4GE-compliant</w:t>
            </w:r>
          </w:p>
        </w:tc>
        <w:tc>
          <w:tcPr>
            <w:tcW w:type="dxa" w:w="17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alerte .json normalisée</w:t>
            </w:r>
          </w:p>
        </w:tc>
      </w:tr>
      <w:tr>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Brique 3  Membres 1 &amp; 3</w:t>
            </w:r>
          </w:p>
        </w:tc>
        <w:tc>
          <w:tcPr>
            <w:tcW w:type="dxa" w:w="5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Carte interactive Leaflet.js : 🟢 RAS · 🟡 Alerte · 🔴 Critique · Graphes de tendance temporelle Chart.js · API REST FastAPI (partage public + Ministère + Africa CDC) · Alertes automatiques SMS / email</w:t>
            </w:r>
          </w:p>
        </w:tc>
        <w:tc>
          <w:tcPr>
            <w:tcW w:type="dxa" w:w="17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décision en santé publique</w:t>
            </w:r>
          </w:p>
        </w:tc>
      </w:tr>
    </w:tbl>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3.3 Brique 2 — Normalizer &amp; Trend Predictor</w:t>
      </w:r>
    </w:p>
    <w:p>
      <w:pPr>
        <w:spacing w:before="80" w:after="80"/>
      </w:pPr>
      <w:r>
        <w:rPr>
          <w:rFonts w:ascii="Calibri" w:cs="Calibri" w:eastAsia="Calibri" w:hAnsi="Calibri"/>
          <w:color w:val="1A1A1A"/>
          <w:sz w:val="22"/>
          <w:szCs w:val="22"/>
        </w:rPr>
        <w:t xml:space="preserve">Les concentrations d'ADN varient selon la pluviométrie, la densité de population et les habitudes alimentaires. Sans normalisation, les signaux bruts sont inexploitables.</w:t>
      </w:r>
    </w:p>
    <w:p>
      <w:pPr>
        <w:spacing w:before="50" w:after="50"/>
      </w:pPr>
      <w:r>
        <w:rPr>
          <w:rFonts w:ascii="Calibri" w:cs="Calibri" w:eastAsia="Calibri" w:hAnsi="Calibri"/>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B57" w:sz="3"/>
              <w:bottom w:val="single" w:color="2E8B57" w:sz="3"/>
              <w:right w:val="single" w:color="2E8B57" w:sz="3"/>
              <w:left w:val="thick" w:color="2E8B57" w:sz="14"/>
            </w:tcBorders>
            <w:shd w:fill="EBF5EB" w:val="clear"/>
            <w:tcMar>
              <w:top w:type="dxa" w:w="120"/>
              <w:left w:type="dxa" w:w="240"/>
              <w:bottom w:type="dxa" w:w="120"/>
              <w:right w:type="dxa" w:w="240"/>
            </w:tcMar>
          </w:tcPr>
          <w:p>
            <w:pPr>
              <w:spacing w:before="40" w:after="40"/>
            </w:pPr>
            <w:r>
              <w:rPr>
                <w:rFonts w:ascii="Calibri" w:cs="Calibri" w:eastAsia="Calibri" w:hAnsi="Calibri"/>
                <w:color w:val="444444"/>
                <w:sz w:val="20"/>
                <w:szCs w:val="20"/>
              </w:rPr>
              <w:t xml:space="preserve">Signal_normalisé = Abondance_brute(pathogène) / Abondance_brute(PMMoV) × 10⁶</w:t>
            </w:r>
          </w:p>
          <w:p>
            <w:pPr>
              <w:spacing w:before="40" w:after="40"/>
            </w:pPr>
            <w:r>
              <w:rPr>
                <w:rFonts w:ascii="Calibri" w:cs="Calibri" w:eastAsia="Calibri" w:hAnsi="Calibri"/>
                <w:color w:val="444444"/>
                <w:sz w:val="20"/>
                <w:szCs w:val="20"/>
              </w:rPr>
              <w:t xml:space="preserve">Biomarqueurs alternatifs : CrAssphage (phage humain spécifique, très stable)</w:t>
            </w:r>
          </w:p>
          <w:p>
            <w:pPr>
              <w:spacing w:before="40" w:after="40"/>
            </w:pPr>
            <w:r>
              <w:rPr>
                <w:rFonts w:ascii="Calibri" w:cs="Calibri" w:eastAsia="Calibri" w:hAnsi="Calibri"/>
                <w:color w:val="444444"/>
                <w:sz w:val="20"/>
                <w:szCs w:val="20"/>
              </w:rPr>
              <w:t xml:space="preserve">16S rRNA humain mitochondrial → Valider sur au moins 2 biomarqueurs en parallèle.</w:t>
            </w:r>
          </w:p>
        </w:tc>
      </w:tr>
    </w:tbl>
    <w:p>
      <w:pPr>
        <w:spacing w:before="50" w:after="50"/>
      </w:pPr>
      <w:r>
        <w:rPr>
          <w:rFonts w:ascii="Calibri" w:cs="Calibri" w:eastAsia="Calibri" w:hAnsi="Calibri"/>
          <w:color w:val="1A1A1A"/>
          <w:sz w:val="22"/>
          <w:szCs w:val="22"/>
        </w:rPr>
        <w:t xml:space="preserve"/>
      </w:r>
    </w:p>
    <w:p>
      <w:pPr>
        <w:spacing w:before="40" w:after="40"/>
      </w:pPr>
      <w:r>
        <w:rPr>
          <w:rFonts w:ascii="Calibri" w:cs="Calibri" w:eastAsia="Calibri" w:hAnsi="Calibri"/>
          <w:b/>
          <w:bCs/>
          <w:color w:val="1A1A1A"/>
          <w:sz w:val="22"/>
          <w:szCs w:val="22"/>
        </w:rPr>
        <w:t xml:space="preserve">Niveaux de détection</w:t>
      </w:r>
    </w:p>
    <w:p>
      <w:pPr>
        <w:pStyle w:val="ListParagraph"/>
        <w:numPr>
          <w:ilvl w:val="0"/>
          <w:numId w:val="2"/>
        </w:numPr>
        <w:spacing w:before="55" w:after="55"/>
      </w:pPr>
      <w:r>
        <w:rPr>
          <w:rFonts w:ascii="Calibri" w:cs="Calibri" w:eastAsia="Calibri" w:hAnsi="Calibri"/>
          <w:b/>
          <w:bCs/>
          <w:color w:val="1A1A1A"/>
          <w:sz w:val="22"/>
          <w:szCs w:val="22"/>
        </w:rPr>
        <w:t xml:space="preserve">Niveau 1 : </w:t>
      </w:r>
      <w:r>
        <w:rPr>
          <w:rFonts w:ascii="Calibri" w:cs="Calibri" w:eastAsia="Calibri" w:hAnsi="Calibri"/>
          <w:color w:val="1A1A1A"/>
          <w:sz w:val="22"/>
          <w:szCs w:val="22"/>
        </w:rPr>
        <w:t xml:space="preserve">ratio signal semaine N / moyenne mobile 4 semaines. Seuils : &gt; 2.0 → alerte jaune ; &gt; 4.0 → alerte rouge.</w:t>
      </w:r>
    </w:p>
    <w:p>
      <w:pPr>
        <w:pStyle w:val="ListParagraph"/>
        <w:numPr>
          <w:ilvl w:val="0"/>
          <w:numId w:val="2"/>
        </w:numPr>
        <w:spacing w:before="55" w:after="55"/>
      </w:pPr>
      <w:r>
        <w:rPr>
          <w:rFonts w:ascii="Calibri" w:cs="Calibri" w:eastAsia="Calibri" w:hAnsi="Calibri"/>
          <w:b/>
          <w:bCs/>
          <w:color w:val="1A1A1A"/>
          <w:sz w:val="22"/>
          <w:szCs w:val="22"/>
        </w:rPr>
        <w:t xml:space="preserve">Niveau 2 : </w:t>
      </w:r>
      <w:r>
        <w:rPr>
          <w:rFonts w:ascii="Calibri" w:cs="Calibri" w:eastAsia="Calibri" w:hAnsi="Calibri"/>
          <w:color w:val="1A1A1A"/>
          <w:sz w:val="22"/>
          <w:szCs w:val="22"/>
        </w:rPr>
        <w:t xml:space="preserve">modèle ARIMA(p,d,q) pour projeter la tendance à 2 semaines et détecter les anomalies.</w:t>
      </w:r>
    </w:p>
    <w:p>
      <w:pPr>
        <w:pStyle w:val="ListParagraph"/>
        <w:numPr>
          <w:ilvl w:val="0"/>
          <w:numId w:val="2"/>
        </w:numPr>
        <w:spacing w:before="55" w:after="55"/>
      </w:pPr>
      <w:r>
        <w:rPr>
          <w:rFonts w:ascii="Calibri" w:cs="Calibri" w:eastAsia="Calibri" w:hAnsi="Calibri"/>
          <w:b/>
          <w:bCs/>
          <w:color w:val="1A1A1A"/>
          <w:sz w:val="22"/>
          <w:szCs w:val="22"/>
        </w:rPr>
        <w:t xml:space="preserve">Niveau 3 : </w:t>
      </w:r>
      <w:r>
        <w:rPr>
          <w:rFonts w:ascii="Calibri" w:cs="Calibri" w:eastAsia="Calibri" w:hAnsi="Calibri"/>
          <w:color w:val="1A1A1A"/>
          <w:sz w:val="22"/>
          <w:szCs w:val="22"/>
        </w:rPr>
        <w:t xml:space="preserve">Isolation Forest ou LOF pour détection multivariée (plusieurs pathogènes simultanément).</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3.4 Conformité PHA4GE — Nouveauté v1.3</w:t>
      </w:r>
    </w:p>
    <w:p>
      <w:pPr>
        <w:spacing w:before="80" w:after="80"/>
      </w:pPr>
      <w:r>
        <w:rPr>
          <w:rFonts w:ascii="Calibri" w:cs="Calibri" w:eastAsia="Calibri" w:hAnsi="Calibri"/>
          <w:color w:val="1A1A1A"/>
          <w:sz w:val="22"/>
          <w:szCs w:val="22"/>
        </w:rPr>
        <w:t xml:space="preserve">Toutes les sorties de la Brique 2 doivent être conformes au standard PHA4GE Wastewater Contextual Data Specification : identifiant site (ontologie standardisée), date/heure d'échantillonnage, méthode de concentration, biomarqueur de normalisation, identifiant NCBI SRA des reads bruts, niveau d'alerte. Cette conformité permet la soumission sur NCBI/ENA et l'intégration dans GLOWACON.</w:t>
      </w:r>
    </w:p>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4. Stratégie d'Acquisition des Données</w:t>
      </w:r>
    </w:p>
    <w:p>
      <w:pPr>
        <w:pStyle w:val="Heading2"/>
        <w:spacing w:before="280" w:after="100"/>
      </w:pPr>
      <w:r>
        <w:rPr>
          <w:rFonts w:ascii="Calibri" w:cs="Calibri" w:eastAsia="Calibri" w:hAnsi="Calibri"/>
          <w:b/>
          <w:bCs/>
          <w:color w:val="00796B"/>
          <w:sz w:val="26"/>
          <w:szCs w:val="26"/>
        </w:rPr>
        <w:t xml:space="preserve">4.1 Phase 1 — Données Simulées</w:t>
      </w:r>
    </w:p>
    <w:p>
      <w:pPr>
        <w:spacing w:before="80" w:after="80"/>
      </w:pPr>
      <w:r>
        <w:rPr>
          <w:rFonts w:ascii="Calibri" w:cs="Calibri" w:eastAsia="Calibri" w:hAnsi="Calibri"/>
          <w:color w:val="1A1A1A"/>
          <w:sz w:val="22"/>
          <w:szCs w:val="22"/>
        </w:rPr>
        <w:t xml:space="preserve">Génération de fichiers .fastq synthétiques avec InSilicoSeq pour tester et valider le pipeline avant tout accès au terrain.</w:t>
      </w:r>
    </w:p>
    <w:p>
      <w:pPr>
        <w:spacing w:before="50" w:after="50"/>
      </w:pPr>
      <w:r>
        <w:rPr>
          <w:rFonts w:ascii="Calibri" w:cs="Calibri" w:eastAsia="Calibri" w:hAnsi="Calibri"/>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B57" w:sz="3"/>
              <w:bottom w:val="single" w:color="2E8B57" w:sz="3"/>
              <w:right w:val="single" w:color="2E8B57" w:sz="3"/>
              <w:left w:val="thick" w:color="2E8B57" w:sz="14"/>
            </w:tcBorders>
            <w:shd w:fill="EBF5EB" w:val="clear"/>
            <w:tcMar>
              <w:top w:type="dxa" w:w="120"/>
              <w:left w:type="dxa" w:w="240"/>
              <w:bottom w:type="dxa" w:w="120"/>
              <w:right w:type="dxa" w:w="240"/>
            </w:tcMar>
          </w:tcPr>
          <w:p>
            <w:pPr>
              <w:spacing w:before="40" w:after="40"/>
            </w:pPr>
            <w:r>
              <w:rPr>
                <w:rFonts w:ascii="Calibri" w:cs="Calibri" w:eastAsia="Calibri" w:hAnsi="Calibri"/>
                <w:color w:val="444444"/>
                <w:sz w:val="20"/>
                <w:szCs w:val="20"/>
              </w:rPr>
              <w:t xml:space="preserve">pip install InSilicoSeq</w:t>
            </w:r>
          </w:p>
          <w:p>
            <w:pPr>
              <w:spacing w:before="40" w:after="40"/>
            </w:pPr>
            <w:r>
              <w:rPr>
                <w:rFonts w:ascii="Calibri" w:cs="Calibri" w:eastAsia="Calibri" w:hAnsi="Calibri"/>
                <w:color w:val="444444"/>
                <w:sz w:val="20"/>
                <w:szCs w:val="20"/>
              </w:rPr>
              <w:t xml:space="preserve"># Simulation : 85% bactéries communes, 10% ADN humain, 5% Vibrio cholerae</w:t>
            </w:r>
          </w:p>
          <w:p>
            <w:pPr>
              <w:spacing w:before="40" w:after="40"/>
            </w:pPr>
            <w:r>
              <w:rPr>
                <w:rFonts w:ascii="Calibri" w:cs="Calibri" w:eastAsia="Calibri" w:hAnsi="Calibri"/>
                <w:color w:val="444444"/>
                <w:sz w:val="20"/>
                <w:szCs w:val="20"/>
              </w:rPr>
              <w:t xml:space="preserve">iss generate --genomes vibrio_cholerae.fna ecoli.fna klebsiella.fna \</w:t>
            </w:r>
          </w:p>
          <w:p>
            <w:pPr>
              <w:spacing w:before="40" w:after="40"/>
            </w:pPr>
            <w:r>
              <w:rPr>
                <w:rFonts w:ascii="Calibri" w:cs="Calibri" w:eastAsia="Calibri" w:hAnsi="Calibri"/>
                <w:color w:val="444444"/>
                <w:sz w:val="20"/>
                <w:szCs w:val="20"/>
              </w:rPr>
              <w:t xml:space="preserve">  --abundance lognormal --n_reads 500000 --model HiSeq --output wastewater_lome_sim</w:t>
            </w:r>
          </w:p>
          <w:p>
            <w:pPr>
              <w:spacing w:before="40" w:after="40"/>
            </w:pPr>
            <w:r>
              <w:rPr>
                <w:rFonts w:ascii="Calibri" w:cs="Calibri" w:eastAsia="Calibri" w:hAnsi="Calibri"/>
                <w:color w:val="444444"/>
                <w:sz w:val="20"/>
                <w:szCs w:val="20"/>
              </w:rPr>
              <w:t xml:space="preserve"># Critère de validation : retrouver Vibrio cholerae entre 4% et 6% (tolérance ± 1%)</w:t>
            </w:r>
          </w:p>
        </w:tc>
      </w:tr>
    </w:tbl>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4.2 Phase 2 — Données Publiques NCBI SRA</w:t>
      </w:r>
    </w:p>
    <w:p>
      <w:pPr>
        <w:pStyle w:val="ListParagraph"/>
        <w:numPr>
          <w:ilvl w:val="0"/>
          <w:numId w:val="2"/>
        </w:numPr>
        <w:spacing w:before="55" w:after="55"/>
      </w:pPr>
      <w:r>
        <w:rPr>
          <w:rFonts w:ascii="Calibri" w:cs="Calibri" w:eastAsia="Calibri" w:hAnsi="Calibri"/>
          <w:color w:val="1A1A1A"/>
          <w:sz w:val="22"/>
          <w:szCs w:val="22"/>
        </w:rPr>
        <w:t xml:space="preserve">"wastewater metagenomics" AND "Africa" — Nigeria, Afrique du Sud, Kenya</w:t>
      </w:r>
    </w:p>
    <w:p>
      <w:pPr>
        <w:pStyle w:val="ListParagraph"/>
        <w:numPr>
          <w:ilvl w:val="0"/>
          <w:numId w:val="2"/>
        </w:numPr>
        <w:spacing w:before="55" w:after="55"/>
      </w:pPr>
      <w:r>
        <w:rPr>
          <w:rFonts w:ascii="Calibri" w:cs="Calibri" w:eastAsia="Calibri" w:hAnsi="Calibri"/>
          <w:color w:val="1A1A1A"/>
          <w:sz w:val="22"/>
          <w:szCs w:val="22"/>
        </w:rPr>
        <w:t xml:space="preserve">"sewage metagenomics" AND "tropical" — Inde, Bangladesh, Brésil</w:t>
      </w:r>
    </w:p>
    <w:p>
      <w:pPr>
        <w:pStyle w:val="ListParagraph"/>
        <w:numPr>
          <w:ilvl w:val="0"/>
          <w:numId w:val="2"/>
        </w:numPr>
        <w:spacing w:before="55" w:after="55"/>
      </w:pPr>
      <w:r>
        <w:rPr>
          <w:rFonts w:ascii="Calibri" w:cs="Calibri" w:eastAsia="Calibri" w:hAnsi="Calibri"/>
          <w:color w:val="1A1A1A"/>
          <w:sz w:val="22"/>
          <w:szCs w:val="22"/>
        </w:rPr>
        <w:t xml:space="preserve">"wastewater surveillance" AND "cholera" — cas d'usage direct</w:t>
      </w:r>
    </w:p>
    <w:p>
      <w:pPr>
        <w:pStyle w:val="ListParagraph"/>
        <w:numPr>
          <w:ilvl w:val="0"/>
          <w:numId w:val="2"/>
        </w:numPr>
        <w:spacing w:before="55" w:after="55"/>
      </w:pPr>
      <w:r>
        <w:rPr>
          <w:rFonts w:ascii="Calibri" w:cs="Calibri" w:eastAsia="Calibri" w:hAnsi="Calibri"/>
          <w:color w:val="1A1A1A"/>
          <w:sz w:val="22"/>
          <w:szCs w:val="22"/>
        </w:rPr>
        <w:t xml:space="preserve">"environmental metagenomics" AND "West Africa" — contexte géographique proche</w:t>
      </w:r>
    </w:p>
    <w:p>
      <w:pPr>
        <w:pStyle w:val="ListParagraph"/>
        <w:numPr>
          <w:ilvl w:val="0"/>
          <w:numId w:val="2"/>
        </w:numPr>
        <w:spacing w:before="55" w:after="55"/>
      </w:pPr>
      <w:r>
        <w:rPr>
          <w:rFonts w:ascii="Calibri" w:cs="Calibri" w:eastAsia="Calibri" w:hAnsi="Calibri"/>
          <w:color w:val="1A1A1A"/>
          <w:sz w:val="22"/>
          <w:szCs w:val="22"/>
        </w:rPr>
        <w:t xml:space="preserve">Priorité : datasets Benin/Burkina Faso (preprint mSphere 2023) — SRR identifiants à extraire</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4.3 Phase 3 — Données Originales Lomé</w:t>
      </w:r>
    </w:p>
    <w:p>
      <w:pPr>
        <w:spacing w:before="80" w:after="80"/>
      </w:pPr>
      <w:r>
        <w:rPr>
          <w:rFonts w:ascii="Calibri" w:cs="Calibri" w:eastAsia="Calibri" w:hAnsi="Calibri"/>
          <w:color w:val="1A1A1A"/>
          <w:sz w:val="22"/>
          <w:szCs w:val="22"/>
        </w:rPr>
        <w:t xml:space="preserve">Cette phase conditionne la publication avec données réelles. Elle nécessite un partenariat institutionnel formalisé (Université de Lomé, Ministère de la Santé), une autorisation réglementaire de prélèvement, et l'accès à un séquenceur Illumina MiSeq (200–400 USD pour une run partagée) ou, en option, Oxford Nanopore MinION (portable, validé en terrain africain par le projet ODIN en 2026).</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4.4 Gestion et Publication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1800"/>
        <w:gridCol w:w="2226"/>
      </w:tblGrid>
      <w:tr>
        <w:tc>
          <w:tcPr>
            <w:tcW w:type="dxa" w:w="18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Type de donnée</w:t>
            </w:r>
          </w:p>
        </w:tc>
        <w:tc>
          <w:tcPr>
            <w:tcW w:type="dxa" w:w="12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Format</w:t>
            </w:r>
          </w:p>
        </w:tc>
        <w:tc>
          <w:tcPr>
            <w:tcW w:type="dxa" w:w="20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Stockage</w:t>
            </w:r>
          </w:p>
        </w:tc>
        <w:tc>
          <w:tcPr>
            <w:tcW w:type="dxa" w:w="18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Accès</w:t>
            </w:r>
          </w:p>
        </w:tc>
        <w:tc>
          <w:tcPr>
            <w:tcW w:type="dxa" w:w="22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Standard</w:t>
            </w:r>
          </w:p>
        </w:tc>
      </w:tr>
      <w:tr>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Reads simulés</w:t>
            </w:r>
          </w:p>
        </w:tc>
        <w:tc>
          <w:tcPr>
            <w:tcW w:type="dxa" w:w="1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.fastq.gz</w:t>
            </w:r>
          </w:p>
        </w:tc>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GitHub LFS / Google Drive</w:t>
            </w:r>
          </w:p>
        </w:tc>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Équipe</w:t>
            </w:r>
          </w:p>
        </w:tc>
        <w:tc>
          <w:tcPr>
            <w:tcW w:type="dxa" w:w="22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Reads NCBI SRA</w:t>
            </w:r>
          </w:p>
        </w:tc>
        <w:tc>
          <w:tcPr>
            <w:tcW w:type="dxa" w:w="12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.fastq.gz</w:t>
            </w:r>
          </w:p>
        </w:tc>
        <w:tc>
          <w:tcPr>
            <w:tcW w:type="dxa" w:w="2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Disque local + backup</w:t>
            </w:r>
          </w:p>
        </w:tc>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Équipe</w:t>
            </w:r>
          </w:p>
        </w:tc>
        <w:tc>
          <w:tcPr>
            <w:tcW w:type="dxa" w:w="22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w:t>
            </w:r>
          </w:p>
        </w:tc>
      </w:tr>
      <w:tr>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Reads réels Lomé</w:t>
            </w:r>
          </w:p>
        </w:tc>
        <w:tc>
          <w:tcPr>
            <w:tcW w:type="dxa" w:w="1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.fastq.gz</w:t>
            </w:r>
          </w:p>
        </w:tc>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Serveur sécurisé</w:t>
            </w:r>
          </w:p>
        </w:tc>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Restreint</w:t>
            </w:r>
          </w:p>
        </w:tc>
        <w:tc>
          <w:tcPr>
            <w:tcW w:type="dxa" w:w="22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Profils Kraken2/Bracken</w:t>
            </w:r>
          </w:p>
        </w:tc>
        <w:tc>
          <w:tcPr>
            <w:tcW w:type="dxa" w:w="12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.txt / .csv</w:t>
            </w:r>
          </w:p>
        </w:tc>
        <w:tc>
          <w:tcPr>
            <w:tcW w:type="dxa" w:w="2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GitHub</w:t>
            </w:r>
          </w:p>
        </w:tc>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Équipe</w:t>
            </w:r>
          </w:p>
        </w:tc>
        <w:tc>
          <w:tcPr>
            <w:tcW w:type="dxa" w:w="22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w:t>
            </w:r>
          </w:p>
        </w:tc>
      </w:tr>
      <w:tr>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Données normalisées</w:t>
            </w:r>
          </w:p>
        </w:tc>
        <w:tc>
          <w:tcPr>
            <w:tcW w:type="dxa" w:w="1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.json / .csv</w:t>
            </w:r>
          </w:p>
        </w:tc>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GitHub + API</w:t>
            </w:r>
          </w:p>
        </w:tc>
        <w:tc>
          <w:tcPr>
            <w:tcW w:type="dxa" w:w="1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Public</w:t>
            </w:r>
          </w:p>
        </w:tc>
        <w:tc>
          <w:tcPr>
            <w:tcW w:type="dxa" w:w="22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PHA4GE</w:t>
            </w:r>
          </w:p>
        </w:tc>
      </w:tr>
      <w:tr>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Données publication</w:t>
            </w:r>
          </w:p>
        </w:tc>
        <w:tc>
          <w:tcPr>
            <w:tcW w:type="dxa" w:w="12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.fastq.gz + métadonnées</w:t>
            </w:r>
          </w:p>
        </w:tc>
        <w:tc>
          <w:tcPr>
            <w:tcW w:type="dxa" w:w="2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NCBI SRA</w:t>
            </w:r>
          </w:p>
        </w:tc>
        <w:tc>
          <w:tcPr>
            <w:tcW w:type="dxa" w:w="1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Public après acceptation</w:t>
            </w:r>
          </w:p>
        </w:tc>
        <w:tc>
          <w:tcPr>
            <w:tcW w:type="dxa" w:w="22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PHA4GE</w:t>
            </w:r>
          </w:p>
        </w:tc>
      </w:tr>
    </w:tbl>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5. Protocole de Prélèvement Terrain</w:t>
      </w:r>
    </w:p>
    <w:p>
      <w:pPr>
        <w:pStyle w:val="Heading2"/>
        <w:spacing w:before="280" w:after="100"/>
      </w:pPr>
      <w:r>
        <w:rPr>
          <w:rFonts w:ascii="Calibri" w:cs="Calibri" w:eastAsia="Calibri" w:hAnsi="Calibri"/>
          <w:b/>
          <w:bCs/>
          <w:color w:val="00796B"/>
          <w:sz w:val="26"/>
          <w:szCs w:val="26"/>
        </w:rPr>
        <w:t xml:space="preserve">5.1 Matériel requis</w:t>
      </w:r>
    </w:p>
    <w:p>
      <w:pPr>
        <w:pStyle w:val="ListParagraph"/>
        <w:numPr>
          <w:ilvl w:val="0"/>
          <w:numId w:val="2"/>
        </w:numPr>
        <w:spacing w:before="55" w:after="55"/>
      </w:pPr>
      <w:r>
        <w:rPr>
          <w:rFonts w:ascii="Calibri" w:cs="Calibri" w:eastAsia="Calibri" w:hAnsi="Calibri"/>
          <w:color w:val="1A1A1A"/>
          <w:sz w:val="22"/>
          <w:szCs w:val="22"/>
        </w:rPr>
        <w:t xml:space="preserve">Flacons stériles à col large (1 à 2 L, HDPE ou verre, autoclavés)</w:t>
      </w:r>
    </w:p>
    <w:p>
      <w:pPr>
        <w:pStyle w:val="ListParagraph"/>
        <w:numPr>
          <w:ilvl w:val="0"/>
          <w:numId w:val="2"/>
        </w:numPr>
        <w:spacing w:before="55" w:after="55"/>
      </w:pPr>
      <w:r>
        <w:rPr>
          <w:rFonts w:ascii="Calibri" w:cs="Calibri" w:eastAsia="Calibri" w:hAnsi="Calibri"/>
          <w:color w:val="1A1A1A"/>
          <w:sz w:val="22"/>
          <w:szCs w:val="22"/>
        </w:rPr>
        <w:t xml:space="preserve">Gants nitrile, masque FFP2, lunettes de protection, combinaison jetable</w:t>
      </w:r>
    </w:p>
    <w:p>
      <w:pPr>
        <w:pStyle w:val="ListParagraph"/>
        <w:numPr>
          <w:ilvl w:val="0"/>
          <w:numId w:val="2"/>
        </w:numPr>
        <w:spacing w:before="55" w:after="55"/>
      </w:pPr>
      <w:r>
        <w:rPr>
          <w:rFonts w:ascii="Calibri" w:cs="Calibri" w:eastAsia="Calibri" w:hAnsi="Calibri"/>
          <w:color w:val="1A1A1A"/>
          <w:sz w:val="22"/>
          <w:szCs w:val="22"/>
        </w:rPr>
        <w:t xml:space="preserve">Glacière avec blocs réfrigérants (maintien à 4°C)</w:t>
      </w:r>
    </w:p>
    <w:p>
      <w:pPr>
        <w:pStyle w:val="ListParagraph"/>
        <w:numPr>
          <w:ilvl w:val="0"/>
          <w:numId w:val="2"/>
        </w:numPr>
        <w:spacing w:before="55" w:after="55"/>
      </w:pPr>
      <w:r>
        <w:rPr>
          <w:rFonts w:ascii="Calibri" w:cs="Calibri" w:eastAsia="Calibri" w:hAnsi="Calibri"/>
          <w:color w:val="1A1A1A"/>
          <w:sz w:val="22"/>
          <w:szCs w:val="22"/>
        </w:rPr>
        <w:t xml:space="preserve">Étiquettes imperméables + fiche de traçabilité (code site, date, heure, opérateur)</w:t>
      </w:r>
    </w:p>
    <w:p>
      <w:pPr>
        <w:pStyle w:val="ListParagraph"/>
        <w:numPr>
          <w:ilvl w:val="0"/>
          <w:numId w:val="2"/>
        </w:numPr>
        <w:spacing w:before="55" w:after="55"/>
      </w:pPr>
      <w:r>
        <w:rPr>
          <w:rFonts w:ascii="Calibri" w:cs="Calibri" w:eastAsia="Calibri" w:hAnsi="Calibri"/>
          <w:color w:val="1A1A1A"/>
          <w:sz w:val="22"/>
          <w:szCs w:val="22"/>
        </w:rPr>
        <w:t xml:space="preserve">Centrifugeuse réfrigérée au laboratoire</w:t>
      </w:r>
    </w:p>
    <w:p>
      <w:pPr>
        <w:pStyle w:val="ListParagraph"/>
        <w:numPr>
          <w:ilvl w:val="0"/>
          <w:numId w:val="2"/>
        </w:numPr>
        <w:spacing w:before="55" w:after="55"/>
      </w:pPr>
      <w:r>
        <w:rPr>
          <w:rFonts w:ascii="Calibri" w:cs="Calibri" w:eastAsia="Calibri" w:hAnsi="Calibri"/>
          <w:color w:val="1A1A1A"/>
          <w:sz w:val="22"/>
          <w:szCs w:val="22"/>
        </w:rPr>
        <w:t xml:space="preserve">Kit d'extraction ADN environnemental (PowerSoil Pro Kit — validé terrain africain ODIN 2026)</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5.2 Protocole de collecte (milieux non-raccordés)</w:t>
      </w:r>
    </w:p>
    <w:p>
      <w:pPr>
        <w:pStyle w:val="ListParagraph"/>
        <w:numPr>
          <w:ilvl w:val="0"/>
          <w:numId w:val="2"/>
        </w:numPr>
        <w:spacing w:before="55" w:after="55"/>
      </w:pPr>
      <w:r>
        <w:rPr>
          <w:rFonts w:ascii="Calibri" w:cs="Calibri" w:eastAsia="Calibri" w:hAnsi="Calibri"/>
          <w:color w:val="1A1A1A"/>
          <w:sz w:val="22"/>
          <w:szCs w:val="22"/>
        </w:rPr>
        <w:t xml:space="preserve">Prélever 1 à 2 litres d'eaux usées, en évitant le fond (sédiments) et la surface (huiles).</w:t>
      </w:r>
    </w:p>
    <w:p>
      <w:pPr>
        <w:pStyle w:val="ListParagraph"/>
        <w:numPr>
          <w:ilvl w:val="0"/>
          <w:numId w:val="2"/>
        </w:numPr>
        <w:spacing w:before="55" w:after="55"/>
      </w:pPr>
      <w:r>
        <w:rPr>
          <w:rFonts w:ascii="Calibri" w:cs="Calibri" w:eastAsia="Calibri" w:hAnsi="Calibri"/>
          <w:color w:val="1A1A1A"/>
          <w:sz w:val="22"/>
          <w:szCs w:val="22"/>
        </w:rPr>
        <w:t xml:space="preserve">Pour les canaux et drains ouverts : prélèvement en zone de flux actif, pas en zone stagnante.</w:t>
      </w:r>
    </w:p>
    <w:p>
      <w:pPr>
        <w:pStyle w:val="ListParagraph"/>
        <w:numPr>
          <w:ilvl w:val="0"/>
          <w:numId w:val="2"/>
        </w:numPr>
        <w:spacing w:before="55" w:after="55"/>
      </w:pPr>
      <w:r>
        <w:rPr>
          <w:rFonts w:ascii="Calibri" w:cs="Calibri" w:eastAsia="Calibri" w:hAnsi="Calibri"/>
          <w:color w:val="1A1A1A"/>
          <w:sz w:val="22"/>
          <w:szCs w:val="22"/>
        </w:rPr>
        <w:t xml:space="preserve">Étiqueter immédiatement : code site + date + heure (ex. LMC-001-2026-08-15-08h30).</w:t>
      </w:r>
    </w:p>
    <w:p>
      <w:pPr>
        <w:pStyle w:val="ListParagraph"/>
        <w:numPr>
          <w:ilvl w:val="0"/>
          <w:numId w:val="2"/>
        </w:numPr>
        <w:spacing w:before="55" w:after="55"/>
      </w:pPr>
      <w:r>
        <w:rPr>
          <w:rFonts w:ascii="Calibri" w:cs="Calibri" w:eastAsia="Calibri" w:hAnsi="Calibri"/>
          <w:color w:val="1A1A1A"/>
          <w:sz w:val="22"/>
          <w:szCs w:val="22"/>
        </w:rPr>
        <w:t xml:space="preserve">Placer en glacière à 4°C sans délai. Transport au laboratoire dans les 6 heures maximum.</w:t>
      </w:r>
    </w:p>
    <w:p>
      <w:pPr>
        <w:pStyle w:val="ListParagraph"/>
        <w:numPr>
          <w:ilvl w:val="0"/>
          <w:numId w:val="2"/>
        </w:numPr>
        <w:spacing w:before="55" w:after="55"/>
      </w:pPr>
      <w:r>
        <w:rPr>
          <w:rFonts w:ascii="Calibri" w:cs="Calibri" w:eastAsia="Calibri" w:hAnsi="Calibri"/>
          <w:color w:val="1A1A1A"/>
          <w:sz w:val="22"/>
          <w:szCs w:val="22"/>
        </w:rPr>
        <w:t xml:space="preserve">Si délai &gt; 6h : ajouter RNAlater (1:1 v/v) pour stabiliser ARN et ADN.</w:t>
      </w:r>
    </w:p>
    <w:p>
      <w:pPr>
        <w:pStyle w:val="ListParagraph"/>
        <w:numPr>
          <w:ilvl w:val="0"/>
          <w:numId w:val="2"/>
        </w:numPr>
        <w:spacing w:before="55" w:after="55"/>
      </w:pPr>
      <w:r>
        <w:rPr>
          <w:rFonts w:ascii="Calibri" w:cs="Calibri" w:eastAsia="Calibri" w:hAnsi="Calibri"/>
          <w:color w:val="1A1A1A"/>
          <w:sz w:val="22"/>
          <w:szCs w:val="22"/>
        </w:rPr>
        <w:t xml:space="preserve">Documenter les conditions environnementales : pluviométrie des 48h précédentes, niveau du canal.</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5.3 Sites prioritaires à Lomé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Code</w:t>
            </w:r>
          </w:p>
        </w:tc>
        <w:tc>
          <w:tcPr>
            <w:tcW w:type="dxa" w:w="30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Site</w:t>
            </w:r>
          </w:p>
        </w:tc>
        <w:tc>
          <w:tcPr>
            <w:tcW w:type="dxa" w:w="48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Justification</w:t>
            </w:r>
          </w:p>
        </w:tc>
      </w:tr>
      <w:tr>
        <w:tc>
          <w:tcPr>
            <w:tcW w:type="dxa" w:w="1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LMC-001</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Canal de Bè</w:t>
            </w:r>
          </w:p>
        </w:tc>
        <w:tc>
          <w:tcPr>
            <w:tcW w:type="dxa" w:w="48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Point de convergence des eaux usées du centre-ville. Site principal.</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LMC-002</w:t>
            </w:r>
          </w:p>
        </w:tc>
        <w:tc>
          <w:tcPr>
            <w:tcW w:type="dxa" w:w="3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Grand Marché de Lomé / Adawlato</w:t>
            </w:r>
          </w:p>
        </w:tc>
        <w:tc>
          <w:tcPr>
            <w:tcW w:type="dxa" w:w="48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Forte densité, convergence réseau assainissement.</w:t>
            </w:r>
          </w:p>
        </w:tc>
      </w:tr>
      <w:tr>
        <w:tc>
          <w:tcPr>
            <w:tcW w:type="dxa" w:w="1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LMC-003</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Quartier Agoè-Nyivé</w:t>
            </w:r>
          </w:p>
        </w:tc>
        <w:tc>
          <w:tcPr>
            <w:tcW w:type="dxa" w:w="48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Zone périurbaine dense, réseau moins formalisé.</w:t>
            </w:r>
          </w:p>
        </w:tc>
      </w:tr>
      <w:tr>
        <w:tc>
          <w:tcPr>
            <w:tcW w:type="dxa" w:w="12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LMC-004</w:t>
            </w:r>
          </w:p>
        </w:tc>
        <w:tc>
          <w:tcPr>
            <w:tcW w:type="dxa" w:w="3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Entrée station d'épuration de Lomé</w:t>
            </w:r>
          </w:p>
        </w:tc>
        <w:tc>
          <w:tcPr>
            <w:tcW w:type="dxa" w:w="48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Point de représentativité maximale.</w:t>
            </w:r>
          </w:p>
        </w:tc>
      </w:tr>
      <w:tr>
        <w:tc>
          <w:tcPr>
            <w:tcW w:type="dxa" w:w="1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LMC-005</w:t>
            </w:r>
          </w:p>
        </w:tc>
        <w:tc>
          <w:tcPr>
            <w:tcW w:type="dxa" w:w="3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Port de Lomé</w:t>
            </w:r>
          </w:p>
        </w:tc>
        <w:tc>
          <w:tcPr>
            <w:tcW w:type="dxa" w:w="48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Surveillance des pathogènes d'importation.</w:t>
            </w:r>
          </w:p>
        </w:tc>
      </w:tr>
    </w:tbl>
    <w:p>
      <w:pPr>
        <w:spacing w:before="50" w:after="50"/>
      </w:pPr>
      <w:r>
        <w:rPr>
          <w:rFonts w:ascii="Calibri" w:cs="Calibri" w:eastAsia="Calibri" w:hAnsi="Calibri"/>
          <w:color w:val="1A1A1A"/>
          <w:sz w:val="22"/>
          <w:szCs w:val="22"/>
        </w:rPr>
        <w:t xml:space="preserve"/>
      </w:r>
    </w:p>
    <w:p>
      <w:pPr>
        <w:spacing w:before="80" w:after="80"/>
      </w:pPr>
      <w:r>
        <w:rPr>
          <w:rFonts w:ascii="Calibri" w:cs="Calibri" w:eastAsia="Calibri" w:hAnsi="Calibri"/>
          <w:color w:val="1A1A1A"/>
          <w:sz w:val="22"/>
          <w:szCs w:val="22"/>
        </w:rPr>
        <w:t xml:space="preserve">Fréquence : 1 prélèvement par semaine et par site en phase pilote. Passage à 2 par semaine en cas d'alerte épidémique active. Minimum 8 semaines de données pour calibrer le modèle de tendance.</w:t>
      </w:r>
    </w:p>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6. Stratégie de Publication Scientifique</w:t>
      </w:r>
    </w:p>
    <w:p>
      <w:pPr>
        <w:pStyle w:val="Heading2"/>
        <w:spacing w:before="280" w:after="100"/>
      </w:pPr>
      <w:r>
        <w:rPr>
          <w:rFonts w:ascii="Calibri" w:cs="Calibri" w:eastAsia="Calibri" w:hAnsi="Calibri"/>
          <w:b/>
          <w:bCs/>
          <w:color w:val="00796B"/>
          <w:sz w:val="26"/>
          <w:szCs w:val="26"/>
        </w:rPr>
        <w:t xml:space="preserve">6.1 Journaux cibles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2226"/>
      </w:tblGrid>
      <w:tr>
        <w:tc>
          <w:tcPr>
            <w:tcW w:type="dxa" w:w="2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Journal</w:t>
            </w:r>
          </w:p>
        </w:tc>
        <w:tc>
          <w:tcPr>
            <w:tcW w:type="dxa" w:w="28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Type</w:t>
            </w:r>
          </w:p>
        </w:tc>
        <w:tc>
          <w:tcPr>
            <w:tcW w:type="dxa" w:w="1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Impact Factor</w:t>
            </w:r>
          </w:p>
        </w:tc>
        <w:tc>
          <w:tcPr>
            <w:tcW w:type="dxa" w:w="22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Délai</w:t>
            </w:r>
          </w:p>
        </w:tc>
      </w:tr>
      <w:tr>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PLOS ONE</w:t>
            </w:r>
          </w:p>
        </w:tc>
        <w:tc>
          <w:tcPr>
            <w:tcW w:type="dxa" w:w="2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Open Access, multidisciplinaire</w:t>
            </w:r>
          </w:p>
        </w:tc>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~3.7</w:t>
            </w:r>
          </w:p>
        </w:tc>
        <w:tc>
          <w:tcPr>
            <w:tcW w:type="dxa" w:w="22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3–5 mois</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BMC Bioinformatics</w:t>
            </w:r>
          </w:p>
        </w:tc>
        <w:tc>
          <w:tcPr>
            <w:tcW w:type="dxa" w:w="2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Open Access, bioinformatique</w:t>
            </w:r>
          </w:p>
        </w:tc>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~4.4</w:t>
            </w:r>
          </w:p>
        </w:tc>
        <w:tc>
          <w:tcPr>
            <w:tcW w:type="dxa" w:w="22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3–6 mois</w:t>
            </w:r>
          </w:p>
        </w:tc>
      </w:tr>
      <w:tr>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Frontiers in Public Health</w:t>
            </w:r>
          </w:p>
        </w:tc>
        <w:tc>
          <w:tcPr>
            <w:tcW w:type="dxa" w:w="2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Open Access, santé publique</w:t>
            </w:r>
          </w:p>
        </w:tc>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~5.2</w:t>
            </w:r>
          </w:p>
        </w:tc>
        <w:tc>
          <w:tcPr>
            <w:tcW w:type="dxa" w:w="22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2–4 mois</w:t>
            </w:r>
          </w:p>
        </w:tc>
      </w:tr>
      <w:tr>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One Health (Elsevier)</w:t>
            </w:r>
          </w:p>
        </w:tc>
        <w:tc>
          <w:tcPr>
            <w:tcW w:type="dxa" w:w="28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Environnement-santé</w:t>
            </w:r>
          </w:p>
        </w:tc>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~8.8</w:t>
            </w:r>
          </w:p>
        </w:tc>
        <w:tc>
          <w:tcPr>
            <w:tcW w:type="dxa" w:w="22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4–8 mois</w:t>
            </w:r>
          </w:p>
        </w:tc>
      </w:tr>
      <w:tr>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IJERPH (MDPI)</w:t>
            </w:r>
          </w:p>
        </w:tc>
        <w:tc>
          <w:tcPr>
            <w:tcW w:type="dxa" w:w="28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Santé publique internationale</w:t>
            </w:r>
          </w:p>
        </w:tc>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~4.6</w:t>
            </w:r>
          </w:p>
        </w:tc>
        <w:tc>
          <w:tcPr>
            <w:tcW w:type="dxa" w:w="22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2–4 mois</w:t>
            </w:r>
          </w:p>
        </w:tc>
      </w:tr>
    </w:tbl>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6.2 Structure de l'article</w:t>
      </w:r>
    </w:p>
    <w:p>
      <w:pPr>
        <w:pStyle w:val="ListParagraph"/>
        <w:numPr>
          <w:ilvl w:val="0"/>
          <w:numId w:val="2"/>
        </w:numPr>
        <w:spacing w:before="55" w:after="55"/>
      </w:pPr>
      <w:r>
        <w:rPr>
          <w:rFonts w:ascii="Calibri" w:cs="Calibri" w:eastAsia="Calibri" w:hAnsi="Calibri"/>
          <w:b/>
          <w:bCs/>
          <w:color w:val="1A1A1A"/>
          <w:sz w:val="22"/>
          <w:szCs w:val="22"/>
        </w:rPr>
        <w:t xml:space="preserve">Introduction : </w:t>
      </w:r>
      <w:r>
        <w:rPr>
          <w:rFonts w:ascii="Calibri" w:cs="Calibri" w:eastAsia="Calibri" w:hAnsi="Calibri"/>
          <w:color w:val="1A1A1A"/>
          <w:sz w:val="22"/>
          <w:szCs w:val="22"/>
        </w:rPr>
        <w:t xml:space="preserve">Lacunes de surveillance en Afrique de l'Ouest, principe WBE, positionnement différentiel vs Burkina Faso / Dakar, objectifs</w:t>
      </w:r>
    </w:p>
    <w:p>
      <w:pPr>
        <w:pStyle w:val="ListParagraph"/>
        <w:numPr>
          <w:ilvl w:val="0"/>
          <w:numId w:val="2"/>
        </w:numPr>
        <w:spacing w:before="55" w:after="55"/>
      </w:pPr>
      <w:r>
        <w:rPr>
          <w:rFonts w:ascii="Calibri" w:cs="Calibri" w:eastAsia="Calibri" w:hAnsi="Calibri"/>
          <w:b/>
          <w:bCs/>
          <w:color w:val="1A1A1A"/>
          <w:sz w:val="22"/>
          <w:szCs w:val="22"/>
        </w:rPr>
        <w:t xml:space="preserve">Matériel &amp; Méthodes : </w:t>
      </w:r>
      <w:r>
        <w:rPr>
          <w:rFonts w:ascii="Calibri" w:cs="Calibri" w:eastAsia="Calibri" w:hAnsi="Calibri"/>
          <w:color w:val="1A1A1A"/>
          <w:sz w:val="22"/>
          <w:szCs w:val="22"/>
        </w:rPr>
        <w:t xml:space="preserve">Pipeline (Snakemake/Kraken2/Bracken), données (simulation + NCBI SRA + Lomé), protocole de normalisation PHA4GE-compliant, seuils d'alerte</w:t>
      </w:r>
    </w:p>
    <w:p>
      <w:pPr>
        <w:pStyle w:val="ListParagraph"/>
        <w:numPr>
          <w:ilvl w:val="0"/>
          <w:numId w:val="2"/>
        </w:numPr>
        <w:spacing w:before="55" w:after="55"/>
      </w:pPr>
      <w:r>
        <w:rPr>
          <w:rFonts w:ascii="Calibri" w:cs="Calibri" w:eastAsia="Calibri" w:hAnsi="Calibri"/>
          <w:b/>
          <w:bCs/>
          <w:color w:val="1A1A1A"/>
          <w:sz w:val="22"/>
          <w:szCs w:val="22"/>
        </w:rPr>
        <w:t xml:space="preserve">Résultats : </w:t>
      </w:r>
      <w:r>
        <w:rPr>
          <w:rFonts w:ascii="Calibri" w:cs="Calibri" w:eastAsia="Calibri" w:hAnsi="Calibri"/>
          <w:color w:val="1A1A1A"/>
          <w:sz w:val="22"/>
          <w:szCs w:val="22"/>
        </w:rPr>
        <w:t xml:space="preserve">Performance sur données simulées, analyse NCBI SRA, pilote Lomé</w:t>
      </w:r>
    </w:p>
    <w:p>
      <w:pPr>
        <w:pStyle w:val="ListParagraph"/>
        <w:numPr>
          <w:ilvl w:val="0"/>
          <w:numId w:val="2"/>
        </w:numPr>
        <w:spacing w:before="55" w:after="55"/>
      </w:pPr>
      <w:r>
        <w:rPr>
          <w:rFonts w:ascii="Calibri" w:cs="Calibri" w:eastAsia="Calibri" w:hAnsi="Calibri"/>
          <w:b/>
          <w:bCs/>
          <w:color w:val="1A1A1A"/>
          <w:sz w:val="22"/>
          <w:szCs w:val="22"/>
        </w:rPr>
        <w:t xml:space="preserve">Discussion : </w:t>
      </w:r>
      <w:r>
        <w:rPr>
          <w:rFonts w:ascii="Calibri" w:cs="Calibri" w:eastAsia="Calibri" w:hAnsi="Calibri"/>
          <w:color w:val="1A1A1A"/>
          <w:sz w:val="22"/>
          <w:szCs w:val="22"/>
        </w:rPr>
        <w:t xml:space="preserve">Comparaison avec approches existantes (Burkina, Dakar, ODIN), limites, perspectives de réplication sous-régionale</w:t>
      </w:r>
    </w:p>
    <w:p>
      <w:pPr>
        <w:pStyle w:val="ListParagraph"/>
        <w:numPr>
          <w:ilvl w:val="0"/>
          <w:numId w:val="2"/>
        </w:numPr>
        <w:spacing w:before="55" w:after="55"/>
      </w:pPr>
      <w:r>
        <w:rPr>
          <w:rFonts w:ascii="Calibri" w:cs="Calibri" w:eastAsia="Calibri" w:hAnsi="Calibri"/>
          <w:b/>
          <w:bCs/>
          <w:color w:val="1A1A1A"/>
          <w:sz w:val="22"/>
          <w:szCs w:val="22"/>
        </w:rPr>
        <w:t xml:space="preserve">Conclusion : </w:t>
      </w:r>
      <w:r>
        <w:rPr>
          <w:rFonts w:ascii="Calibri" w:cs="Calibri" w:eastAsia="Calibri" w:hAnsi="Calibri"/>
          <w:color w:val="1A1A1A"/>
          <w:sz w:val="22"/>
          <w:szCs w:val="22"/>
        </w:rPr>
        <w:t xml:space="preserve">Implications pour la santé publique en Afrique subsaharienne, appel à l'adoption par d'autres pays CEDEAO</w:t>
      </w:r>
    </w:p>
    <w:p>
      <w:pPr>
        <w:spacing w:before="50" w:after="50"/>
      </w:pPr>
      <w:r>
        <w:rPr>
          <w:rFonts w:ascii="Calibri" w:cs="Calibri" w:eastAsia="Calibri" w:hAnsi="Calibri"/>
          <w:color w:val="1A1A1A"/>
          <w:sz w:val="22"/>
          <w:szCs w:val="22"/>
        </w:rPr>
        <w:t xml:space="preserve"/>
      </w:r>
    </w:p>
    <w:p>
      <w:pPr>
        <w:pStyle w:val="Heading2"/>
        <w:spacing w:before="280" w:after="100"/>
      </w:pPr>
      <w:r>
        <w:rPr>
          <w:rFonts w:ascii="Calibri" w:cs="Calibri" w:eastAsia="Calibri" w:hAnsi="Calibri"/>
          <w:b/>
          <w:bCs/>
          <w:color w:val="00796B"/>
          <w:sz w:val="26"/>
          <w:szCs w:val="26"/>
        </w:rPr>
        <w:t xml:space="preserve">6.3 Répartition des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W w:type="dxa" w:w="3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Section</w:t>
            </w:r>
          </w:p>
        </w:tc>
        <w:tc>
          <w:tcPr>
            <w:tcW w:type="dxa" w:w="2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Responsable</w:t>
            </w:r>
          </w:p>
        </w:tc>
        <w:tc>
          <w:tcPr>
            <w:tcW w:type="dxa" w:w="30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Contributeurs</w:t>
            </w:r>
          </w:p>
        </w:tc>
      </w:tr>
      <w:tr>
        <w:tc>
          <w:tcPr>
            <w:tcW w:type="dxa" w:w="3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Introduction</w:t>
            </w:r>
          </w:p>
        </w:tc>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 2</w:t>
            </w:r>
          </w:p>
        </w:tc>
        <w:tc>
          <w:tcPr>
            <w:tcW w:type="dxa" w:w="30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 1</w:t>
            </w:r>
          </w:p>
        </w:tc>
      </w:tr>
      <w:tr>
        <w:tc>
          <w:tcPr>
            <w:tcW w:type="dxa" w:w="3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Méthodes — Pipeline</w:t>
            </w:r>
          </w:p>
        </w:tc>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b/>
                <w:bCs/>
                <w:color w:val="1A1A1A"/>
                <w:sz w:val="20"/>
                <w:szCs w:val="20"/>
              </w:rPr>
              <w:t xml:space="preserve">Membre 1</w:t>
            </w:r>
          </w:p>
        </w:tc>
        <w:tc>
          <w:tcPr>
            <w:tcW w:type="dxa" w:w="30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b/>
                <w:bCs/>
                <w:color w:val="1A1A1A"/>
                <w:sz w:val="20"/>
                <w:szCs w:val="20"/>
              </w:rPr>
              <w:t xml:space="preserve">Membre 4</w:t>
            </w:r>
          </w:p>
        </w:tc>
      </w:tr>
      <w:tr>
        <w:tc>
          <w:tcPr>
            <w:tcW w:type="dxa" w:w="3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Méthodes — Terrain &amp; Biologie</w:t>
            </w:r>
          </w:p>
        </w:tc>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 4</w:t>
            </w:r>
          </w:p>
        </w:tc>
        <w:tc>
          <w:tcPr>
            <w:tcW w:type="dxa" w:w="30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 2</w:t>
            </w:r>
          </w:p>
        </w:tc>
      </w:tr>
      <w:tr>
        <w:tc>
          <w:tcPr>
            <w:tcW w:type="dxa" w:w="3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Analyse Statistique</w:t>
            </w:r>
          </w:p>
        </w:tc>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b/>
                <w:bCs/>
                <w:color w:val="1A1A1A"/>
                <w:sz w:val="20"/>
                <w:szCs w:val="20"/>
              </w:rPr>
              <w:t xml:space="preserve">Membre 3</w:t>
            </w:r>
          </w:p>
        </w:tc>
        <w:tc>
          <w:tcPr>
            <w:tcW w:type="dxa" w:w="30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b/>
                <w:bCs/>
                <w:color w:val="1A1A1A"/>
                <w:sz w:val="20"/>
                <w:szCs w:val="20"/>
              </w:rPr>
              <w:t xml:space="preserve">Membre 1</w:t>
            </w:r>
          </w:p>
        </w:tc>
      </w:tr>
      <w:tr>
        <w:tc>
          <w:tcPr>
            <w:tcW w:type="dxa" w:w="3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Résultats</w:t>
            </w:r>
          </w:p>
        </w:tc>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Membres 1 &amp; 3</w:t>
            </w:r>
          </w:p>
        </w:tc>
        <w:tc>
          <w:tcPr>
            <w:tcW w:type="dxa" w:w="30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Tous</w:t>
            </w:r>
          </w:p>
        </w:tc>
      </w:tr>
      <w:tr>
        <w:tc>
          <w:tcPr>
            <w:tcW w:type="dxa" w:w="3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Discussion &amp; Conclusion</w:t>
            </w:r>
          </w:p>
        </w:tc>
        <w:tc>
          <w:tcPr>
            <w:tcW w:type="dxa" w:w="2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b/>
                <w:bCs/>
                <w:color w:val="1A1A1A"/>
                <w:sz w:val="20"/>
                <w:szCs w:val="20"/>
              </w:rPr>
              <w:t xml:space="preserve">Membre 2</w:t>
            </w:r>
          </w:p>
        </w:tc>
        <w:tc>
          <w:tcPr>
            <w:tcW w:type="dxa" w:w="30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Tous</w:t>
            </w:r>
          </w:p>
        </w:tc>
      </w:tr>
      <w:tr>
        <w:tc>
          <w:tcPr>
            <w:tcW w:type="dxa" w:w="3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Révision &amp; Soumission</w:t>
            </w:r>
          </w:p>
        </w:tc>
        <w:tc>
          <w:tcPr>
            <w:tcW w:type="dxa" w:w="2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b/>
                <w:bCs/>
                <w:color w:val="1A1A1A"/>
                <w:sz w:val="20"/>
                <w:szCs w:val="20"/>
              </w:rPr>
              <w:t xml:space="preserve">Membre 1 (lead)</w:t>
            </w:r>
          </w:p>
        </w:tc>
        <w:tc>
          <w:tcPr>
            <w:tcW w:type="dxa" w:w="30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Tous</w:t>
            </w:r>
          </w:p>
        </w:tc>
      </w:tr>
    </w:tbl>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7. Feuille de Route — Objectif CPHIA Novembre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Période</w:t>
            </w:r>
          </w:p>
        </w:tc>
        <w:tc>
          <w:tcPr>
            <w:tcW w:type="dxa" w:w="22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Étape</w:t>
            </w:r>
          </w:p>
        </w:tc>
        <w:tc>
          <w:tcPr>
            <w:tcW w:type="dxa" w:w="48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Actions clés</w:t>
            </w:r>
          </w:p>
        </w:tc>
      </w:tr>
      <w:tr>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Juin – Juillet 2026</w:t>
            </w:r>
          </w:p>
        </w:tc>
        <w:tc>
          <w:tcPr>
            <w:tcW w:type="dxa" w:w="2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Amorce &amp; Cadrage</w:t>
            </w:r>
          </w:p>
        </w:tc>
        <w:tc>
          <w:tcPr>
            <w:tcW w:type="dxa" w:w="48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Email formel à Africa CDC. Création repo GitHub. Sélection des pathogènes cibles. Mise en place de l'environnement Python (Conda, Snakemake, Kraken2, InSilicoSeq). Réunion de lancement équipe.</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Août 2026</w:t>
            </w:r>
          </w:p>
        </w:tc>
        <w:tc>
          <w:tcPr>
            <w:tcW w:type="dxa" w:w="22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Développement Pipeline</w:t>
            </w:r>
          </w:p>
        </w:tc>
        <w:tc>
          <w:tcPr>
            <w:tcW w:type="dxa" w:w="48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Scripts Snakemake + règles modulaires. kraken2_runner.py. Logique de normalisation PMMoV. PSP v1.0 (M2). Protocole extraction ADN (M4).</w:t>
            </w:r>
          </w:p>
        </w:tc>
      </w:tr>
      <w:tr>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Septembre 2026</w:t>
            </w:r>
          </w:p>
        </w:tc>
        <w:tc>
          <w:tcPr>
            <w:tcW w:type="dxa" w:w="2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Proof of Concept</w:t>
            </w:r>
          </w:p>
        </w:tc>
        <w:tc>
          <w:tcPr>
            <w:tcW w:type="dxa" w:w="48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Données synthétiques InSilicoSeq. Validation pipeline (V. cholerae 4–6%). Présentation Université de Lomé. Accord de collaboration institutionnelle.</w:t>
            </w:r>
          </w:p>
        </w:tc>
      </w:tr>
      <w:tr>
        <w:tc>
          <w:tcPr>
            <w:tcW w:type="dxa" w:w="20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Octobre 2026</w:t>
            </w:r>
          </w:p>
        </w:tc>
        <w:tc>
          <w:tcPr>
            <w:tcW w:type="dxa" w:w="22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Rédaction &amp; Pré-publication</w:t>
            </w:r>
          </w:p>
        </w:tc>
        <w:tc>
          <w:tcPr>
            <w:tcW w:type="dxa" w:w="48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Rédaction article méthodologique (toutes sections). Dépôt sur bioRxiv. Dashboard MVP opérationnel. Soumission données NCBI SRA (PHA4GE).</w:t>
            </w:r>
          </w:p>
        </w:tc>
      </w:tr>
      <w:tr>
        <w:tc>
          <w:tcPr>
            <w:tcW w:type="dxa" w:w="20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23–27 Nov. 2026</w:t>
            </w:r>
          </w:p>
        </w:tc>
        <w:tc>
          <w:tcPr>
            <w:tcW w:type="dxa" w:w="22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CPHIA — Addis-Abeba</w:t>
            </w:r>
          </w:p>
        </w:tc>
        <w:tc>
          <w:tcPr>
            <w:tcW w:type="dxa" w:w="48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Présentation des travaux. Contacts Africa CDC, Pandemic Fund, GLOWACON. Lancement dossier financement pilote Lomé. Pitch réplication CEDEAO.</w:t>
            </w:r>
          </w:p>
        </w:tc>
      </w:tr>
    </w:tbl>
    <w:p>
      <w:pPr>
        <w:spacing w:before="50" w:after="50"/>
      </w:pPr>
      <w:r>
        <w:rPr>
          <w:rFonts w:ascii="Calibri" w:cs="Calibri" w:eastAsia="Calibri" w:hAnsi="Calibri"/>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8B57" w:sz="3"/>
              <w:bottom w:val="single" w:color="2E8B57" w:sz="3"/>
              <w:right w:val="single" w:color="2E8B57" w:sz="3"/>
              <w:left w:val="thick" w:color="2E8B57" w:sz="14"/>
            </w:tcBorders>
            <w:shd w:fill="EBF5EB" w:val="clear"/>
            <w:tcMar>
              <w:top w:type="dxa" w:w="120"/>
              <w:left w:type="dxa" w:w="240"/>
              <w:bottom w:type="dxa" w:w="120"/>
              <w:right w:type="dxa" w:w="240"/>
            </w:tcMar>
          </w:tcPr>
          <w:p>
            <w:pPr>
              <w:spacing w:before="40" w:after="40"/>
            </w:pPr>
            <w:r>
              <w:rPr>
                <w:rFonts w:ascii="Calibri" w:cs="Calibri" w:eastAsia="Calibri" w:hAnsi="Calibri"/>
                <w:color w:val="444444"/>
                <w:sz w:val="20"/>
                <w:szCs w:val="20"/>
              </w:rPr>
              <w:t xml:space="preserve">Gestion de projet : GitHub Projects (kanban).</w:t>
            </w:r>
          </w:p>
          <w:p>
            <w:pPr>
              <w:spacing w:before="40" w:after="40"/>
            </w:pPr>
            <w:r>
              <w:rPr>
                <w:rFonts w:ascii="Calibri" w:cs="Calibri" w:eastAsia="Calibri" w:hAnsi="Calibri"/>
                <w:color w:val="444444"/>
                <w:sz w:val="20"/>
                <w:szCs w:val="20"/>
              </w:rPr>
              <w:t xml:space="preserve">Point d'équipe : 1 réunion hebdomadaire de 30 minutes.</w:t>
            </w:r>
          </w:p>
          <w:p>
            <w:pPr>
              <w:spacing w:before="40" w:after="40"/>
            </w:pPr>
            <w:r>
              <w:rPr>
                <w:rFonts w:ascii="Calibri" w:cs="Calibri" w:eastAsia="Calibri" w:hAnsi="Calibri"/>
                <w:color w:val="444444"/>
                <w:sz w:val="20"/>
                <w:szCs w:val="20"/>
              </w:rPr>
              <w:t xml:space="preserve">Documentation : toute décision technique consignée dans le Wiki GitHub dans les 48h.</w:t>
            </w:r>
          </w:p>
        </w:tc>
      </w:tr>
    </w:tbl>
    <w:p>
      <w:pPr>
        <w:spacing w:before="50" w:after="50"/>
      </w:pPr>
      <w:r>
        <w:rPr>
          <w:rFonts w:ascii="Calibri" w:cs="Calibri" w:eastAsia="Calibri" w:hAnsi="Calibri"/>
          <w:color w:val="1A1A1A"/>
          <w:sz w:val="22"/>
          <w:szCs w:val="22"/>
        </w:rPr>
        <w:t xml:space="preserve"/>
      </w:r>
    </w:p>
    <w:p>
      <w:r>
        <w:br w:type="page"/>
      </w:r>
    </w:p>
    <w:p>
      <w:pPr>
        <w:pStyle w:val="Heading1"/>
        <w:pBdr>
          <w:bottom w:val="single" w:color="2E8B57" w:sz="10" w:space="6"/>
        </w:pBdr>
        <w:spacing w:before="400" w:after="160"/>
      </w:pPr>
      <w:r>
        <w:rPr>
          <w:rFonts w:ascii="Calibri" w:cs="Calibri" w:eastAsia="Calibri" w:hAnsi="Calibri"/>
          <w:b/>
          <w:bCs/>
          <w:color w:val="1B6B3A"/>
          <w:sz w:val="34"/>
          <w:szCs w:val="34"/>
        </w:rPr>
        <w:t xml:space="preserve">8. Glossaire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Terme</w:t>
            </w:r>
          </w:p>
        </w:tc>
        <w:tc>
          <w:tcPr>
            <w:tcW w:type="dxa" w:w="7526"/>
            <w:tcBorders>
              <w:top w:val="single" w:color="A5D6A7" w:sz="1"/>
              <w:left w:val="single" w:color="A5D6A7" w:sz="1"/>
              <w:bottom w:val="single" w:color="A5D6A7" w:sz="1"/>
              <w:right w:val="single" w:color="A5D6A7" w:sz="1"/>
            </w:tcBorders>
            <w:shd w:fill="1B6B3A" w:val="clear"/>
            <w:tcMar>
              <w:top w:type="dxa" w:w="80"/>
              <w:left w:type="dxa" w:w="130"/>
              <w:bottom w:type="dxa" w:w="80"/>
              <w:right w:type="dxa" w:w="130"/>
            </w:tcMar>
          </w:tcPr>
          <w:p>
            <w:r>
              <w:rPr>
                <w:rFonts w:ascii="Calibri" w:cs="Calibri" w:eastAsia="Calibri" w:hAnsi="Calibri"/>
                <w:b/>
                <w:bCs/>
                <w:color w:val="FFFFFF"/>
                <w:sz w:val="20"/>
                <w:szCs w:val="20"/>
              </w:rPr>
              <w:t xml:space="preserve">Définition</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.fastq</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Format brut de séquençage. Contient les séquences ADN et leurs scores de qualité (Phred).</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Bracken</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Estimation bayésienne des abondances taxonomiques à partir des sorties Kraken2.</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CPHIA</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Conference on Public Health in Africa. Grand rendez-vous continental de santé publique, Africa CDC.</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CrAssphage</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Bactériophage abondant dans les fèces humains. Biomarqueur de normalisation alternatif au PMMoV.</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eDNA</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ADN environnemental — extrait directement d'un milieu sans culture préalable.</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GLOWACON</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Global Wastewater and Environmental Surveillance Consortium — lancé mars 2024, EU HERA + Africa CDC.</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InSilicoSeq</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Outil Python de simulation de fichiers .fastq métagénomiques.</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k-mer</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Sous-séquence ADN de longueur k. Kraken2 classe les reads via une base k-mer indexée.</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Kraken2</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Classificateur taxonomique ultra-rapide basé sur les k-mers. Cœur de la Brique 1.</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MinION</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Séquenceur portable Oxford Nanopore. Option Phase 3 (validé terrain africain ODIN 2026).</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MiniKraken</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Version réduite de la base Kraken2 (~8 GB). Adaptée aux environnements à ressources limitées.</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NCBI SRA</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Sequence Read Archive. Base mondiale de données brutes de séquençage en accès libre.</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PHA4GE</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Public Health Alliance for Genomic Epidemiology. Définit les standards de métadonnées WBE.</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PMMoV</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Pepper Mild Mottle Virus. Biomarqueur de normalisation WBE. À valider en contexte tropical.</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Reads</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Séquences ADN courtes (150–300 pb) produites par un séquenceur nouvelle génération.</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Snakemake</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Gestionnaire de workflows bioinformatiques en Python. Orchestre les étapes du pipeline.</w:t>
            </w:r>
          </w:p>
        </w:tc>
      </w:tr>
      <w:tr>
        <w:tc>
          <w:tcPr>
            <w:tcW w:type="dxa" w:w="1500"/>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WBE</w:t>
            </w:r>
          </w:p>
        </w:tc>
        <w:tc>
          <w:tcPr>
            <w:tcW w:type="dxa" w:w="7526"/>
            <w:tcBorders>
              <w:top w:val="single" w:color="A5D6A7" w:sz="1"/>
              <w:left w:val="single" w:color="A5D6A7" w:sz="1"/>
              <w:bottom w:val="single" w:color="A5D6A7" w:sz="1"/>
              <w:right w:val="single" w:color="A5D6A7" w:sz="1"/>
            </w:tcBorders>
            <w:shd w:fill="EBF5EB" w:val="clear"/>
            <w:tcMar>
              <w:top w:type="dxa" w:w="80"/>
              <w:left w:type="dxa" w:w="130"/>
              <w:bottom w:type="dxa" w:w="80"/>
              <w:right w:type="dxa" w:w="130"/>
            </w:tcMar>
          </w:tcPr>
          <w:p>
            <w:r>
              <w:rPr>
                <w:rFonts w:ascii="Calibri" w:cs="Calibri" w:eastAsia="Calibri" w:hAnsi="Calibri"/>
                <w:color w:val="1A1A1A"/>
                <w:sz w:val="20"/>
                <w:szCs w:val="20"/>
              </w:rPr>
              <w:t xml:space="preserve">Wastewater-Based Epidemiology — surveillance épidémiologique par analyse des eaux usées.</w:t>
            </w:r>
          </w:p>
        </w:tc>
      </w:tr>
      <w:tr>
        <w:tc>
          <w:tcPr>
            <w:tcW w:type="dxa" w:w="1500"/>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WES</w:t>
            </w:r>
          </w:p>
        </w:tc>
        <w:tc>
          <w:tcPr>
            <w:tcW w:type="dxa" w:w="7526"/>
            <w:tcBorders>
              <w:top w:val="single" w:color="A5D6A7" w:sz="1"/>
              <w:left w:val="single" w:color="A5D6A7" w:sz="1"/>
              <w:bottom w:val="single" w:color="A5D6A7" w:sz="1"/>
              <w:right w:val="single" w:color="A5D6A7" w:sz="1"/>
            </w:tcBorders>
            <w:shd w:fill="FFFFFF" w:val="clear"/>
            <w:tcMar>
              <w:top w:type="dxa" w:w="80"/>
              <w:left w:type="dxa" w:w="130"/>
              <w:bottom w:type="dxa" w:w="80"/>
              <w:right w:type="dxa" w:w="130"/>
            </w:tcMar>
          </w:tcPr>
          <w:p>
            <w:r>
              <w:rPr>
                <w:rFonts w:ascii="Calibri" w:cs="Calibri" w:eastAsia="Calibri" w:hAnsi="Calibri"/>
                <w:color w:val="1A1A1A"/>
                <w:sz w:val="20"/>
                <w:szCs w:val="20"/>
              </w:rPr>
              <w:t xml:space="preserve">Wastewater and Environmental Surveillance — terme OMS/Africa CDC pour la WBE + surveillance environnementale.</w:t>
            </w:r>
          </w:p>
        </w:tc>
      </w:tr>
    </w:tbl>
    <w:p>
      <w:pPr>
        <w:spacing w:before="50" w:after="50"/>
      </w:pPr>
      <w:r>
        <w:rPr>
          <w:rFonts w:ascii="Calibri" w:cs="Calibri" w:eastAsia="Calibri" w:hAnsi="Calibri"/>
          <w:color w:val="1A1A1A"/>
          <w:sz w:val="22"/>
          <w:szCs w:val="22"/>
        </w:rPr>
        <w:t xml:space="preserve"/>
      </w:r>
    </w:p>
    <w:sectPr>
      <w:pgSz w:w="12240" w:h="15840"/>
      <w:pgMar w:top="1440" w:right="1080" w:bottom="1440" w:left="108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4"/>
      </w:pBdr>
      <w:jc w:val="center"/>
    </w:pPr>
    <w:r>
      <w:rPr>
        <w:rFonts w:ascii="Calibri" w:cs="Calibri" w:eastAsia="Calibri" w:hAnsi="Calibri"/>
        <w:color w:val="888888"/>
        <w:sz w:val="18"/>
        <w:szCs w:val="18"/>
      </w:rPr>
      <w:t xml:space="preserve">AquaVigil-WA · Document de Référence Équipe · Version 1.2  ·  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6B3A"/>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00796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E8B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2026-06-25T15:07:36.534Z</dcterms:created>
  <dcterms:modified xsi:type="dcterms:W3CDTF">2026-06-25T15:07:36.550Z</dcterms:modified>
</cp:coreProperties>
</file>

<file path=docProps/custom.xml><?xml version="1.0" encoding="utf-8"?>
<Properties xmlns="http://schemas.openxmlformats.org/officeDocument/2006/custom-properties" xmlns:vt="http://schemas.openxmlformats.org/officeDocument/2006/docPropsVTypes"/>
</file>