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4F72"/>
          <w:sz w:val="48"/>
        </w:rPr>
        <w:t>AquaVigil-WA</w:t>
      </w:r>
    </w:p>
    <w:p>
      <w:pPr>
        <w:jc w:val="center"/>
      </w:pPr>
      <w:r>
        <w:rPr>
          <w:color w:val="2E86C1"/>
          <w:sz w:val="32"/>
        </w:rPr>
        <w:t>Références Scientifiques &amp; Veille Bibliographique</w:t>
      </w:r>
    </w:p>
    <w:p>
      <w:pPr>
        <w:jc w:val="center"/>
      </w:pPr>
      <w:r>
        <w:rPr>
          <w:i/>
          <w:color w:val="555555"/>
          <w:sz w:val="20"/>
        </w:rPr>
        <w:t>Document de travail — Équipe AquaVigil-WA · Lomé, Togo · Juillet 2026</w:t>
      </w:r>
    </w:p>
    <w:p/>
    <w:p>
      <w:pPr>
        <w:ind w:left="567" w:right="567"/>
      </w:pPr>
      <w:r>
        <w:rPr>
          <w:i/>
          <w:sz w:val="18"/>
        </w:rPr>
        <w:t>📌 Usage : Ce document est destiné principalement à Membre 2 (épidémiologiste) pour l'Introduction et la Discussion de l'article scientifique, et à Membre 4 (biologiste) pour les sections Matériel &amp; Méthodes. Il constitue la base bibliographique du projet et doit être complété au fil de l'avancement.</w:t>
      </w:r>
    </w:p>
    <w:p>
      <w:r>
        <w:br w:type="page"/>
      </w:r>
    </w:p>
    <w:p>
      <w:pPr>
        <w:pStyle w:val="Heading1"/>
      </w:pPr>
      <w:r>
        <w:rPr>
          <w:color w:val="1B4F72"/>
        </w:rPr>
        <w:t>1. Contexte &amp; Justification WBE en Afrique de l'Ouest</w:t>
      </w:r>
    </w:p>
    <w:p>
      <w:r>
        <w:rPr>
          <w:i/>
          <w:sz w:val="18"/>
        </w:rPr>
        <w:t>Ces articles fournissent les arguments scientifiques pour justifier la WBE comme outil de surveillance épidémiologique dans les pays à faible revenu. Ils couvrent les lacunes documentées en Afrique de l'Ouest et l'état de l'art global. À utiliser pour l'Introduction et la Discussion de l'article AquaVigil-WA.</w:t>
      </w:r>
    </w:p>
    <w:p/>
    <w:p>
      <w:r>
        <w:rPr>
          <w:b/>
          <w:color w:val="1A5276"/>
          <w:sz w:val="20"/>
        </w:rPr>
        <w:t xml:space="preserve">[01] </w:t>
      </w:r>
      <w:r>
        <w:rPr>
          <w:b/>
          <w:sz w:val="20"/>
        </w:rPr>
        <w:t>Wastewater metagenomics in Africa: Opportunities and challenges</w:t>
      </w:r>
    </w:p>
    <w:p>
      <w:pPr>
        <w:spacing w:before="0"/>
      </w:pPr>
      <w:r>
        <w:rPr>
          <w:i/>
          <w:color w:val="555555"/>
          <w:sz w:val="18"/>
        </w:rPr>
        <w:t>Divers auteurs — PMC / revue internationale, 2024</w:t>
      </w:r>
    </w:p>
    <w:p>
      <w:pPr>
        <w:spacing w:before="0"/>
      </w:pPr>
      <w:r>
        <w:rPr>
          <w:color w:val="2471A3"/>
          <w:sz w:val="16"/>
        </w:rPr>
        <w:t>🔗 https://pmc.ncbi.nlm.nih.gov/articles/PMC11661620/</w:t>
      </w:r>
    </w:p>
    <w:p>
      <w:pPr>
        <w:spacing w:before="40"/>
      </w:pPr>
      <w:r>
        <w:rPr>
          <w:b/>
          <w:sz w:val="18"/>
        </w:rPr>
        <w:t xml:space="preserve">Résumé : </w:t>
      </w:r>
      <w:r>
        <w:rPr>
          <w:sz w:val="18"/>
        </w:rPr>
        <w:t>Synthèse complète des opportunités et défis de la métagénomique des eaux usées en contexte africain. Couvre l'infrastructure, la capacité bioinformatique, les pathogènes prioritaires et les barrières institutionnelles.</w:t>
      </w:r>
    </w:p>
    <w:p>
      <w:pPr>
        <w:spacing w:before="40"/>
      </w:pPr>
      <w:r>
        <w:rPr>
          <w:b/>
          <w:color w:val="117A65"/>
          <w:sz w:val="18"/>
        </w:rPr>
        <w:t xml:space="preserve">Pertinence AquaVigil-WA : </w:t>
      </w:r>
      <w:r>
        <w:rPr>
          <w:sz w:val="18"/>
        </w:rPr>
        <w:t>Argument central pour justifier le projet AquaVigil-WA. À citer dans l'Introduction pour démontrer la pertinence de la WBE en Afrique subsaharienne et les lacunes que nous comblons.</w:t>
      </w:r>
    </w:p>
    <w:p>
      <w:pPr>
        <w:spacing w:before="40"/>
      </w:pPr>
      <w:r>
        <w:rPr>
          <w:color w:val="7D6608"/>
          <w:sz w:val="16"/>
        </w:rPr>
        <w:t>Tags : #WBE #Afrique #métagénomique #contexte #Introduction</w:t>
      </w:r>
    </w:p>
    <w:p/>
    <w:p>
      <w:r>
        <w:rPr>
          <w:b/>
          <w:color w:val="1A5276"/>
          <w:sz w:val="20"/>
        </w:rPr>
        <w:t xml:space="preserve">[02] </w:t>
      </w:r>
      <w:r>
        <w:rPr>
          <w:b/>
          <w:sz w:val="20"/>
        </w:rPr>
        <w:t>Advancing wastewater and environmental surveillance in low- and middle-income countries</w:t>
      </w:r>
    </w:p>
    <w:p>
      <w:pPr>
        <w:spacing w:before="0"/>
      </w:pPr>
      <w:r>
        <w:rPr>
          <w:i/>
          <w:color w:val="555555"/>
          <w:sz w:val="18"/>
        </w:rPr>
        <w:t>Divers auteurs — npj Clean Water (Nature), 2025</w:t>
      </w:r>
    </w:p>
    <w:p>
      <w:pPr>
        <w:spacing w:before="0"/>
      </w:pPr>
      <w:r>
        <w:rPr>
          <w:color w:val="2471A3"/>
          <w:sz w:val="16"/>
        </w:rPr>
        <w:t>🔗 https://www.nature.com/articles/s41545-025-00523-w</w:t>
      </w:r>
    </w:p>
    <w:p>
      <w:pPr>
        <w:spacing w:before="40"/>
      </w:pPr>
      <w:r>
        <w:rPr>
          <w:b/>
          <w:sz w:val="18"/>
        </w:rPr>
        <w:t xml:space="preserve">Résumé : </w:t>
      </w:r>
      <w:r>
        <w:rPr>
          <w:sz w:val="18"/>
        </w:rPr>
        <w:t>Revue systématique des adaptations nécessaires pour déployer la WBE dans les LMIC : absence de réseau d'égouts formalisé, coût du séquençage, formation bioinformatique, intégration aux systèmes de santé.</w:t>
      </w:r>
    </w:p>
    <w:p>
      <w:pPr>
        <w:spacing w:before="40"/>
      </w:pPr>
      <w:r>
        <w:rPr>
          <w:b/>
          <w:color w:val="117A65"/>
          <w:sz w:val="18"/>
        </w:rPr>
        <w:t xml:space="preserve">Pertinence AquaVigil-WA : </w:t>
      </w:r>
      <w:r>
        <w:rPr>
          <w:sz w:val="18"/>
        </w:rPr>
        <w:t>Soutient le choix architectural d'AquaVigil-WA (pipeline local, matériel modeste, sites non-raccordés). À citer en Introduction et Discussion.</w:t>
      </w:r>
    </w:p>
    <w:p>
      <w:pPr>
        <w:spacing w:before="40"/>
      </w:pPr>
      <w:r>
        <w:rPr>
          <w:color w:val="7D6608"/>
          <w:sz w:val="16"/>
        </w:rPr>
        <w:t>Tags : #WBE #LMIC #faisabilité #adaptation #Introduction #Discussion</w:t>
      </w:r>
    </w:p>
    <w:p/>
    <w:p>
      <w:r>
        <w:rPr>
          <w:b/>
          <w:color w:val="1A5276"/>
          <w:sz w:val="20"/>
        </w:rPr>
        <w:t xml:space="preserve">[03] </w:t>
      </w:r>
      <w:r>
        <w:rPr>
          <w:b/>
          <w:sz w:val="20"/>
        </w:rPr>
        <w:t>Community-led standards for global wastewater-based epidemiological surveillance</w:t>
      </w:r>
    </w:p>
    <w:p>
      <w:pPr>
        <w:spacing w:before="0"/>
      </w:pPr>
      <w:r>
        <w:rPr>
          <w:i/>
          <w:color w:val="555555"/>
          <w:sz w:val="18"/>
        </w:rPr>
        <w:t>PHA4GE Wastewater Surveillance Working Group — PMC, 2025</w:t>
      </w:r>
    </w:p>
    <w:p>
      <w:pPr>
        <w:spacing w:before="0"/>
      </w:pPr>
      <w:r>
        <w:rPr>
          <w:color w:val="2471A3"/>
          <w:sz w:val="16"/>
        </w:rPr>
        <w:t>🔗 https://pmc.ncbi.nlm.nih.gov/articles/PMC13095016/</w:t>
      </w:r>
    </w:p>
    <w:p>
      <w:pPr>
        <w:spacing w:before="40"/>
      </w:pPr>
      <w:r>
        <w:rPr>
          <w:b/>
          <w:sz w:val="18"/>
        </w:rPr>
        <w:t xml:space="preserve">Résumé : </w:t>
      </w:r>
      <w:r>
        <w:rPr>
          <w:sz w:val="18"/>
        </w:rPr>
        <w:t>Présente les standards communautaires PHA4GE pour les métadonnées WBE, l'interopérabilité des données et la soumission aux dépôts publics (NCBI SRA, ENA). Définit les champs minimaux requis.</w:t>
      </w:r>
    </w:p>
    <w:p>
      <w:pPr>
        <w:spacing w:before="40"/>
      </w:pPr>
      <w:r>
        <w:rPr>
          <w:b/>
          <w:color w:val="117A65"/>
          <w:sz w:val="18"/>
        </w:rPr>
        <w:t xml:space="preserve">Pertinence AquaVigil-WA : </w:t>
      </w:r>
      <w:r>
        <w:rPr>
          <w:sz w:val="18"/>
        </w:rPr>
        <w:t>AquaVigil-WA DOIT être conforme PHA4GE pour être publiable et interopérable. Le Membre 1 doit intégrer ces métadonnées dans le format de sortie de la Brique 2. À citer en Méthodes.</w:t>
      </w:r>
    </w:p>
    <w:p>
      <w:pPr>
        <w:spacing w:before="40"/>
      </w:pPr>
      <w:r>
        <w:rPr>
          <w:color w:val="7D6608"/>
          <w:sz w:val="16"/>
        </w:rPr>
        <w:t>Tags : #PHA4GE #standards #métadonnées #interopérabilité #Méthodes</w:t>
      </w:r>
    </w:p>
    <w:p/>
    <w:p>
      <w:r>
        <w:rPr>
          <w:b/>
          <w:color w:val="1A5276"/>
          <w:sz w:val="20"/>
        </w:rPr>
        <w:t xml:space="preserve">[04] </w:t>
      </w:r>
      <w:r>
        <w:rPr>
          <w:b/>
          <w:sz w:val="20"/>
        </w:rPr>
        <w:t>WHO WES Guidance: Wastewater and Environmental Surveillance for one or more pathogens — Guidance on prioritization, implementation and integration (Pilot version)</w:t>
      </w:r>
    </w:p>
    <w:p>
      <w:pPr>
        <w:spacing w:before="0"/>
      </w:pPr>
      <w:r>
        <w:rPr>
          <w:i/>
          <w:color w:val="555555"/>
          <w:sz w:val="18"/>
        </w:rPr>
        <w:t>Organisation Mondiale de la Santé (OMS) — WHO Publication, Décembre 2024</w:t>
      </w:r>
    </w:p>
    <w:p>
      <w:pPr>
        <w:spacing w:before="0"/>
      </w:pPr>
      <w:r>
        <w:rPr>
          <w:color w:val="2471A3"/>
          <w:sz w:val="16"/>
        </w:rPr>
        <w:t>🔗 https://cdn.who.int/media/docs/default-source/wash-documents/wash-related-diseases/wes-for-one-or-more-pathogens--guidance-on-prioritization--implementation-and-integration--pilot-version6dec2024.pdf</w:t>
      </w:r>
    </w:p>
    <w:p>
      <w:pPr>
        <w:spacing w:before="40"/>
      </w:pPr>
      <w:r>
        <w:rPr>
          <w:b/>
          <w:sz w:val="18"/>
        </w:rPr>
        <w:t xml:space="preserve">Résumé : </w:t>
      </w:r>
      <w:r>
        <w:rPr>
          <w:sz w:val="18"/>
        </w:rPr>
        <w:t>Guide opérationnel de l'OMS pour la mise en œuvre de la WES multi-pathogènes. Couvre le choix des sites, les méthodes d'échantillonnage, l'intégration aux systèmes de santé nationaux et les seuils d'alerte.</w:t>
      </w:r>
    </w:p>
    <w:p>
      <w:pPr>
        <w:spacing w:before="40"/>
      </w:pPr>
      <w:r>
        <w:rPr>
          <w:b/>
          <w:color w:val="117A65"/>
          <w:sz w:val="18"/>
        </w:rPr>
        <w:t xml:space="preserve">Pertinence AquaVigil-WA : </w:t>
      </w:r>
      <w:r>
        <w:rPr>
          <w:sz w:val="18"/>
        </w:rPr>
        <w:t>Document de référence normatif pour le Protocole Standard de Prélèvement (PSP) du Membre 2 et pour le cadre institutionnel. À citer en Méthodes.</w:t>
      </w:r>
    </w:p>
    <w:p>
      <w:pPr>
        <w:spacing w:before="40"/>
      </w:pPr>
      <w:r>
        <w:rPr>
          <w:color w:val="7D6608"/>
          <w:sz w:val="16"/>
        </w:rPr>
        <w:t>Tags : #OMS #WES #protocole #normatif #Méthodes #terrain</w:t>
      </w:r>
    </w:p>
    <w:p/>
    <w:p>
      <w:r>
        <w:br w:type="page"/>
      </w:r>
    </w:p>
    <w:p>
      <w:pPr>
        <w:pStyle w:val="Heading1"/>
      </w:pPr>
      <w:r>
        <w:rPr>
          <w:color w:val="1B4F72"/>
        </w:rPr>
        <w:t>2. Modèle Burkina Faso — Analyse Critique</w:t>
      </w:r>
    </w:p>
    <w:p>
      <w:r>
        <w:rPr>
          <w:i/>
          <w:sz w:val="18"/>
        </w:rPr>
        <w:t>Articles publiés par ou sur le programme de surveillance par eaux usées du Burkina Faso. Section cruciale pour la Discussion : démontrer que AquaVigil-WA va plus loin. ⚠️ Le programme burkinabè est fragmenté : polio géré à Dakar, AMR en milieu hospitalier uniquement, aucun pipeline bioinformatique public.</w:t>
      </w:r>
    </w:p>
    <w:p/>
    <w:p>
      <w:r>
        <w:rPr>
          <w:b/>
          <w:color w:val="1A5276"/>
          <w:sz w:val="20"/>
        </w:rPr>
        <w:t xml:space="preserve">[05] </w:t>
      </w:r>
      <w:r>
        <w:rPr>
          <w:b/>
          <w:sz w:val="20"/>
        </w:rPr>
        <w:t>Wastewater from healthcare centers in Burkina Faso is a source of ESBL, AmpC-β-lactamase and carbapenemase-producing Escherichia coli and Klebsiella pneumoniae</w:t>
      </w:r>
    </w:p>
    <w:p>
      <w:pPr>
        <w:spacing w:before="0"/>
      </w:pPr>
      <w:r>
        <w:rPr>
          <w:i/>
          <w:color w:val="555555"/>
          <w:sz w:val="18"/>
        </w:rPr>
        <w:t>Bonkoungou et al. — BMC Microbiology, 2023</w:t>
      </w:r>
    </w:p>
    <w:p>
      <w:pPr>
        <w:spacing w:before="0"/>
      </w:pPr>
      <w:r>
        <w:rPr>
          <w:color w:val="2471A3"/>
          <w:sz w:val="16"/>
        </w:rPr>
        <w:t>🔗 https://bmcmicrobiol.biomedcentral.com/articles/10.1186/s12866-023-03108-0</w:t>
      </w:r>
    </w:p>
    <w:p>
      <w:pPr>
        <w:spacing w:before="40"/>
      </w:pPr>
      <w:r>
        <w:rPr>
          <w:b/>
          <w:sz w:val="18"/>
        </w:rPr>
        <w:t xml:space="preserve">Résumé : </w:t>
      </w:r>
      <w:r>
        <w:rPr>
          <w:sz w:val="18"/>
        </w:rPr>
        <w:t>Détection de bactéries productrices de β-lactamases dans les effluents de 5 centres de santé à Ouagadougou. Méthode : culture sélective ChromAgar + PCR de confirmation. Limite : uniquement milieu hospitalier.</w:t>
      </w:r>
    </w:p>
    <w:p>
      <w:pPr>
        <w:spacing w:before="40"/>
      </w:pPr>
      <w:r>
        <w:rPr>
          <w:b/>
          <w:color w:val="117A65"/>
          <w:sz w:val="18"/>
        </w:rPr>
        <w:t xml:space="preserve">Pertinence AquaVigil-WA : </w:t>
      </w:r>
      <w:r>
        <w:rPr>
          <w:sz w:val="18"/>
        </w:rPr>
        <w:t>Démontre la faisabilité de la surveillance AMR par eaux usées au Burkina. Sert de baseline de comparaison : AquaVigil-WA élargit au niveau communautaire (canaux, marchés). Citer en Introduction pour positionner notre avancée.</w:t>
      </w:r>
    </w:p>
    <w:p>
      <w:pPr>
        <w:spacing w:before="40"/>
      </w:pPr>
      <w:r>
        <w:rPr>
          <w:color w:val="7D6608"/>
          <w:sz w:val="16"/>
        </w:rPr>
        <w:t>Tags : #BurkinaFaso #AMR #ESBL #carbapenemase #hospitalier #baseline</w:t>
      </w:r>
    </w:p>
    <w:p/>
    <w:p>
      <w:r>
        <w:rPr>
          <w:b/>
          <w:color w:val="1A5276"/>
          <w:sz w:val="20"/>
        </w:rPr>
        <w:t xml:space="preserve">[06] </w:t>
      </w:r>
      <w:r>
        <w:rPr>
          <w:b/>
          <w:sz w:val="20"/>
        </w:rPr>
        <w:t>Detection and Characterization of Carbapenemase-Producing E. coli and Klebsiella pneumoniae from Hospital Effluents of Ouagadougou, Burkina Faso</w:t>
      </w:r>
    </w:p>
    <w:p>
      <w:pPr>
        <w:spacing w:before="0"/>
      </w:pPr>
      <w:r>
        <w:rPr>
          <w:i/>
          <w:color w:val="555555"/>
          <w:sz w:val="18"/>
        </w:rPr>
        <w:t>Sanou et al. — Antibiotics (MDPI), 2023</w:t>
      </w:r>
    </w:p>
    <w:p>
      <w:pPr>
        <w:spacing w:before="0"/>
      </w:pPr>
      <w:r>
        <w:rPr>
          <w:color w:val="2471A3"/>
          <w:sz w:val="16"/>
        </w:rPr>
        <w:t>🔗 https://doi.org/10.3390/antibiotics12101494</w:t>
      </w:r>
    </w:p>
    <w:p>
      <w:pPr>
        <w:spacing w:before="40"/>
      </w:pPr>
      <w:r>
        <w:rPr>
          <w:b/>
          <w:sz w:val="18"/>
        </w:rPr>
        <w:t xml:space="preserve">Résumé : </w:t>
      </w:r>
      <w:r>
        <w:rPr>
          <w:sz w:val="18"/>
        </w:rPr>
        <w:t>Confirmation de carbapénémases (NDM, OXA-48) dans les eaux usées hospitalières d'Ouagadougou. Résistances à risque critique (classement OMS). Méthode : disque-diffusion + PCR.</w:t>
      </w:r>
    </w:p>
    <w:p>
      <w:pPr>
        <w:spacing w:before="40"/>
      </w:pPr>
      <w:r>
        <w:rPr>
          <w:b/>
          <w:color w:val="117A65"/>
          <w:sz w:val="18"/>
        </w:rPr>
        <w:t xml:space="preserve">Pertinence AquaVigil-WA : </w:t>
      </w:r>
      <w:r>
        <w:rPr>
          <w:sz w:val="18"/>
        </w:rPr>
        <w:t>Appuie l'urgence de surveiller l'AMR dans les eaux usées en Afrique de l'Ouest. À citer dans l'Introduction pour contextualiser le risque AMR au Togo.</w:t>
      </w:r>
    </w:p>
    <w:p>
      <w:pPr>
        <w:spacing w:before="40"/>
      </w:pPr>
      <w:r>
        <w:rPr>
          <w:color w:val="7D6608"/>
          <w:sz w:val="16"/>
        </w:rPr>
        <w:t>Tags : #BurkinaFaso #AMR #carbapenemase #NDM #OXA48 #Introduction</w:t>
      </w:r>
    </w:p>
    <w:p/>
    <w:p>
      <w:r>
        <w:rPr>
          <w:b/>
          <w:color w:val="1A5276"/>
          <w:sz w:val="20"/>
        </w:rPr>
        <w:t xml:space="preserve">[07] </w:t>
      </w:r>
      <w:r>
        <w:rPr>
          <w:b/>
          <w:sz w:val="20"/>
        </w:rPr>
        <w:t>Metagenomic Analysis of the Abundance and Composition of Antibiotic Resistance Genes in Hospital Wastewater in Benin, Burkina Faso, and Finland</w:t>
      </w:r>
    </w:p>
    <w:p>
      <w:pPr>
        <w:spacing w:before="0"/>
      </w:pPr>
      <w:r>
        <w:rPr>
          <w:i/>
          <w:color w:val="555555"/>
          <w:sz w:val="18"/>
        </w:rPr>
        <w:t>Parnanen et al. (collaboration Univ. Turku / UJKZ Burkina) — mSphere (ASM), 2023</w:t>
      </w:r>
    </w:p>
    <w:p>
      <w:pPr>
        <w:spacing w:before="0"/>
      </w:pPr>
      <w:r>
        <w:rPr>
          <w:color w:val="2471A3"/>
          <w:sz w:val="16"/>
        </w:rPr>
        <w:t>🔗 https://journals.asm.org/doi/10.1128/msphere.00538-22</w:t>
      </w:r>
    </w:p>
    <w:p>
      <w:pPr>
        <w:spacing w:before="40"/>
      </w:pPr>
      <w:r>
        <w:rPr>
          <w:b/>
          <w:sz w:val="18"/>
        </w:rPr>
        <w:t xml:space="preserve">Résumé : </w:t>
      </w:r>
      <w:r>
        <w:rPr>
          <w:sz w:val="18"/>
        </w:rPr>
        <w:t>Métagénomique shotgun Illumina des eaux usées hospitalières. Profils de résistome comparés entre pays. Burkina Faso présente une charge de gènes de résistance nettement supérieure à la Finlande. Inclut analyse du mobilome (éléments mobiles de transfert horizontal).</w:t>
      </w:r>
    </w:p>
    <w:p>
      <w:pPr>
        <w:spacing w:before="40"/>
      </w:pPr>
      <w:r>
        <w:rPr>
          <w:b/>
          <w:color w:val="117A65"/>
          <w:sz w:val="18"/>
        </w:rPr>
        <w:t xml:space="preserve">Pertinence AquaVigil-WA : </w:t>
      </w:r>
      <w:r>
        <w:rPr>
          <w:sz w:val="18"/>
        </w:rPr>
        <w:t>Premier article métagénomique Burkina Faso sur les eaux usées. Utile comme référence méthodologique pour la Brique 1 (métagénomique shotgun). Démontre la faisabilité en LMIC. À citer en Méthodes et Discussion.</w:t>
      </w:r>
    </w:p>
    <w:p>
      <w:pPr>
        <w:spacing w:before="40"/>
      </w:pPr>
      <w:r>
        <w:rPr>
          <w:color w:val="7D6608"/>
          <w:sz w:val="16"/>
        </w:rPr>
        <w:t>Tags : #BurkinaFaso #métagénomique #AMR #résistome #mobilome #Méthodes</w:t>
      </w:r>
    </w:p>
    <w:p/>
    <w:p>
      <w:r>
        <w:rPr>
          <w:b/>
          <w:color w:val="1A5276"/>
          <w:sz w:val="20"/>
        </w:rPr>
        <w:t xml:space="preserve">[08] </w:t>
      </w:r>
      <w:r>
        <w:rPr>
          <w:b/>
          <w:sz w:val="20"/>
        </w:rPr>
        <w:t>Metagenomic analysis of antimicrobial resistance genes in wastewaters in Benin and Burkina Faso indicates a serious health risk from untreated hospital wastewaters in low-income countries</w:t>
      </w:r>
    </w:p>
    <w:p>
      <w:pPr>
        <w:spacing w:before="0"/>
      </w:pPr>
      <w:r>
        <w:rPr>
          <w:i/>
          <w:color w:val="555555"/>
          <w:sz w:val="18"/>
        </w:rPr>
        <w:t>Parnanen et al. — medRxiv (preprint v7), 2021-2023</w:t>
      </w:r>
    </w:p>
    <w:p>
      <w:pPr>
        <w:spacing w:before="0"/>
      </w:pPr>
      <w:r>
        <w:rPr>
          <w:color w:val="2471A3"/>
          <w:sz w:val="16"/>
        </w:rPr>
        <w:t>🔗 https://www.medrxiv.org/content/10.1101/2021.10.19.21265183v7.full</w:t>
      </w:r>
    </w:p>
    <w:p>
      <w:pPr>
        <w:spacing w:before="40"/>
      </w:pPr>
      <w:r>
        <w:rPr>
          <w:b/>
          <w:sz w:val="18"/>
        </w:rPr>
        <w:t xml:space="preserve">Résumé : </w:t>
      </w:r>
      <w:r>
        <w:rPr>
          <w:sz w:val="18"/>
        </w:rPr>
        <w:t>Version preprint étendue de l'article mSphere. Données brutes + analyses supplémentaires disponibles. Inclut les séquences déposées sur NCBI SRA — potentiellement utilisables comme données de validation.</w:t>
      </w:r>
    </w:p>
    <w:p>
      <w:pPr>
        <w:spacing w:before="40"/>
      </w:pPr>
      <w:r>
        <w:rPr>
          <w:b/>
          <w:color w:val="117A65"/>
          <w:sz w:val="18"/>
        </w:rPr>
        <w:t xml:space="preserve">Pertinence AquaVigil-WA : </w:t>
      </w:r>
      <w:r>
        <w:rPr>
          <w:sz w:val="18"/>
        </w:rPr>
        <w:t>Les données NCBI SRA de ce preprint peuvent servir pour la Phase 2 d'AquaVigil-WA (validation pipeline sur données Afrique de l'Ouest réelles). À vérifier en priorité.</w:t>
      </w:r>
    </w:p>
    <w:p>
      <w:pPr>
        <w:spacing w:before="40"/>
      </w:pPr>
      <w:r>
        <w:rPr>
          <w:color w:val="7D6608"/>
          <w:sz w:val="16"/>
        </w:rPr>
        <w:t>Tags : #BurkinaFaso #preprint #données #NCBI_SRA #Phase2 #validation</w:t>
      </w:r>
    </w:p>
    <w:p/>
    <w:p>
      <w:r>
        <w:rPr>
          <w:b/>
          <w:color w:val="1A5276"/>
          <w:sz w:val="20"/>
        </w:rPr>
        <w:t xml:space="preserve">[09] </w:t>
      </w:r>
      <w:r>
        <w:rPr>
          <w:b/>
          <w:sz w:val="20"/>
        </w:rPr>
        <w:t>Challenges and opportunities of developing bioinformatics platforms in Africa: the case of BurkinaBioinfo at Joseph Ki-Zerbo University</w:t>
      </w:r>
    </w:p>
    <w:p>
      <w:pPr>
        <w:spacing w:before="0"/>
      </w:pPr>
      <w:r>
        <w:rPr>
          <w:i/>
          <w:color w:val="555555"/>
          <w:sz w:val="18"/>
        </w:rPr>
        <w:t>Équipe BurkinaBioinfo (UJKZ / CNRST) — Briefings in Bioinformatics, 2025</w:t>
      </w:r>
    </w:p>
    <w:p>
      <w:pPr>
        <w:spacing w:before="0"/>
      </w:pPr>
      <w:r>
        <w:rPr>
          <w:color w:val="2471A3"/>
          <w:sz w:val="16"/>
        </w:rPr>
        <w:t>🔗 https://pmc.ncbi.nlm.nih.gov/articles/PMC11789681/</w:t>
      </w:r>
    </w:p>
    <w:p>
      <w:pPr>
        <w:spacing w:before="40"/>
      </w:pPr>
      <w:r>
        <w:rPr>
          <w:b/>
          <w:sz w:val="18"/>
        </w:rPr>
        <w:t xml:space="preserve">Résumé : </w:t>
      </w:r>
      <w:r>
        <w:rPr>
          <w:sz w:val="18"/>
        </w:rPr>
        <w:t>Décrit la plateforme bioinformatique nationale du Burkina Faso : 105 utilisateurs, 250+ scientifiques formés, accès HPC. Couvre métagénomique, phylogénétique, OMICs. Pas d'intégration opérationnelle WBE documentée.</w:t>
      </w:r>
    </w:p>
    <w:p>
      <w:pPr>
        <w:spacing w:before="40"/>
      </w:pPr>
      <w:r>
        <w:rPr>
          <w:b/>
          <w:color w:val="117A65"/>
          <w:sz w:val="18"/>
        </w:rPr>
        <w:t xml:space="preserve">Pertinence AquaVigil-WA : </w:t>
      </w:r>
      <w:r>
        <w:rPr>
          <w:sz w:val="18"/>
        </w:rPr>
        <w:t>Démontre que le Burkina n'a pas de pipeline WBE dédié et public. AquaVigil-WA peut se positionner comme le premier pipeline WBE open-source d'Afrique de l'Ouest avec un repo GitHub public. Argument clé pour la Discussion.</w:t>
      </w:r>
    </w:p>
    <w:p>
      <w:pPr>
        <w:spacing w:before="40"/>
      </w:pPr>
      <w:r>
        <w:rPr>
          <w:color w:val="7D6608"/>
          <w:sz w:val="16"/>
        </w:rPr>
        <w:t>Tags : #BurkinaFaso #bioinformatique #pipeline #lacune #positionnement #Discussion</w:t>
      </w:r>
    </w:p>
    <w:p/>
    <w:p>
      <w:r>
        <w:br w:type="page"/>
      </w:r>
    </w:p>
    <w:p>
      <w:pPr>
        <w:pStyle w:val="Heading1"/>
      </w:pPr>
      <w:r>
        <w:rPr>
          <w:color w:val="1B4F72"/>
        </w:rPr>
        <w:t>3. Projet ODIN — Pipeline Mobile &amp; Terrain Africain</w:t>
      </w:r>
    </w:p>
    <w:p>
      <w:r>
        <w:rPr>
          <w:i/>
          <w:sz w:val="18"/>
        </w:rPr>
        <w:t>Le projet ODIN (EU EDCTP3) développe des workflows de laboratoire mobile pour la surveillance WBE en Afrique subsaharienne (Burkina Faso, DRC, Tanzanie). Ces articles décrivent les protocoles validés sur le terrain africain. À lire IMPÉRATIVEMENT avant de finaliser le protocole de prélèvement.</w:t>
      </w:r>
    </w:p>
    <w:p/>
    <w:p>
      <w:r>
        <w:rPr>
          <w:b/>
          <w:color w:val="1A5276"/>
          <w:sz w:val="20"/>
        </w:rPr>
        <w:t xml:space="preserve">[10] </w:t>
      </w:r>
      <w:r>
        <w:rPr>
          <w:b/>
          <w:sz w:val="20"/>
        </w:rPr>
        <w:t>Project ODIN: advancing environmental genomic surveillance for public health across sub-Saharan Africa</w:t>
      </w:r>
    </w:p>
    <w:p>
      <w:pPr>
        <w:spacing w:before="0"/>
      </w:pPr>
      <w:r>
        <w:rPr>
          <w:i/>
          <w:color w:val="555555"/>
          <w:sz w:val="18"/>
        </w:rPr>
        <w:t>Consortium ODIN — The Lancet Microbe, 2026</w:t>
      </w:r>
    </w:p>
    <w:p>
      <w:pPr>
        <w:spacing w:before="0"/>
      </w:pPr>
      <w:r>
        <w:rPr>
          <w:color w:val="2471A3"/>
          <w:sz w:val="16"/>
        </w:rPr>
        <w:t>🔗 https://www.thelancet.com/journals/lanmic/article/PIIS2666-5247(26)00081-9/fulltext</w:t>
      </w:r>
    </w:p>
    <w:p>
      <w:pPr>
        <w:spacing w:before="40"/>
      </w:pPr>
      <w:r>
        <w:rPr>
          <w:b/>
          <w:sz w:val="18"/>
        </w:rPr>
        <w:t xml:space="preserve">Résumé : </w:t>
      </w:r>
      <w:r>
        <w:rPr>
          <w:sz w:val="18"/>
        </w:rPr>
        <w:t>Présentation du projet ODIN dans The Lancet : objectifs, consortium (Burkina Faso, DRC, Tanzanie), approche multi-pathogènes, pipeline bioinformatique mobile (Illumina + ONT), dashboard MoH. Impact Factor ~20 — citation de référence internationale.</w:t>
      </w:r>
    </w:p>
    <w:p>
      <w:pPr>
        <w:spacing w:before="40"/>
      </w:pPr>
      <w:r>
        <w:rPr>
          <w:b/>
          <w:color w:val="117A65"/>
          <w:sz w:val="18"/>
        </w:rPr>
        <w:t xml:space="preserve">Pertinence AquaVigil-WA : </w:t>
      </w:r>
      <w:r>
        <w:rPr>
          <w:sz w:val="18"/>
        </w:rPr>
        <w:t>Concurrent direct d'AquaVigil-WA mais centré sur des pays plus grands avec soutien EU. À citer pour montrer que notre approche s'inscrit dans la tendance internationale tout en étant souveraine et open-source. Lire pour différencier notre pipeline du leur. The Lancet Microbe pourrait être une cible de soumission ambitieuse.</w:t>
      </w:r>
    </w:p>
    <w:p>
      <w:pPr>
        <w:spacing w:before="40"/>
      </w:pPr>
      <w:r>
        <w:rPr>
          <w:color w:val="7D6608"/>
          <w:sz w:val="16"/>
        </w:rPr>
        <w:t>Tags : #ODIN #pipeline #terrain #Afrique #mobile #Lancet #Discussion</w:t>
      </w:r>
    </w:p>
    <w:p/>
    <w:p>
      <w:r>
        <w:rPr>
          <w:b/>
          <w:color w:val="1A5276"/>
          <w:sz w:val="20"/>
        </w:rPr>
        <w:t xml:space="preserve">[11] </w:t>
      </w:r>
      <w:r>
        <w:rPr>
          <w:b/>
          <w:sz w:val="20"/>
        </w:rPr>
        <w:t>Development and Validation of a Mobile Laboratory Workflows for Wastewater and Environmental Surveillance with Application in Sub Saharan Africa</w:t>
      </w:r>
    </w:p>
    <w:p>
      <w:pPr>
        <w:spacing w:before="0"/>
      </w:pPr>
      <w:r>
        <w:rPr>
          <w:i/>
          <w:color w:val="555555"/>
          <w:sz w:val="18"/>
        </w:rPr>
        <w:t>Consortium ODIN — medRxiv, Avril 2026</w:t>
      </w:r>
    </w:p>
    <w:p>
      <w:pPr>
        <w:spacing w:before="0"/>
      </w:pPr>
      <w:r>
        <w:rPr>
          <w:color w:val="2471A3"/>
          <w:sz w:val="16"/>
        </w:rPr>
        <w:t>🔗 https://www.medrxiv.org/content/10.64898/2026.04.01.26349919v1.full</w:t>
      </w:r>
    </w:p>
    <w:p>
      <w:pPr>
        <w:spacing w:before="40"/>
      </w:pPr>
      <w:r>
        <w:rPr>
          <w:b/>
          <w:sz w:val="18"/>
        </w:rPr>
        <w:t xml:space="preserve">Résumé : </w:t>
      </w:r>
      <w:r>
        <w:rPr>
          <w:sz w:val="18"/>
        </w:rPr>
        <w:t>Protocoles détaillés : Oxford Nanopore MinION, comparaison MDA/REPLI-g/metabarcoding, validation Mpox WGS + qPCR + métagénomique. Tests au Burkina Faso et Tanzanie. Pipeline bioinformatique offline inclus. ODIN Laboratory Handbook disponible (PDF).</w:t>
      </w:r>
    </w:p>
    <w:p>
      <w:pPr>
        <w:spacing w:before="40"/>
      </w:pPr>
      <w:r>
        <w:rPr>
          <w:b/>
          <w:color w:val="117A65"/>
          <w:sz w:val="18"/>
        </w:rPr>
        <w:t xml:space="preserve">Pertinence AquaVigil-WA : </w:t>
      </w:r>
      <w:r>
        <w:rPr>
          <w:sz w:val="18"/>
        </w:rPr>
        <w:t>⭐ LECTURE PRIORITAIRE pour Membre 4 (Biologiste). Contient les protocoles terrain validés en Afrique qu'AquaVigil-WA peut adapter. Référence méthodologique directe pour PSP. Le handbook ODIN est téléchargeable : https://media.tghn.org/medialibrary/2024/12/D2.3_ODIN_Laboratory_Handbook.pdf</w:t>
      </w:r>
    </w:p>
    <w:p>
      <w:pPr>
        <w:spacing w:before="40"/>
      </w:pPr>
      <w:r>
        <w:rPr>
          <w:color w:val="7D6608"/>
          <w:sz w:val="16"/>
        </w:rPr>
        <w:t>Tags : #ODIN #protocole #terrain #MinION #bioinformatique #PSP #Membre4 #prioritaire</w:t>
      </w:r>
    </w:p>
    <w:p/>
    <w:p>
      <w:r>
        <w:rPr>
          <w:b/>
          <w:color w:val="1A5276"/>
          <w:sz w:val="20"/>
        </w:rPr>
        <w:t xml:space="preserve">[12] </w:t>
      </w:r>
      <w:r>
        <w:rPr>
          <w:b/>
          <w:sz w:val="20"/>
        </w:rPr>
        <w:t>Strengthening pathogen and AMR surveillance through environmental monitoring in sub-Saharan Africa: stakeholder perspectives</w:t>
      </w:r>
    </w:p>
    <w:p>
      <w:pPr>
        <w:spacing w:before="0"/>
      </w:pPr>
      <w:r>
        <w:rPr>
          <w:i/>
          <w:color w:val="555555"/>
          <w:sz w:val="18"/>
        </w:rPr>
        <w:t>Consortium ODIN / partenaires africains — International Journal of Hygiene and Environmental Health, 2025</w:t>
      </w:r>
    </w:p>
    <w:p>
      <w:pPr>
        <w:spacing w:before="0"/>
      </w:pPr>
      <w:r>
        <w:rPr>
          <w:color w:val="2471A3"/>
          <w:sz w:val="16"/>
        </w:rPr>
        <w:t>🔗 https://www.sciencedirect.com/science/article/pii/S1438463925001336</w:t>
      </w:r>
    </w:p>
    <w:p>
      <w:pPr>
        <w:spacing w:before="40"/>
      </w:pPr>
      <w:r>
        <w:rPr>
          <w:b/>
          <w:sz w:val="18"/>
        </w:rPr>
        <w:t xml:space="preserve">Résumé : </w:t>
      </w:r>
      <w:r>
        <w:rPr>
          <w:sz w:val="18"/>
        </w:rPr>
        <w:t>Perspectives des parties prenantes africaines sur la WES : barrières institutionnelles, acceptabilité, intégration aux systèmes de santé. Inclut Burkina Faso, DRC, Tanzanie.</w:t>
      </w:r>
    </w:p>
    <w:p>
      <w:pPr>
        <w:spacing w:before="40"/>
      </w:pPr>
      <w:r>
        <w:rPr>
          <w:b/>
          <w:color w:val="117A65"/>
          <w:sz w:val="18"/>
        </w:rPr>
        <w:t xml:space="preserve">Pertinence AquaVigil-WA : </w:t>
      </w:r>
      <w:r>
        <w:rPr>
          <w:sz w:val="18"/>
        </w:rPr>
        <w:t>Crucial pour Membre 2 (Épidémiologiste) : fournit le cadre pour les démarches institutionnelles au Togo (Ministère, INSP, OMS bureau Lomé). À citer en Discussion sur les implications de santé publique.</w:t>
      </w:r>
    </w:p>
    <w:p>
      <w:pPr>
        <w:spacing w:before="40"/>
      </w:pPr>
      <w:r>
        <w:rPr>
          <w:color w:val="7D6608"/>
          <w:sz w:val="16"/>
        </w:rPr>
        <w:t>Tags : #WES #institutions #santé_publique #parties_prenantes #Discussion #Membre2</w:t>
      </w:r>
    </w:p>
    <w:p/>
    <w:p>
      <w:r>
        <w:br w:type="page"/>
      </w:r>
    </w:p>
    <w:p>
      <w:pPr>
        <w:pStyle w:val="Heading1"/>
      </w:pPr>
      <w:r>
        <w:rPr>
          <w:color w:val="1B4F72"/>
        </w:rPr>
        <w:t>4. WBE en Afrique de l'Ouest — État de l'Art Régional</w:t>
      </w:r>
    </w:p>
    <w:p>
      <w:r>
        <w:rPr>
          <w:i/>
          <w:sz w:val="18"/>
        </w:rPr>
        <w:t>Articles documentant les programmes WBE existants en Afrique de l'Ouest : Sénégal, Nigeria, Ghana. Indispensables pour la Discussion : démontrer qu'AquaVigil-WA est le premier pipeline souverain, open-source et multi-pathogènes du Togo et de la sous-région.</w:t>
      </w:r>
    </w:p>
    <w:p/>
    <w:p>
      <w:r>
        <w:rPr>
          <w:b/>
          <w:color w:val="1A5276"/>
          <w:sz w:val="20"/>
        </w:rPr>
        <w:t xml:space="preserve">[13] </w:t>
      </w:r>
      <w:r>
        <w:rPr>
          <w:b/>
          <w:sz w:val="20"/>
        </w:rPr>
        <w:t>High Detection Frequency of Enteric Pathogens in Wastewater — WBE in Dakar, Senegal (2023)</w:t>
      </w:r>
    </w:p>
    <w:p>
      <w:pPr>
        <w:spacing w:before="0"/>
      </w:pPr>
      <w:r>
        <w:rPr>
          <w:i/>
          <w:color w:val="555555"/>
          <w:sz w:val="18"/>
        </w:rPr>
        <w:t>Équipe Institut Pasteur de Dakar — PMC, 2025</w:t>
      </w:r>
    </w:p>
    <w:p>
      <w:pPr>
        <w:spacing w:before="0"/>
      </w:pPr>
      <w:r>
        <w:rPr>
          <w:color w:val="2471A3"/>
          <w:sz w:val="16"/>
        </w:rPr>
        <w:t>🔗 https://pmc.ncbi.nlm.nih.gov/articles/PMC13026632/</w:t>
      </w:r>
    </w:p>
    <w:p>
      <w:pPr>
        <w:spacing w:before="40"/>
      </w:pPr>
      <w:r>
        <w:rPr>
          <w:b/>
          <w:sz w:val="18"/>
        </w:rPr>
        <w:t xml:space="preserve">Résumé : </w:t>
      </w:r>
      <w:r>
        <w:rPr>
          <w:sz w:val="18"/>
        </w:rPr>
        <w:t>WBE à Dakar : 51 échantillons (juin–déc 2023). Détection bactérienne 96%, parasitaire 84%, virale 68%. Sites : 2 stations de pompage/traitement. Méthode : métagénomique + culture + qPCR multiplex.</w:t>
      </w:r>
    </w:p>
    <w:p>
      <w:pPr>
        <w:spacing w:before="40"/>
      </w:pPr>
      <w:r>
        <w:rPr>
          <w:b/>
          <w:color w:val="117A65"/>
          <w:sz w:val="18"/>
        </w:rPr>
        <w:t xml:space="preserve">Pertinence AquaVigil-WA : </w:t>
      </w:r>
      <w:r>
        <w:rPr>
          <w:sz w:val="18"/>
        </w:rPr>
        <w:t>IPD Dakar est le hub régional le plus avancé. À citer pour montrer la faisabilité en Afrique de l'Ouest et comme benchmark. Notre différenciation : AquaVigil-WA est souverain (pas de dépendance à Dakar), open-source et conçu pour les sites non-raccordés.</w:t>
      </w:r>
    </w:p>
    <w:p>
      <w:pPr>
        <w:spacing w:before="40"/>
      </w:pPr>
      <w:r>
        <w:rPr>
          <w:color w:val="7D6608"/>
          <w:sz w:val="16"/>
        </w:rPr>
        <w:t>Tags : #Sénégal #IPD #Dakar #benchmark #métagénomique #WBE #Discussion</w:t>
      </w:r>
    </w:p>
    <w:p/>
    <w:p>
      <w:r>
        <w:rPr>
          <w:b/>
          <w:color w:val="1A5276"/>
          <w:sz w:val="20"/>
        </w:rPr>
        <w:t xml:space="preserve">[14] </w:t>
      </w:r>
      <w:r>
        <w:rPr>
          <w:b/>
          <w:sz w:val="20"/>
        </w:rPr>
        <w:t>Surveillance of Public Health Pathogens in Wastewater Canals across 20 Local Government Areas in Lagos State, Nigeria</w:t>
      </w:r>
    </w:p>
    <w:p>
      <w:pPr>
        <w:spacing w:before="0"/>
      </w:pPr>
      <w:r>
        <w:rPr>
          <w:i/>
          <w:color w:val="555555"/>
          <w:sz w:val="18"/>
        </w:rPr>
        <w:t>Auteurs nigérians — BMC Public Health, 2024</w:t>
      </w:r>
    </w:p>
    <w:p>
      <w:pPr>
        <w:spacing w:before="0"/>
      </w:pPr>
      <w:r>
        <w:rPr>
          <w:color w:val="2471A3"/>
          <w:sz w:val="16"/>
        </w:rPr>
        <w:t>🔗 https://bmcpublichealth.biomedcentral.com/articles/10.1186/s12889-024-21157-6</w:t>
      </w:r>
    </w:p>
    <w:p>
      <w:pPr>
        <w:spacing w:before="40"/>
      </w:pPr>
      <w:r>
        <w:rPr>
          <w:b/>
          <w:sz w:val="18"/>
        </w:rPr>
        <w:t xml:space="preserve">Résumé : </w:t>
      </w:r>
      <w:r>
        <w:rPr>
          <w:sz w:val="18"/>
        </w:rPr>
        <w:t>Surveillance multi-pathogènes dans les canaux de Lagos (eaux non-raccordées). 20 LGAs couverts. Méthode : prélèvements mensuels 6h–6h30. AMR + pathogènes entériques ciblés.</w:t>
      </w:r>
    </w:p>
    <w:p>
      <w:pPr>
        <w:spacing w:before="40"/>
      </w:pPr>
      <w:r>
        <w:rPr>
          <w:b/>
          <w:color w:val="117A65"/>
          <w:sz w:val="18"/>
        </w:rPr>
        <w:t xml:space="preserve">Pertinence AquaVigil-WA : </w:t>
      </w:r>
      <w:r>
        <w:rPr>
          <w:sz w:val="18"/>
        </w:rPr>
        <w:t>⭐ Très pertinent car similaire au contexte de Lomé (canaux, non-raccordés). Protocole de collecte à comparer avec notre PSP. À citer en Méthodes. Confirme la faisabilité d'une WBE par canaux sans réseau d'égouts.</w:t>
      </w:r>
    </w:p>
    <w:p>
      <w:pPr>
        <w:spacing w:before="40"/>
      </w:pPr>
      <w:r>
        <w:rPr>
          <w:color w:val="7D6608"/>
          <w:sz w:val="16"/>
        </w:rPr>
        <w:t>Tags : #Nigeria #Lagos #canaux #non-raccordés #protocole #Méthodes #contexte_Lomé</w:t>
      </w:r>
    </w:p>
    <w:p/>
    <w:p>
      <w:r>
        <w:rPr>
          <w:b/>
          <w:color w:val="1A5276"/>
          <w:sz w:val="20"/>
        </w:rPr>
        <w:t xml:space="preserve">[15] </w:t>
      </w:r>
      <w:r>
        <w:rPr>
          <w:b/>
          <w:sz w:val="20"/>
        </w:rPr>
        <w:t>Environmental surveillance of poliovirus in urban sewage — Dakar 2007–2013</w:t>
      </w:r>
    </w:p>
    <w:p>
      <w:pPr>
        <w:spacing w:before="0"/>
      </w:pPr>
      <w:r>
        <w:rPr>
          <w:i/>
          <w:color w:val="555555"/>
          <w:sz w:val="18"/>
        </w:rPr>
        <w:t>Équipe IPD — PMC, 2015 (historique clé)</w:t>
      </w:r>
    </w:p>
    <w:p>
      <w:pPr>
        <w:spacing w:before="0"/>
      </w:pPr>
      <w:r>
        <w:rPr>
          <w:color w:val="2471A3"/>
          <w:sz w:val="16"/>
        </w:rPr>
        <w:t>🔗 https://pmc.ncbi.nlm.nih.gov/articles/PMC4377292/</w:t>
      </w:r>
    </w:p>
    <w:p>
      <w:pPr>
        <w:spacing w:before="40"/>
      </w:pPr>
      <w:r>
        <w:rPr>
          <w:b/>
          <w:sz w:val="18"/>
        </w:rPr>
        <w:t xml:space="preserve">Résumé : </w:t>
      </w:r>
      <w:r>
        <w:rPr>
          <w:sz w:val="18"/>
        </w:rPr>
        <w:t>7 ans de surveillance polio par eaux usées à Dakar. Historique fondateur de la WBE polio en Afrique. Montre la continuité du programme IPD et sa crédibilité institutionnelle.</w:t>
      </w:r>
    </w:p>
    <w:p>
      <w:pPr>
        <w:spacing w:before="40"/>
      </w:pPr>
      <w:r>
        <w:rPr>
          <w:b/>
          <w:color w:val="117A65"/>
          <w:sz w:val="18"/>
        </w:rPr>
        <w:t xml:space="preserve">Pertinence AquaVigil-WA : </w:t>
      </w:r>
      <w:r>
        <w:rPr>
          <w:sz w:val="18"/>
        </w:rPr>
        <w:t>Contexte historique pour l'Introduction : montre que la WBE n'est pas nouvelle en Afrique de l'Ouest mais qu'elle reste concentrée sur la polio et à Dakar. AquaVigil-WA élargit le scope et la géographie.</w:t>
      </w:r>
    </w:p>
    <w:p>
      <w:pPr>
        <w:spacing w:before="40"/>
      </w:pPr>
      <w:r>
        <w:rPr>
          <w:color w:val="7D6608"/>
          <w:sz w:val="16"/>
        </w:rPr>
        <w:t>Tags : #Sénégal #polio #historique #IPD #Introduction</w:t>
      </w:r>
    </w:p>
    <w:p/>
    <w:p>
      <w:r>
        <w:rPr>
          <w:b/>
          <w:color w:val="1A5276"/>
          <w:sz w:val="20"/>
        </w:rPr>
        <w:t xml:space="preserve">[16] </w:t>
      </w:r>
      <w:r>
        <w:rPr>
          <w:b/>
          <w:sz w:val="20"/>
        </w:rPr>
        <w:t>Promoting Surveillance in Sub-Saharan Africa: Moving to Environmental Genomic Surveillance</w:t>
      </w:r>
    </w:p>
    <w:p>
      <w:pPr>
        <w:spacing w:before="0"/>
      </w:pPr>
      <w:r>
        <w:rPr>
          <w:i/>
          <w:color w:val="555555"/>
          <w:sz w:val="18"/>
        </w:rPr>
        <w:t>Divers auteurs — ACS ES&amp;T Water, 2023</w:t>
      </w:r>
    </w:p>
    <w:p>
      <w:pPr>
        <w:spacing w:before="0"/>
      </w:pPr>
      <w:r>
        <w:rPr>
          <w:color w:val="2471A3"/>
          <w:sz w:val="16"/>
        </w:rPr>
        <w:t>🔗 https://pubs.acs.org/doi/10.1021/acsestwater.3c00314</w:t>
      </w:r>
    </w:p>
    <w:p>
      <w:pPr>
        <w:spacing w:before="40"/>
      </w:pPr>
      <w:r>
        <w:rPr>
          <w:b/>
          <w:sz w:val="18"/>
        </w:rPr>
        <w:t xml:space="preserve">Résumé : </w:t>
      </w:r>
      <w:r>
        <w:rPr>
          <w:sz w:val="18"/>
        </w:rPr>
        <w:t>Plaide pour le passage de la surveillance clinique à la surveillance génomique environnementale en Afrique subsaharienne. Identifie les pathogènes prioritaires, les barrières et les opportunités technologiques.</w:t>
      </w:r>
    </w:p>
    <w:p>
      <w:pPr>
        <w:spacing w:before="40"/>
      </w:pPr>
      <w:r>
        <w:rPr>
          <w:b/>
          <w:color w:val="117A65"/>
          <w:sz w:val="18"/>
        </w:rPr>
        <w:t xml:space="preserve">Pertinence AquaVigil-WA : </w:t>
      </w:r>
      <w:r>
        <w:rPr>
          <w:sz w:val="18"/>
        </w:rPr>
        <w:t>Argument de politique scientifique pour l'Introduction. Soutient le choix de la métagénomique vs surveillance clinique individuelle. À citer pour justifier l'approche AquaVigil-WA.</w:t>
      </w:r>
    </w:p>
    <w:p>
      <w:pPr>
        <w:spacing w:before="40"/>
      </w:pPr>
      <w:r>
        <w:rPr>
          <w:color w:val="7D6608"/>
          <w:sz w:val="16"/>
        </w:rPr>
        <w:t>Tags : #Afrique #génomique #surveillance #politique #Introduction</w:t>
      </w:r>
    </w:p>
    <w:p/>
    <w:p>
      <w:r>
        <w:br w:type="page"/>
      </w:r>
    </w:p>
    <w:p>
      <w:pPr>
        <w:pStyle w:val="Heading1"/>
      </w:pPr>
      <w:r>
        <w:rPr>
          <w:color w:val="1B4F72"/>
        </w:rPr>
        <w:t>5. Stack Bioinformatique — Références Techniques</w:t>
      </w:r>
    </w:p>
    <w:p>
      <w:r>
        <w:rPr>
          <w:i/>
          <w:sz w:val="18"/>
        </w:rPr>
        <w:t>Articles et ressources décrivant les outils utilisés dans AquaVigil-WA. Section Méthodes de l'article. À utiliser par Membre 1 (pipeline) et Membre 3 (normalisation).</w:t>
      </w:r>
    </w:p>
    <w:p/>
    <w:p>
      <w:r>
        <w:rPr>
          <w:b/>
          <w:color w:val="1A5276"/>
          <w:sz w:val="20"/>
        </w:rPr>
        <w:t xml:space="preserve">[17] </w:t>
      </w:r>
      <w:r>
        <w:rPr>
          <w:b/>
          <w:sz w:val="20"/>
        </w:rPr>
        <w:t>Implementing WBE for Long-Read Metagenomic Sequencing of Antimicrobial Resistance in Kampala, Uganda</w:t>
      </w:r>
    </w:p>
    <w:p>
      <w:pPr>
        <w:spacing w:before="0"/>
      </w:pPr>
      <w:r>
        <w:rPr>
          <w:i/>
          <w:color w:val="555555"/>
          <w:sz w:val="18"/>
        </w:rPr>
        <w:t>Équipe ougandaise / internationale — PMC, 2025</w:t>
      </w:r>
    </w:p>
    <w:p>
      <w:pPr>
        <w:spacing w:before="0"/>
      </w:pPr>
      <w:r>
        <w:rPr>
          <w:color w:val="2471A3"/>
          <w:sz w:val="16"/>
        </w:rPr>
        <w:t>🔗 https://pmc.ncbi.nlm.nih.gov/articles/PMC12195534/</w:t>
      </w:r>
    </w:p>
    <w:p>
      <w:pPr>
        <w:spacing w:before="40"/>
      </w:pPr>
      <w:r>
        <w:rPr>
          <w:b/>
          <w:sz w:val="18"/>
        </w:rPr>
        <w:t xml:space="preserve">Résumé : </w:t>
      </w:r>
      <w:r>
        <w:rPr>
          <w:sz w:val="18"/>
        </w:rPr>
        <w:t>Déploiement WBE avec ONT long-read en Ouganda. Pipeline bioinformatique décrit. AMR par métagénomique en contexte africain. Validation de faisabilité terrain.</w:t>
      </w:r>
    </w:p>
    <w:p>
      <w:pPr>
        <w:spacing w:before="40"/>
      </w:pPr>
      <w:r>
        <w:rPr>
          <w:b/>
          <w:color w:val="117A65"/>
          <w:sz w:val="18"/>
        </w:rPr>
        <w:t xml:space="preserve">Pertinence AquaVigil-WA : </w:t>
      </w:r>
      <w:r>
        <w:rPr>
          <w:sz w:val="18"/>
        </w:rPr>
        <w:t>Référence directe pour valider l'utilisation de Kraken2/Bracken + potentielle intégration ONT en Phase 3. Contexte Afrique de l'Est mais méthodes transférables. À citer en Méthodes pour justifier la stack technique.</w:t>
      </w:r>
    </w:p>
    <w:p>
      <w:pPr>
        <w:spacing w:before="40"/>
      </w:pPr>
      <w:r>
        <w:rPr>
          <w:color w:val="7D6608"/>
          <w:sz w:val="16"/>
        </w:rPr>
        <w:t>Tags : #ONT #long-read #AMR #Afrique #pipeline #Méthodes #Ouganda</w:t>
      </w:r>
    </w:p>
    <w:p/>
    <w:p>
      <w:r>
        <w:rPr>
          <w:b/>
          <w:color w:val="1A5276"/>
          <w:sz w:val="20"/>
        </w:rPr>
        <w:t xml:space="preserve">[18] </w:t>
      </w:r>
      <w:r>
        <w:rPr>
          <w:b/>
          <w:sz w:val="20"/>
        </w:rPr>
        <w:t>Protecting African Communities Through Wastewater Environmental Surveillance</w:t>
      </w:r>
    </w:p>
    <w:p>
      <w:pPr>
        <w:spacing w:before="0"/>
      </w:pPr>
      <w:r>
        <w:rPr>
          <w:i/>
          <w:color w:val="555555"/>
          <w:sz w:val="18"/>
        </w:rPr>
        <w:t>Africa CDC — Africa CDC (rapport institutionnel), 2024</w:t>
      </w:r>
    </w:p>
    <w:p>
      <w:pPr>
        <w:spacing w:before="0"/>
      </w:pPr>
      <w:r>
        <w:rPr>
          <w:color w:val="2471A3"/>
          <w:sz w:val="16"/>
        </w:rPr>
        <w:t>🔗 https://africacdc.org/news-item/protecting-african-communities-through-wastewater-environmental-surveillance/</w:t>
      </w:r>
    </w:p>
    <w:p>
      <w:pPr>
        <w:spacing w:before="40"/>
      </w:pPr>
      <w:r>
        <w:rPr>
          <w:b/>
          <w:sz w:val="18"/>
        </w:rPr>
        <w:t xml:space="preserve">Résumé : </w:t>
      </w:r>
      <w:r>
        <w:rPr>
          <w:sz w:val="18"/>
        </w:rPr>
        <w:t>Positionnement d'Africa CDC sur la WES : réseau continental GLOWACON, priorités régionales, pays impliqués, plan de financement continental. Document non-peer-reviewed mais clé institutionnellement.</w:t>
      </w:r>
    </w:p>
    <w:p>
      <w:pPr>
        <w:spacing w:before="40"/>
      </w:pPr>
      <w:r>
        <w:rPr>
          <w:b/>
          <w:color w:val="117A65"/>
          <w:sz w:val="18"/>
        </w:rPr>
        <w:t xml:space="preserve">Pertinence AquaVigil-WA : </w:t>
      </w:r>
      <w:r>
        <w:rPr>
          <w:sz w:val="18"/>
        </w:rPr>
        <w:t>À citer dans la lettre à Africa CDC et dans l'Introduction pour montrer que AquaVigil-WA s'inscrit dans la stratégie continentale d'Africa CDC. Argument de légitimité institutionnelle.</w:t>
      </w:r>
    </w:p>
    <w:p>
      <w:pPr>
        <w:spacing w:before="40"/>
      </w:pPr>
      <w:r>
        <w:rPr>
          <w:color w:val="7D6608"/>
          <w:sz w:val="16"/>
        </w:rPr>
        <w:t>Tags : #AfricaCDC #GLOWACON #stratégie #institutionnel #Introduction #financement</w:t>
      </w:r>
    </w:p>
    <w:p/>
    <w:p>
      <w:r>
        <w:br w:type="page"/>
      </w:r>
    </w:p>
    <w:p>
      <w:pPr>
        <w:pStyle w:val="Heading1"/>
      </w:pPr>
      <w:r>
        <w:rPr>
          <w:color w:val="1B4F72"/>
        </w:rPr>
        <w:t>6. Guide de Lecture Prioritaire par Membre</w:t>
      </w:r>
    </w:p>
    <w:p>
      <w:r>
        <w:t>Tableau synthétique des articles à lire en priorité selon le rôle dans l'équipe.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B4F72"/>
          </w:tcPr>
          <w:p>
            <w:r>
              <w:rPr>
                <w:b/>
                <w:color w:val="FFFFFF"/>
              </w:rPr>
              <w:t>Membre</w:t>
            </w:r>
          </w:p>
        </w:tc>
        <w:tc>
          <w:tcPr>
            <w:tcW w:type="dxa" w:w="2160"/>
            <w:shd w:val="clear" w:color="auto" w:fill="1B4F72"/>
          </w:tcPr>
          <w:p>
            <w:r>
              <w:rPr>
                <w:b/>
                <w:color w:val="FFFFFF"/>
              </w:rPr>
              <w:t>Priorité 1</w:t>
            </w:r>
          </w:p>
        </w:tc>
        <w:tc>
          <w:tcPr>
            <w:tcW w:type="dxa" w:w="2160"/>
            <w:shd w:val="clear" w:color="auto" w:fill="1B4F72"/>
          </w:tcPr>
          <w:p>
            <w:r>
              <w:rPr>
                <w:b/>
                <w:color w:val="FFFFFF"/>
              </w:rPr>
              <w:t>Priorité 2</w:t>
            </w:r>
          </w:p>
        </w:tc>
        <w:tc>
          <w:tcPr>
            <w:tcW w:type="dxa" w:w="2160"/>
            <w:shd w:val="clear" w:color="auto" w:fill="1B4F72"/>
          </w:tcPr>
          <w:p>
            <w:r>
              <w:rPr>
                <w:b/>
                <w:color w:val="FFFFFF"/>
              </w:rPr>
              <w:t>Pour quoi faire</w:t>
            </w:r>
          </w:p>
        </w:tc>
      </w:tr>
      <w:tr>
        <w:tc>
          <w:tcPr>
            <w:tcW w:type="dxa" w:w="2160"/>
          </w:tcPr>
          <w:p>
            <w:r>
              <w:t>M1 — Chef Projet</w:t>
              <w:br/>
              <w:t>Bioinformaticien</w:t>
            </w:r>
          </w:p>
        </w:tc>
        <w:tc>
          <w:tcPr>
            <w:tcW w:type="dxa" w:w="2160"/>
          </w:tcPr>
          <w:p>
            <w:r>
              <w:t>[11] ODIN medRxiv 2026</w:t>
              <w:br/>
              <w:t>[07] mSphere 2023</w:t>
            </w:r>
          </w:p>
        </w:tc>
        <w:tc>
          <w:tcPr>
            <w:tcW w:type="dxa" w:w="2160"/>
          </w:tcPr>
          <w:p>
            <w:r>
              <w:t>[03] PHA4GE 2025</w:t>
              <w:br/>
              <w:t>[17] Ouganda 2025</w:t>
            </w:r>
          </w:p>
        </w:tc>
        <w:tc>
          <w:tcPr>
            <w:tcW w:type="dxa" w:w="2160"/>
          </w:tcPr>
          <w:p>
            <w:r>
              <w:t>Architecture pipeline, conformité PHA4GE, référence méthode métagénomique</w:t>
            </w:r>
          </w:p>
        </w:tc>
      </w:tr>
      <w:tr>
        <w:tc>
          <w:tcPr>
            <w:tcW w:type="dxa" w:w="2160"/>
          </w:tcPr>
          <w:p>
            <w:r>
              <w:t>M2 — Épidémiologiste</w:t>
            </w:r>
          </w:p>
        </w:tc>
        <w:tc>
          <w:tcPr>
            <w:tcW w:type="dxa" w:w="2160"/>
          </w:tcPr>
          <w:p>
            <w:r>
              <w:t>[12] ODIN Stakes 2025</w:t>
              <w:br/>
              <w:t>[04] WHO WES 2024</w:t>
            </w:r>
          </w:p>
        </w:tc>
        <w:tc>
          <w:tcPr>
            <w:tcW w:type="dxa" w:w="2160"/>
          </w:tcPr>
          <w:p>
            <w:r>
              <w:t>[13] Dakar 2025</w:t>
              <w:br/>
              <w:t>[18] Africa CDC 2024</w:t>
            </w:r>
          </w:p>
        </w:tc>
        <w:tc>
          <w:tcPr>
            <w:tcW w:type="dxa" w:w="2160"/>
          </w:tcPr>
          <w:p>
            <w:r>
              <w:t>Protocole terrain, démarches institutionnelles, Discussion santé publique</w:t>
            </w:r>
          </w:p>
        </w:tc>
      </w:tr>
      <w:tr>
        <w:tc>
          <w:tcPr>
            <w:tcW w:type="dxa" w:w="2160"/>
          </w:tcPr>
          <w:p>
            <w:r>
              <w:t>M3 — Data Scientist</w:t>
              <w:br/>
              <w:t>Modélisation</w:t>
            </w:r>
          </w:p>
        </w:tc>
        <w:tc>
          <w:tcPr>
            <w:tcW w:type="dxa" w:w="2160"/>
          </w:tcPr>
          <w:p>
            <w:r>
              <w:t>[03] PHA4GE 2025</w:t>
              <w:br/>
              <w:t>[02] npj Clean Water 2025</w:t>
            </w:r>
          </w:p>
        </w:tc>
        <w:tc>
          <w:tcPr>
            <w:tcW w:type="dxa" w:w="2160"/>
          </w:tcPr>
          <w:p>
            <w:r>
              <w:t>[01] WBE Afrique PMC</w:t>
              <w:br/>
              <w:t>[16] ACS EST Water</w:t>
            </w:r>
          </w:p>
        </w:tc>
        <w:tc>
          <w:tcPr>
            <w:tcW w:type="dxa" w:w="2160"/>
          </w:tcPr>
          <w:p>
            <w:r>
              <w:t>Format données, normalisation signal, benchmark régional</w:t>
            </w:r>
          </w:p>
        </w:tc>
      </w:tr>
      <w:tr>
        <w:tc>
          <w:tcPr>
            <w:tcW w:type="dxa" w:w="2160"/>
          </w:tcPr>
          <w:p>
            <w:r>
              <w:t>M4 — Biologiste</w:t>
            </w:r>
          </w:p>
        </w:tc>
        <w:tc>
          <w:tcPr>
            <w:tcW w:type="dxa" w:w="2160"/>
          </w:tcPr>
          <w:p>
            <w:r>
              <w:t>[11] ODIN medRxiv 2026</w:t>
              <w:br/>
              <w:t>[04] WHO WES 2024</w:t>
            </w:r>
          </w:p>
        </w:tc>
        <w:tc>
          <w:tcPr>
            <w:tcW w:type="dxa" w:w="2160"/>
          </w:tcPr>
          <w:p>
            <w:r>
              <w:t>[05] BMC Micro 2023</w:t>
              <w:br/>
              <w:t>[14] Lagos BMC 2024</w:t>
            </w:r>
          </w:p>
        </w:tc>
        <w:tc>
          <w:tcPr>
            <w:tcW w:type="dxa" w:w="2160"/>
          </w:tcPr>
          <w:p>
            <w:r>
              <w:t>Protocole extraction ADN, QC FastQC, kit d'extraction, protocole prélèvement</w:t>
            </w:r>
          </w:p>
        </w:tc>
      </w:tr>
    </w:tbl>
    <w:p/>
    <w:p>
      <w:pPr>
        <w:pStyle w:val="Heading1"/>
      </w:pPr>
      <w:r>
        <w:rPr>
          <w:color w:val="1B4F72"/>
        </w:rPr>
        <w:t>7. Gaps Bibliographiques — Articles à Identifier</w:t>
      </w:r>
    </w:p>
    <w:p>
      <w:r>
        <w:t>La liste suivante recense les articles manquants que l'équipe doit identifier avant la rédaction. Assigner à Membre 2 pour les aspects épidémiologiques et à Membre 1 pour les aspects techniques.</w:t>
      </w:r>
    </w:p>
    <w:p>
      <w:pPr>
        <w:pStyle w:val="ListBullet"/>
      </w:pPr>
      <w:r>
        <w:rPr>
          <w:sz w:val="18"/>
        </w:rPr>
        <w:t>⬜ Article sur la surveillance épidémiologique au Togo (n'importe quel pathogène) — démontre les lacunes locales</w:t>
      </w:r>
    </w:p>
    <w:p>
      <w:pPr>
        <w:pStyle w:val="ListBullet"/>
      </w:pPr>
      <w:r>
        <w:rPr>
          <w:sz w:val="18"/>
        </w:rPr>
        <w:t>⬜ Épidémiologie du choléra, typhoïde, dengue au Togo / Lomé (données MSPS ou OMS)</w:t>
      </w:r>
    </w:p>
    <w:p>
      <w:pPr>
        <w:pStyle w:val="ListBullet"/>
      </w:pPr>
      <w:r>
        <w:rPr>
          <w:sz w:val="18"/>
        </w:rPr>
        <w:t>⬜ Protocole de prélèvement en milieu tropical non-raccordé (fosses, drains, marchés) validé</w:t>
      </w:r>
    </w:p>
    <w:p>
      <w:pPr>
        <w:pStyle w:val="ListBullet"/>
      </w:pPr>
      <w:r>
        <w:rPr>
          <w:sz w:val="18"/>
        </w:rPr>
        <w:t>⬜ Validation PMMoV comme biomarqueur en milieu tropical (Afrique / Asie du Sud-Est)</w:t>
      </w:r>
    </w:p>
    <w:p>
      <w:pPr>
        <w:pStyle w:val="ListBullet"/>
      </w:pPr>
      <w:r>
        <w:rPr>
          <w:sz w:val="18"/>
        </w:rPr>
        <w:t>⬜ Article Snakemake + Kraken2 pour WBE (méthode pipeline — à citer en Méthodes)</w:t>
      </w:r>
    </w:p>
    <w:p>
      <w:pPr>
        <w:pStyle w:val="ListBullet"/>
      </w:pPr>
      <w:r>
        <w:rPr>
          <w:sz w:val="18"/>
        </w:rPr>
        <w:t>⬜ InSilicoSeq validation article (simulation métagénomique — à citer en Méthodes Phase 1)</w:t>
      </w:r>
    </w:p>
    <w:p>
      <w:pPr>
        <w:pStyle w:val="ListBullet"/>
      </w:pPr>
      <w:r>
        <w:rPr>
          <w:sz w:val="18"/>
        </w:rPr>
        <w:t>⬜ Données NCBI SRA Afrique de l'Ouest wastewater disponibles (liste des SRR accessibles)</w:t>
      </w:r>
    </w:p>
    <w:p/>
    <w:p>
      <w:pPr>
        <w:jc w:val="center"/>
      </w:pPr>
      <w:r>
        <w:rPr>
          <w:i/>
          <w:color w:val="888888"/>
          <w:sz w:val="16"/>
        </w:rPr>
        <w:t>AquaVigil-WA · Document de Référence Bibliographique · Version 1.0 · Juillet 2026</w:t>
        <w:br/>
        <w:t>Généré automatiquement — À compléter et versionner dans le Wiki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