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036C56F0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25</w:t>
            </w: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00D6E9E5" w14:textId="71045BA3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29FE21E8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 nikoli</w:t>
            </w:r>
          </w:p>
        </w:tc>
        <w:tc>
          <w:tcPr>
            <w:tcW w:w="1537" w:type="dxa"/>
          </w:tcPr>
          <w:p w14:paraId="2D6034B3" w14:textId="0EED2C97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56930405" w:rsidR="005920BA" w:rsidRPr="00FF66AF" w:rsidRDefault="00B664C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11</w:t>
            </w:r>
            <w:r w:rsidR="00860B6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.12.2024</w:t>
            </w:r>
          </w:p>
        </w:tc>
        <w:tc>
          <w:tcPr>
            <w:tcW w:w="1222" w:type="dxa"/>
          </w:tcPr>
          <w:p w14:paraId="1A01A1B3" w14:textId="49633C42" w:rsidR="005920BA" w:rsidRPr="00FF66AF" w:rsidRDefault="00860B6D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0D1591A6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1CCCCCBC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40</w:t>
            </w:r>
          </w:p>
        </w:tc>
        <w:tc>
          <w:tcPr>
            <w:tcW w:w="1486" w:type="dxa"/>
          </w:tcPr>
          <w:p w14:paraId="278F5EC8" w14:textId="7799FD28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 klikal po vseh stranskih zavihkih</w:t>
            </w:r>
          </w:p>
        </w:tc>
        <w:tc>
          <w:tcPr>
            <w:tcW w:w="1468" w:type="dxa"/>
          </w:tcPr>
          <w:p w14:paraId="6350C4AF" w14:textId="6991EAE1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150" w:type="dxa"/>
          </w:tcPr>
          <w:p w14:paraId="32C74BA6" w14:textId="5C9CBE33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Najprej gledal vsi dobavitelji in mislil da je to to. 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ajprej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ni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razumel naloge. Npr. mi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slil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je da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jih more sam rangirat po podatkih in ne da obstaja gumb. Zmotil ga je gumb primerjaj ker mu je potem pokazal </w:t>
            </w:r>
            <w:r w:rsidR="00AF45E6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rangiranje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prve druge tretje.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7DCC3FF3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3B244541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12</w:t>
            </w:r>
          </w:p>
        </w:tc>
        <w:tc>
          <w:tcPr>
            <w:tcW w:w="1486" w:type="dxa"/>
          </w:tcPr>
          <w:p w14:paraId="608F0216" w14:textId="395689A8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21BC1FF1" w14:textId="1FBE379A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766F02D" w14:textId="6A3B019C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Že prej preklikal</w:t>
            </w:r>
            <w:r w:rsidR="00BA60B5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 w:rsidR="00BA60B5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ajprej</w:t>
            </w:r>
            <w:r w:rsidR="00BA60B5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je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na zavihku rangiranje dobaviteljev gledal kje bi se dalo.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7D1CAFE8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09DD1DBB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</w:t>
            </w:r>
          </w:p>
        </w:tc>
        <w:tc>
          <w:tcPr>
            <w:tcW w:w="1486" w:type="dxa"/>
          </w:tcPr>
          <w:p w14:paraId="7C862489" w14:textId="48C093B5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468" w:type="dxa"/>
          </w:tcPr>
          <w:p w14:paraId="3E0AA3D3" w14:textId="1EEF6DDC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2FB45E" w14:textId="036EB273" w:rsidR="00446C71" w:rsidRPr="00FF66AF" w:rsidRDefault="00860B6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Zelo ne jasno kaj lahko klika in kaj ne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351810A6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4C0E8F4C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486" w:type="dxa"/>
          </w:tcPr>
          <w:p w14:paraId="5ED6BAFD" w14:textId="77437157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404FB763" w14:textId="1B2A2F8B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86B3DB" w14:textId="43B6C3B0" w:rsidR="00446C71" w:rsidRPr="00FF66AF" w:rsidRDefault="00BA60B5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Pravil, da bi lahko bil v</w:t>
            </w:r>
            <w:r w:rsidR="00645D3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ečji kontrast med sivimi.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15244BC5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5251EF7B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19</w:t>
            </w:r>
          </w:p>
        </w:tc>
        <w:tc>
          <w:tcPr>
            <w:tcW w:w="1486" w:type="dxa"/>
          </w:tcPr>
          <w:p w14:paraId="38D2E234" w14:textId="0EB70FB8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468" w:type="dxa"/>
          </w:tcPr>
          <w:p w14:paraId="723F0E7F" w14:textId="3C6E9AE6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4783414A" w14:textId="141EB81B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klikal po drugih zavihkih.</w:t>
            </w:r>
            <w:r w:rsidR="00E97B6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Lahko bi bil gumb za uporabnike in ne nastavitve. Nastavitve </w:t>
            </w:r>
            <w:r w:rsidR="00E97B6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po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misli</w:t>
            </w:r>
            <w:r w:rsidR="00E97B6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l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kot pogled</w:t>
            </w:r>
            <w:r w:rsidR="00E97B6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,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thema …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707E9F39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1FE2BCC5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486" w:type="dxa"/>
          </w:tcPr>
          <w:p w14:paraId="1A793E61" w14:textId="2C7B835C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</w:t>
            </w:r>
          </w:p>
        </w:tc>
        <w:tc>
          <w:tcPr>
            <w:tcW w:w="1468" w:type="dxa"/>
          </w:tcPr>
          <w:p w14:paraId="67CDB7E8" w14:textId="24720EF7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EA7EB4F" w14:textId="31605BF5" w:rsidR="00446C71" w:rsidRPr="00FF66AF" w:rsidRDefault="00645D3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kliknil na dropdown. Plus ne pove veliko. Lahko bi pisalo. Plus bolj ločen od dropdowna.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lastRenderedPageBreak/>
        <w:t>Povpraševalnik po testu</w:t>
      </w:r>
    </w:p>
    <w:p w14:paraId="616247D1" w14:textId="1269F558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</w:p>
    <w:p w14:paraId="55887778" w14:textId="408BF99D" w:rsidR="00645D30" w:rsidRDefault="00E97B64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645D30">
        <w:rPr>
          <w:rFonts w:ascii="Times New Roman" w:hAnsi="Times New Roman" w:cs="Times New Roman"/>
          <w:sz w:val="21"/>
          <w:szCs w:val="21"/>
          <w:lang w:val="sl-SI"/>
        </w:rPr>
        <w:t>0, ker ne ve zakaj bi jo imel. Ni v tem poslu.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4A94D893" w14:textId="77777777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3E453E30" w14:textId="77777777" w:rsidR="00AD61D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Kaj vam je bilo všeč pri aplikaciji?</w:t>
      </w:r>
    </w:p>
    <w:p w14:paraId="417CEEAA" w14:textId="2C161127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Všeč mu je da je po defaultu dark mode.</w:t>
      </w:r>
    </w:p>
    <w:p w14:paraId="4D524AD7" w14:textId="77777777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68B3EB26" w14:textId="4901B11A" w:rsidR="004E3A7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</w:p>
    <w:p w14:paraId="565A47D6" w14:textId="380B2A96" w:rsidR="00645D30" w:rsidRDefault="00E97B64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645D30">
        <w:rPr>
          <w:rFonts w:ascii="Times New Roman" w:hAnsi="Times New Roman" w:cs="Times New Roman"/>
          <w:sz w:val="21"/>
          <w:szCs w:val="21"/>
          <w:lang w:val="sl-SI"/>
        </w:rPr>
        <w:t>Nejasni gumbi</w:t>
      </w:r>
      <w:r>
        <w:rPr>
          <w:rFonts w:ascii="Times New Roman" w:hAnsi="Times New Roman" w:cs="Times New Roman"/>
          <w:sz w:val="21"/>
          <w:szCs w:val="21"/>
          <w:lang w:val="sl-SI"/>
        </w:rPr>
        <w:t>.«</w:t>
      </w:r>
    </w:p>
    <w:p w14:paraId="138ECDB0" w14:textId="77777777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086EBC17" w14:textId="677AAFB7" w:rsid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</w:p>
    <w:p w14:paraId="10CC4226" w14:textId="7008D9CF" w:rsidR="00645D30" w:rsidRDefault="00645D30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Spremenil bi status sodelvanja v znakce v primeru barvne slepote. </w:t>
      </w:r>
    </w:p>
    <w:p w14:paraId="706FFBA1" w14:textId="2E825D01" w:rsidR="00A374A8" w:rsidRPr="00FF66AF" w:rsidRDefault="00A374A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sectPr w:rsidR="00A374A8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3181"/>
    <w:rsid w:val="00074F1C"/>
    <w:rsid w:val="0008569D"/>
    <w:rsid w:val="000A1C03"/>
    <w:rsid w:val="000D39A6"/>
    <w:rsid w:val="0012675A"/>
    <w:rsid w:val="002402BD"/>
    <w:rsid w:val="00240921"/>
    <w:rsid w:val="003440D7"/>
    <w:rsid w:val="003A6A4C"/>
    <w:rsid w:val="00446C71"/>
    <w:rsid w:val="004C6453"/>
    <w:rsid w:val="004E3A79"/>
    <w:rsid w:val="005920BA"/>
    <w:rsid w:val="005B6E3F"/>
    <w:rsid w:val="00645D30"/>
    <w:rsid w:val="006558A3"/>
    <w:rsid w:val="006E6BFF"/>
    <w:rsid w:val="00742B8E"/>
    <w:rsid w:val="007719E3"/>
    <w:rsid w:val="00835D31"/>
    <w:rsid w:val="00860B6D"/>
    <w:rsid w:val="008731E8"/>
    <w:rsid w:val="008B6609"/>
    <w:rsid w:val="00914B94"/>
    <w:rsid w:val="00956ED3"/>
    <w:rsid w:val="009C2FB0"/>
    <w:rsid w:val="00A374A8"/>
    <w:rsid w:val="00AD61D8"/>
    <w:rsid w:val="00AF45E6"/>
    <w:rsid w:val="00B664C9"/>
    <w:rsid w:val="00B760A7"/>
    <w:rsid w:val="00B800C4"/>
    <w:rsid w:val="00B92916"/>
    <w:rsid w:val="00BA60B5"/>
    <w:rsid w:val="00C3572B"/>
    <w:rsid w:val="00C865E1"/>
    <w:rsid w:val="00E36B24"/>
    <w:rsid w:val="00E55CB0"/>
    <w:rsid w:val="00E97B64"/>
    <w:rsid w:val="00EC39CE"/>
    <w:rsid w:val="00EE4C95"/>
    <w:rsid w:val="00F12D80"/>
    <w:rsid w:val="00F17FBC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1748</Characters>
  <Application>Microsoft Office Word</Application>
  <DocSecurity>0</DocSecurity>
  <Lines>218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7</cp:revision>
  <dcterms:created xsi:type="dcterms:W3CDTF">2024-12-23T16:23:00Z</dcterms:created>
  <dcterms:modified xsi:type="dcterms:W3CDTF">2025-01-11T21:52:00Z</dcterms:modified>
</cp:coreProperties>
</file>