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2082" w:type="dxa"/>
        <w:tblLook w:val="04A0" w:firstRow="1" w:lastRow="0" w:firstColumn="1" w:lastColumn="0" w:noHBand="0" w:noVBand="1"/>
      </w:tblPr>
      <w:tblGrid>
        <w:gridCol w:w="2591"/>
        <w:gridCol w:w="1710"/>
        <w:gridCol w:w="6698"/>
        <w:gridCol w:w="1083"/>
      </w:tblGrid>
      <w:tr w:rsidR="00D87AA3" w:rsidRPr="00CE1DC9" w:rsidTr="00D87AA3">
        <w:trPr>
          <w:gridAfter w:val="3"/>
          <w:wAfter w:w="9491" w:type="dxa"/>
          <w:trHeight w:val="315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  <w:bookmarkStart w:id="0" w:name="_GoBack"/>
            <w:bookmarkEnd w:id="0"/>
          </w:p>
        </w:tc>
      </w:tr>
      <w:tr w:rsidR="00D87AA3" w:rsidRPr="00CE1DC9" w:rsidTr="00D87AA3">
        <w:trPr>
          <w:gridAfter w:val="1"/>
          <w:wAfter w:w="1083" w:type="dxa"/>
          <w:trHeight w:val="405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DA65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Narrow" w:eastAsia="Times New Roman" w:hAnsi="Arial Narrow"/>
                <w:b/>
                <w:bCs/>
                <w:color w:val="833C0B"/>
                <w:sz w:val="32"/>
                <w:szCs w:val="32"/>
                <w:bdr w:val="none" w:sz="0" w:space="0" w:color="auto"/>
              </w:rPr>
            </w:pPr>
            <w:r w:rsidRPr="00CE1DC9">
              <w:rPr>
                <w:rFonts w:ascii="Arial Narrow" w:eastAsia="Times New Roman" w:hAnsi="Arial Narrow"/>
                <w:b/>
                <w:bCs/>
                <w:color w:val="833C0B"/>
                <w:sz w:val="32"/>
                <w:szCs w:val="32"/>
                <w:bdr w:val="none" w:sz="0" w:space="0" w:color="auto"/>
              </w:rPr>
              <w:t>SERVICIO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Precio público</w:t>
            </w:r>
          </w:p>
        </w:tc>
        <w:tc>
          <w:tcPr>
            <w:tcW w:w="6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gridAfter w:val="1"/>
          <w:wAfter w:w="1083" w:type="dxa"/>
          <w:trHeight w:val="315"/>
        </w:trPr>
        <w:tc>
          <w:tcPr>
            <w:tcW w:w="25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DA65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Narrow" w:eastAsia="Times New Roman" w:hAnsi="Arial Narrow"/>
                <w:b/>
                <w:bCs/>
                <w:color w:val="833C0B"/>
                <w:sz w:val="32"/>
                <w:szCs w:val="32"/>
                <w:bdr w:val="none" w:sz="0" w:space="0" w:color="auto"/>
              </w:rPr>
            </w:pPr>
            <w:r w:rsidRPr="00CE1DC9">
              <w:rPr>
                <w:rFonts w:ascii="Arial Narrow" w:eastAsia="Times New Roman" w:hAnsi="Arial Narrow"/>
                <w:b/>
                <w:bCs/>
                <w:color w:val="833C0B"/>
                <w:sz w:val="32"/>
                <w:szCs w:val="32"/>
                <w:bdr w:val="none" w:sz="0" w:space="0" w:color="auto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Consulta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180.00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15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Certificado Medico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gridAfter w:val="3"/>
          <w:wAfter w:w="9491" w:type="dxa"/>
          <w:trHeight w:val="390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  <w:t>MEDICINA PREVENTIVA</w:t>
            </w:r>
          </w:p>
        </w:tc>
      </w:tr>
      <w:tr w:rsidR="00D87AA3" w:rsidRPr="00CE1DC9" w:rsidTr="00D87AA3">
        <w:trPr>
          <w:gridAfter w:val="3"/>
          <w:wAfter w:w="9491" w:type="dxa"/>
          <w:trHeight w:val="390"/>
        </w:trPr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  <w:t>VACUNACIONES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Vacuna puppy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Vacuna quintuple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Vacuna sextuple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280.00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Vacuna Rabia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15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Vacuna triple felina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gridAfter w:val="3"/>
          <w:wAfter w:w="9491" w:type="dxa"/>
          <w:trHeight w:val="390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  <w:t>DESPARASITACIONES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Desparasitación 0-10 kg.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3C3D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$               50.00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Desparasitación 11-20 kg.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Desparasitación 21-30 kg.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Desparasitación 31-40 kg.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15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Desparasitación 41-50 kg.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gridAfter w:val="3"/>
          <w:wAfter w:w="9491" w:type="dxa"/>
          <w:trHeight w:val="360"/>
        </w:trPr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  <w:t>CIRUGIAS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OSH paciente chico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1,000.00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OSH paciente mediano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1,300.00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OSH paciente grande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1,600.00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OSH paciente felino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800.00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Orquiectomia paciente chico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600.00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lastRenderedPageBreak/>
              <w:t>Orquiectomia paciente mediano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800.00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Orquiectomia paciente grande canino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1,000.00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Orquiectomia paciente felino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600.00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Profilaxis dental paciente chico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500.00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Profilaxis dental paciente mediano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800.00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Profilaxis dental paciente grande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1,100.00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Cesárea paciente chico canino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2000 base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Cesárea paciente mediano canino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Cesárea paciente grande canino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15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  <w:t>Curaciones o Retiro de puntos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D87AA3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/>
              </w:rPr>
              <w:t xml:space="preserve"> </w:t>
            </w: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$            100.00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D87AA3" w:rsidTr="00D87AA3">
        <w:trPr>
          <w:gridAfter w:val="3"/>
          <w:wAfter w:w="9491" w:type="dxa"/>
          <w:trHeight w:val="1170"/>
        </w:trPr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  <w:lang w:val="es-MX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  <w:lang w:val="es-MX"/>
              </w:rPr>
              <w:t>Análisis Sanguíneos  o Métodos  de Dx Complementarios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Hemograma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180.00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23195E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18"/>
                <w:szCs w:val="22"/>
                <w:bdr w:val="none" w:sz="0" w:space="0" w:color="auto"/>
              </w:rPr>
            </w:pPr>
            <w:r w:rsidRPr="0023195E">
              <w:rPr>
                <w:rFonts w:ascii="Calibri" w:eastAsia="Times New Roman" w:hAnsi="Calibri"/>
                <w:b/>
                <w:bCs/>
                <w:color w:val="000000"/>
                <w:sz w:val="18"/>
                <w:szCs w:val="22"/>
                <w:bdr w:val="none" w:sz="0" w:space="0" w:color="auto"/>
              </w:rPr>
              <w:t xml:space="preserve"> *valoración intrahosp 100 </w:t>
            </w:r>
          </w:p>
        </w:tc>
      </w:tr>
      <w:tr w:rsidR="00D87AA3" w:rsidRPr="00CE1DC9" w:rsidTr="00D87AA3">
        <w:trPr>
          <w:trHeight w:val="66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Química Sanguínea prequirúrgica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500.00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66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Química Sanguínea completa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800.00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Ultrasonido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350 c/consulta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Estudio Radiográfico simple 1 toma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lastRenderedPageBreak/>
              <w:t>Estudio Radiográfico simple 2 tomas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350.00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D87AA3" w:rsidTr="00D87AA3">
        <w:trPr>
          <w:gridAfter w:val="3"/>
          <w:wAfter w:w="9491" w:type="dxa"/>
          <w:trHeight w:val="6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  <w:t xml:space="preserve">Estudio Radiográfico con medio de contraste via oral sulfato de bario </w:t>
            </w:r>
          </w:p>
        </w:tc>
      </w:tr>
      <w:tr w:rsidR="00D87AA3" w:rsidRPr="00D87AA3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Raspados Cutáneos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BA1CAD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16"/>
                <w:szCs w:val="22"/>
                <w:bdr w:val="none" w:sz="0" w:space="0" w:color="auto"/>
                <w:lang w:val="es-MX"/>
              </w:rPr>
            </w:pPr>
            <w:r w:rsidRPr="00BA1CAD">
              <w:rPr>
                <w:rFonts w:ascii="Calibri" w:eastAsia="Times New Roman" w:hAnsi="Calibri"/>
                <w:b/>
                <w:bCs/>
                <w:color w:val="000000"/>
                <w:sz w:val="16"/>
                <w:szCs w:val="22"/>
                <w:bdr w:val="none" w:sz="0" w:space="0" w:color="auto"/>
                <w:lang w:val="es-MX"/>
              </w:rPr>
              <w:t xml:space="preserve"> dermatológico completo incluye: raspado, acetato, lámpara de wood, tricografía, citología) </w:t>
            </w:r>
          </w:p>
        </w:tc>
      </w:tr>
      <w:tr w:rsidR="00D87AA3" w:rsidRPr="00D87AA3" w:rsidTr="00D87AA3">
        <w:trPr>
          <w:trHeight w:val="6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  <w:lang w:val="es-MX"/>
              </w:rPr>
              <w:t>Snap para diagnostico Moquillo, Parvovirus, Leucemia/Sida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D87AA3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/>
              </w:rPr>
            </w:pPr>
            <w:r w:rsidRPr="00D87AA3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/>
              </w:rPr>
              <w:t> 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D87AA3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/>
              </w:rPr>
            </w:pPr>
            <w:r w:rsidRPr="00D87AA3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/>
              </w:rPr>
              <w:t> </w:t>
            </w:r>
          </w:p>
        </w:tc>
      </w:tr>
      <w:tr w:rsidR="00D87AA3" w:rsidRPr="00CE1DC9" w:rsidTr="00D87AA3">
        <w:trPr>
          <w:trHeight w:val="315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Coproparasitoscopico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EGO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100.00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gridAfter w:val="3"/>
          <w:wAfter w:w="9491" w:type="dxa"/>
          <w:trHeight w:val="390"/>
        </w:trPr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833C0B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b/>
                <w:bCs/>
                <w:color w:val="FFDA65"/>
                <w:sz w:val="28"/>
                <w:szCs w:val="28"/>
                <w:bdr w:val="none" w:sz="0" w:space="0" w:color="auto"/>
              </w:rPr>
              <w:t>Servicios Hospitalarios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Hospitalización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350.00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23195E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18"/>
                <w:szCs w:val="22"/>
                <w:bdr w:val="none" w:sz="0" w:space="0" w:color="auto"/>
              </w:rPr>
            </w:pPr>
            <w:r w:rsidRPr="0023195E">
              <w:rPr>
                <w:rFonts w:ascii="Calibri" w:eastAsia="Times New Roman" w:hAnsi="Calibri"/>
                <w:b/>
                <w:bCs/>
                <w:color w:val="000000"/>
                <w:sz w:val="18"/>
                <w:szCs w:val="22"/>
                <w:bdr w:val="none" w:sz="0" w:space="0" w:color="auto"/>
              </w:rPr>
              <w:t xml:space="preserve"> 200 noche hosp + 150 medicamentos base 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Canalización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200.00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 xml:space="preserve">Eutanasia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400.00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md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600.00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gde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   800.00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gigante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 xml:space="preserve"> $         1,000.00 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 Light" w:eastAsia="Times New Roman" w:hAnsi="Calibri Light"/>
                <w:color w:val="000000"/>
                <w:sz w:val="22"/>
                <w:szCs w:val="22"/>
                <w:bdr w:val="none" w:sz="0" w:space="0" w:color="auto"/>
              </w:rPr>
              <w:t>Toma de Biopsias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D87AA3" w:rsidRPr="00CE1DC9" w:rsidTr="00D87AA3">
        <w:trPr>
          <w:trHeight w:val="300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Toma de muestras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NA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D87AA3" w:rsidRPr="00CE1DC9" w:rsidRDefault="00D87AA3" w:rsidP="00BA1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CE1DC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</w:tr>
    </w:tbl>
    <w:p w:rsidR="00654E12" w:rsidRPr="00CE1DC9" w:rsidRDefault="00BA1CAD" w:rsidP="00CE1DC9">
      <w:r>
        <w:br w:type="textWrapping" w:clear="all"/>
      </w:r>
    </w:p>
    <w:sectPr w:rsidR="00654E12" w:rsidRPr="00CE1DC9" w:rsidSect="00CE1DC9">
      <w:headerReference w:type="firs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6F" w:rsidRDefault="0031006F" w:rsidP="00820122">
      <w:r>
        <w:separator/>
      </w:r>
    </w:p>
  </w:endnote>
  <w:endnote w:type="continuationSeparator" w:id="0">
    <w:p w:rsidR="0031006F" w:rsidRDefault="0031006F" w:rsidP="0082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6F" w:rsidRDefault="0031006F" w:rsidP="00820122">
      <w:r>
        <w:separator/>
      </w:r>
    </w:p>
  </w:footnote>
  <w:footnote w:type="continuationSeparator" w:id="0">
    <w:p w:rsidR="0031006F" w:rsidRDefault="0031006F" w:rsidP="00820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22" w:rsidRPr="00072315" w:rsidRDefault="00820122" w:rsidP="00820122">
    <w:pPr>
      <w:pStyle w:val="Textoindependiente2"/>
      <w:spacing w:line="276" w:lineRule="auto"/>
      <w:rPr>
        <w:rFonts w:ascii="Times New Roman" w:hAnsi="Times New Roman"/>
        <w:sz w:val="22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229F5881" wp14:editId="561307AE">
          <wp:simplePos x="0" y="0"/>
          <wp:positionH relativeFrom="column">
            <wp:posOffset>5791200</wp:posOffset>
          </wp:positionH>
          <wp:positionV relativeFrom="paragraph">
            <wp:posOffset>10160</wp:posOffset>
          </wp:positionV>
          <wp:extent cx="774700" cy="816610"/>
          <wp:effectExtent l="0" t="0" r="6350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816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31A8E9B" wp14:editId="1CDD9578">
          <wp:simplePos x="0" y="0"/>
          <wp:positionH relativeFrom="margin">
            <wp:posOffset>177800</wp:posOffset>
          </wp:positionH>
          <wp:positionV relativeFrom="paragraph">
            <wp:posOffset>14605</wp:posOffset>
          </wp:positionV>
          <wp:extent cx="875030" cy="816610"/>
          <wp:effectExtent l="0" t="0" r="1270" b="254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816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2315">
      <w:rPr>
        <w:rFonts w:ascii="Times New Roman" w:hAnsi="Times New Roman"/>
        <w:sz w:val="22"/>
        <w:szCs w:val="24"/>
      </w:rPr>
      <w:t>UNIVERSIDAD AUTÓNOMA DE ZACATECAS</w:t>
    </w:r>
  </w:p>
  <w:p w:rsidR="00820122" w:rsidRPr="00072315" w:rsidRDefault="00820122" w:rsidP="00820122">
    <w:pPr>
      <w:pStyle w:val="Textoindependiente2"/>
      <w:spacing w:line="276" w:lineRule="auto"/>
      <w:rPr>
        <w:rFonts w:ascii="Times New Roman" w:hAnsi="Times New Roman"/>
        <w:sz w:val="22"/>
        <w:szCs w:val="24"/>
      </w:rPr>
    </w:pPr>
    <w:r w:rsidRPr="00072315">
      <w:rPr>
        <w:rFonts w:ascii="Times New Roman" w:hAnsi="Times New Roman"/>
        <w:sz w:val="22"/>
        <w:szCs w:val="24"/>
      </w:rPr>
      <w:t>“Francisco García Salinas”</w:t>
    </w:r>
    <w:r w:rsidRPr="00850741">
      <w:rPr>
        <w:noProof/>
        <w:lang w:eastAsia="es-MX"/>
      </w:rPr>
      <w:t xml:space="preserve"> </w:t>
    </w:r>
  </w:p>
  <w:p w:rsidR="00820122" w:rsidRPr="00072315" w:rsidRDefault="00820122" w:rsidP="00820122">
    <w:pPr>
      <w:pStyle w:val="Textoindependiente2"/>
      <w:spacing w:line="276" w:lineRule="auto"/>
      <w:jc w:val="left"/>
      <w:rPr>
        <w:rFonts w:ascii="Times New Roman" w:hAnsi="Times New Roman"/>
        <w:sz w:val="22"/>
        <w:szCs w:val="24"/>
      </w:rPr>
    </w:pPr>
    <w:r>
      <w:rPr>
        <w:rFonts w:ascii="Times New Roman" w:hAnsi="Times New Roman"/>
        <w:sz w:val="22"/>
        <w:szCs w:val="24"/>
      </w:rPr>
      <w:t xml:space="preserve">                               </w:t>
    </w:r>
    <w:r w:rsidRPr="00072315">
      <w:rPr>
        <w:rFonts w:ascii="Times New Roman" w:hAnsi="Times New Roman"/>
        <w:sz w:val="22"/>
        <w:szCs w:val="24"/>
      </w:rPr>
      <w:t>UNIDAD ACADÉMICA DE MEDICINA VETERINARIA Y ZOOTECNIA</w:t>
    </w:r>
  </w:p>
  <w:p w:rsidR="00820122" w:rsidRPr="00072315" w:rsidRDefault="00820122" w:rsidP="00820122">
    <w:pPr>
      <w:pStyle w:val="Textoindependiente2"/>
      <w:rPr>
        <w:rFonts w:ascii="Times New Roman" w:hAnsi="Times New Roman"/>
        <w:sz w:val="22"/>
        <w:szCs w:val="24"/>
      </w:rPr>
    </w:pPr>
  </w:p>
  <w:p w:rsidR="00820122" w:rsidRPr="007872F0" w:rsidRDefault="00820122" w:rsidP="00820122">
    <w:pPr>
      <w:pStyle w:val="Encabezado"/>
      <w:rPr>
        <w:lang w:val="es-MX"/>
      </w:rPr>
    </w:pPr>
  </w:p>
  <w:p w:rsidR="00820122" w:rsidRPr="00820122" w:rsidRDefault="00820122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2"/>
    <w:rsid w:val="00035AE7"/>
    <w:rsid w:val="0023195E"/>
    <w:rsid w:val="0031006F"/>
    <w:rsid w:val="00366BB9"/>
    <w:rsid w:val="003C3D51"/>
    <w:rsid w:val="004E0CD7"/>
    <w:rsid w:val="00820122"/>
    <w:rsid w:val="008708BB"/>
    <w:rsid w:val="00A724A8"/>
    <w:rsid w:val="00BA1CAD"/>
    <w:rsid w:val="00BB11FD"/>
    <w:rsid w:val="00CE1DC9"/>
    <w:rsid w:val="00D2078F"/>
    <w:rsid w:val="00D87AA3"/>
    <w:rsid w:val="00F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05F3F-D6EC-4BCA-8348-5E122A8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1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201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8201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s-ES_tradnl" w:eastAsia="es-MX"/>
    </w:rPr>
  </w:style>
  <w:style w:type="character" w:customStyle="1" w:styleId="Ninguno">
    <w:name w:val="Ninguno"/>
    <w:rsid w:val="00820122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201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012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Piedepgina">
    <w:name w:val="footer"/>
    <w:basedOn w:val="Normal"/>
    <w:link w:val="PiedepginaCar"/>
    <w:uiPriority w:val="99"/>
    <w:unhideWhenUsed/>
    <w:rsid w:val="008201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12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Textoindependiente2">
    <w:name w:val="Body Text 2"/>
    <w:basedOn w:val="Normal"/>
    <w:link w:val="Textoindependiente2Car"/>
    <w:semiHidden/>
    <w:rsid w:val="008201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Univers" w:eastAsia="Times New Roman" w:hAnsi="Univers"/>
      <w:b/>
      <w:sz w:val="20"/>
      <w:szCs w:val="20"/>
      <w:bdr w:val="none" w:sz="0" w:space="0" w:color="auto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20122"/>
    <w:rPr>
      <w:rFonts w:ascii="Univers" w:eastAsia="Times New Roman" w:hAnsi="Univers" w:cs="Times New Roman"/>
      <w:b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Patricia Lopez Huitrado</dc:creator>
  <cp:keywords/>
  <dc:description/>
  <cp:lastModifiedBy>Lilia Patricia Lopez Huitrado</cp:lastModifiedBy>
  <cp:revision>4</cp:revision>
  <dcterms:created xsi:type="dcterms:W3CDTF">2018-03-16T05:17:00Z</dcterms:created>
  <dcterms:modified xsi:type="dcterms:W3CDTF">2018-04-18T18:05:00Z</dcterms:modified>
</cp:coreProperties>
</file>