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1F8357A" wp14:paraId="5C1A07E2" wp14:textId="26BE3BE4">
      <w:pPr>
        <w:jc w:val="center"/>
        <w:rPr>
          <w:rFonts w:ascii="Times New Roman" w:hAnsi="Times New Roman" w:eastAsia="Times New Roman" w:cs="Times New Roman"/>
          <w:b w:val="0"/>
          <w:bCs w:val="0"/>
          <w:sz w:val="40"/>
          <w:szCs w:val="40"/>
          <w:u w:val="single"/>
          <w:lang w:val="en-US"/>
        </w:rPr>
      </w:pPr>
      <w:r w:rsidRPr="61F8357A" w:rsidR="719E45FF">
        <w:rPr>
          <w:rFonts w:ascii="Times New Roman" w:hAnsi="Times New Roman" w:eastAsia="Times New Roman" w:cs="Times New Roman"/>
          <w:b w:val="0"/>
          <w:bCs w:val="0"/>
          <w:sz w:val="40"/>
          <w:szCs w:val="40"/>
          <w:u w:val="single"/>
          <w:lang w:val="en-US"/>
        </w:rPr>
        <w:t>Trabajo</w:t>
      </w:r>
      <w:r w:rsidRPr="61F8357A" w:rsidR="719E45FF">
        <w:rPr>
          <w:rFonts w:ascii="Times New Roman" w:hAnsi="Times New Roman" w:eastAsia="Times New Roman" w:cs="Times New Roman"/>
          <w:b w:val="0"/>
          <w:bCs w:val="0"/>
          <w:sz w:val="40"/>
          <w:szCs w:val="40"/>
          <w:u w:val="single"/>
          <w:lang w:val="en-US"/>
        </w:rPr>
        <w:t xml:space="preserve"> </w:t>
      </w:r>
      <w:r w:rsidRPr="61F8357A" w:rsidR="719E45FF">
        <w:rPr>
          <w:rFonts w:ascii="Times New Roman" w:hAnsi="Times New Roman" w:eastAsia="Times New Roman" w:cs="Times New Roman"/>
          <w:b w:val="0"/>
          <w:bCs w:val="0"/>
          <w:sz w:val="40"/>
          <w:szCs w:val="40"/>
          <w:u w:val="single"/>
          <w:lang w:val="en-US"/>
        </w:rPr>
        <w:t>Practico</w:t>
      </w:r>
      <w:r w:rsidRPr="61F8357A" w:rsidR="79BE326A">
        <w:rPr>
          <w:rFonts w:ascii="Times New Roman" w:hAnsi="Times New Roman" w:eastAsia="Times New Roman" w:cs="Times New Roman"/>
          <w:b w:val="0"/>
          <w:bCs w:val="0"/>
          <w:sz w:val="40"/>
          <w:szCs w:val="40"/>
          <w:u w:val="single"/>
          <w:lang w:val="en-US"/>
        </w:rPr>
        <w:t xml:space="preserve"> 1</w:t>
      </w:r>
      <w:r w:rsidRPr="61F8357A" w:rsidR="719E45FF">
        <w:rPr>
          <w:rFonts w:ascii="Times New Roman" w:hAnsi="Times New Roman" w:eastAsia="Times New Roman" w:cs="Times New Roman"/>
          <w:b w:val="0"/>
          <w:bCs w:val="0"/>
          <w:sz w:val="40"/>
          <w:szCs w:val="40"/>
          <w:u w:val="single"/>
          <w:lang w:val="en-US"/>
        </w:rPr>
        <w:t xml:space="preserve"> ‘Big Data and Machine </w:t>
      </w:r>
      <w:r w:rsidRPr="61F8357A" w:rsidR="719E45FF">
        <w:rPr>
          <w:rFonts w:ascii="Times New Roman" w:hAnsi="Times New Roman" w:eastAsia="Times New Roman" w:cs="Times New Roman"/>
          <w:b w:val="0"/>
          <w:bCs w:val="0"/>
          <w:sz w:val="40"/>
          <w:szCs w:val="40"/>
          <w:u w:val="single"/>
          <w:lang w:val="en-US"/>
        </w:rPr>
        <w:t>Learning</w:t>
      </w:r>
      <w:r w:rsidRPr="61F8357A" w:rsidR="719E45FF">
        <w:rPr>
          <w:rFonts w:ascii="Times New Roman" w:hAnsi="Times New Roman" w:eastAsia="Times New Roman" w:cs="Times New Roman"/>
          <w:b w:val="0"/>
          <w:bCs w:val="0"/>
          <w:sz w:val="40"/>
          <w:szCs w:val="40"/>
          <w:u w:val="single"/>
          <w:lang w:val="en-US"/>
        </w:rPr>
        <w:t>’</w:t>
      </w:r>
    </w:p>
    <w:p w:rsidR="719E45FF" w:rsidP="61F8357A" w:rsidRDefault="719E45FF" w14:paraId="5E6F3258" w14:textId="07C8AE85">
      <w:pPr>
        <w:jc w:val="righ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1F8357A" w:rsidR="719E45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Integrantes: Paulo </w:t>
      </w:r>
      <w:r w:rsidRPr="61F8357A" w:rsidR="719E45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Gonzalez</w:t>
      </w:r>
      <w:r w:rsidRPr="61F8357A" w:rsidR="719E45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, </w:t>
      </w:r>
      <w:r w:rsidRPr="61F8357A" w:rsidR="539F84B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Andrea </w:t>
      </w:r>
      <w:r w:rsidRPr="61F8357A" w:rsidR="539F84B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Duette</w:t>
      </w:r>
      <w:r w:rsidRPr="61F8357A" w:rsidR="539F84B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, Uriel </w:t>
      </w:r>
      <w:r w:rsidRPr="61F8357A" w:rsidR="539F84B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Masserdotti</w:t>
      </w:r>
      <w:r w:rsidRPr="61F8357A" w:rsidR="539F84B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. </w:t>
      </w:r>
    </w:p>
    <w:p w:rsidR="61F8357A" w:rsidP="61F8357A" w:rsidRDefault="61F8357A" w14:paraId="14ADE4CC" w14:textId="4E1D84A2">
      <w:pPr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39F84BE" w:rsidP="2E4C4A1D" w:rsidRDefault="539F84BE" w14:paraId="63BF8CE1" w14:textId="1A00E94C">
      <w:p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E4C4A1D" w:rsidR="539F84BE">
        <w:rPr>
          <w:rFonts w:ascii="Times New Roman" w:hAnsi="Times New Roman" w:eastAsia="Times New Roman" w:cs="Times New Roman"/>
          <w:sz w:val="24"/>
          <w:szCs w:val="24"/>
        </w:rPr>
        <w:t xml:space="preserve">Este documento corresponde al ejercicio 3 de la parte </w:t>
      </w:r>
      <w:r w:rsidRPr="2E4C4A1D" w:rsidR="1607F362">
        <w:rPr>
          <w:rFonts w:ascii="Times New Roman" w:hAnsi="Times New Roman" w:eastAsia="Times New Roman" w:cs="Times New Roman"/>
          <w:sz w:val="24"/>
          <w:szCs w:val="24"/>
        </w:rPr>
        <w:t>A</w:t>
      </w:r>
      <w:r w:rsidRPr="2E4C4A1D" w:rsidR="5800B060">
        <w:rPr>
          <w:rFonts w:ascii="Times New Roman" w:hAnsi="Times New Roman" w:eastAsia="Times New Roman" w:cs="Times New Roman"/>
          <w:sz w:val="24"/>
          <w:szCs w:val="24"/>
        </w:rPr>
        <w:t xml:space="preserve"> del primer trabajo practico, donde describimos los </w:t>
      </w:r>
      <w:r w:rsidRPr="2E4C4A1D" w:rsidR="49EC0606">
        <w:rPr>
          <w:rFonts w:ascii="Times New Roman" w:hAnsi="Times New Roman" w:eastAsia="Times New Roman" w:cs="Times New Roman"/>
          <w:sz w:val="24"/>
          <w:szCs w:val="24"/>
        </w:rPr>
        <w:t>gráficos</w:t>
      </w:r>
      <w:r w:rsidRPr="2E4C4A1D" w:rsidR="5800B060">
        <w:rPr>
          <w:rFonts w:ascii="Times New Roman" w:hAnsi="Times New Roman" w:eastAsia="Times New Roman" w:cs="Times New Roman"/>
          <w:sz w:val="24"/>
          <w:szCs w:val="24"/>
        </w:rPr>
        <w:t xml:space="preserve"> creados </w:t>
      </w:r>
      <w:r w:rsidRPr="2E4C4A1D" w:rsidR="005F8F4D">
        <w:rPr>
          <w:rFonts w:ascii="Times New Roman" w:hAnsi="Times New Roman" w:eastAsia="Times New Roman" w:cs="Times New Roman"/>
          <w:sz w:val="24"/>
          <w:szCs w:val="24"/>
        </w:rPr>
        <w:t xml:space="preserve">con estilos </w:t>
      </w:r>
      <w:r w:rsidRPr="2E4C4A1D" w:rsidR="005F8F4D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pyplot</w:t>
      </w:r>
      <w:r w:rsidRPr="2E4C4A1D" w:rsidR="005F8F4D">
        <w:rPr>
          <w:rFonts w:ascii="Times New Roman" w:hAnsi="Times New Roman" w:eastAsia="Times New Roman" w:cs="Times New Roman"/>
          <w:sz w:val="24"/>
          <w:szCs w:val="24"/>
        </w:rPr>
        <w:t xml:space="preserve"> y </w:t>
      </w:r>
      <w:r w:rsidRPr="2E4C4A1D" w:rsidR="005F8F4D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orientados</w:t>
      </w:r>
      <w:r w:rsidRPr="2E4C4A1D" w:rsidR="005F8F4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E4C4A1D" w:rsidR="005F8F4D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a</w:t>
      </w:r>
      <w:r w:rsidRPr="2E4C4A1D" w:rsidR="005F8F4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E4C4A1D" w:rsidR="005F8F4D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objetos</w:t>
      </w:r>
      <w:r w:rsidRPr="2E4C4A1D" w:rsidR="0009EAA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.</w:t>
      </w:r>
    </w:p>
    <w:p w:rsidR="0009EAA8" w:rsidP="2E4C4A1D" w:rsidRDefault="0009EAA8" w14:paraId="1F0C1362" w14:textId="2CE9A39C">
      <w:pPr>
        <w:jc w:val="left"/>
        <w:rPr>
          <w:rFonts w:ascii="Times New Roman" w:hAnsi="Times New Roman" w:eastAsia="Times New Roman" w:cs="Times New Roman"/>
        </w:rPr>
      </w:pPr>
      <w:r w:rsidRPr="61F8357A" w:rsidR="0009EAA8">
        <w:rPr>
          <w:rFonts w:ascii="Times New Roman" w:hAnsi="Times New Roman" w:eastAsia="Times New Roman" w:cs="Times New Roman"/>
        </w:rPr>
        <w:t xml:space="preserve">Para brindar contexto, </w:t>
      </w:r>
      <w:r w:rsidRPr="61F8357A" w:rsidR="58184407">
        <w:rPr>
          <w:rFonts w:ascii="Times New Roman" w:hAnsi="Times New Roman" w:eastAsia="Times New Roman" w:cs="Times New Roman"/>
        </w:rPr>
        <w:t xml:space="preserve">los SDR (Derechos Especiales de Giro, por sus siglas en inglés) </w:t>
      </w:r>
      <w:r w:rsidRPr="61F8357A" w:rsidR="606700EA">
        <w:rPr>
          <w:rFonts w:ascii="Times New Roman" w:hAnsi="Times New Roman" w:eastAsia="Times New Roman" w:cs="Times New Roman"/>
        </w:rPr>
        <w:t>son activos de reserva internacional</w:t>
      </w:r>
      <w:r w:rsidRPr="61F8357A" w:rsidR="02D85A88">
        <w:rPr>
          <w:rFonts w:ascii="Times New Roman" w:hAnsi="Times New Roman" w:eastAsia="Times New Roman" w:cs="Times New Roman"/>
        </w:rPr>
        <w:t xml:space="preserve"> creados por el FMI para complementar las reservas de los países miembros. </w:t>
      </w:r>
      <w:r w:rsidRPr="61F8357A" w:rsidR="426F218C">
        <w:rPr>
          <w:rFonts w:ascii="Times New Roman" w:hAnsi="Times New Roman" w:eastAsia="Times New Roman" w:cs="Times New Roman"/>
        </w:rPr>
        <w:t>Su valor está basado en una ‘canasta de monedas’</w:t>
      </w:r>
      <w:r w:rsidRPr="61F8357A" w:rsidR="56633040">
        <w:rPr>
          <w:rFonts w:ascii="Times New Roman" w:hAnsi="Times New Roman" w:eastAsia="Times New Roman" w:cs="Times New Roman"/>
        </w:rPr>
        <w:t xml:space="preserve"> compuesta por el </w:t>
      </w:r>
      <w:r w:rsidRPr="61F8357A" w:rsidR="4A8E41B3">
        <w:rPr>
          <w:rFonts w:ascii="Times New Roman" w:hAnsi="Times New Roman" w:eastAsia="Times New Roman" w:cs="Times New Roman"/>
        </w:rPr>
        <w:t>dólar</w:t>
      </w:r>
      <w:r w:rsidRPr="61F8357A" w:rsidR="56633040">
        <w:rPr>
          <w:rFonts w:ascii="Times New Roman" w:hAnsi="Times New Roman" w:eastAsia="Times New Roman" w:cs="Times New Roman"/>
        </w:rPr>
        <w:t xml:space="preserve">, la libra, el yuan, el yen y el euro. </w:t>
      </w:r>
    </w:p>
    <w:p w:rsidR="564F1772" w:rsidP="2E4C4A1D" w:rsidRDefault="564F1772" w14:paraId="17EA89F3" w14:textId="50A14183">
      <w:pPr>
        <w:jc w:val="left"/>
        <w:rPr>
          <w:rFonts w:ascii="Times New Roman" w:hAnsi="Times New Roman" w:eastAsia="Times New Roman" w:cs="Times New Roman"/>
        </w:rPr>
      </w:pPr>
      <w:r w:rsidRPr="61F8357A" w:rsidR="564F1772">
        <w:rPr>
          <w:rFonts w:ascii="Times New Roman" w:hAnsi="Times New Roman" w:eastAsia="Times New Roman" w:cs="Times New Roman"/>
        </w:rPr>
        <w:t>La asignación de estos SDR depende de la cuota de participación del país miembro en el FMI, la cual tiene en consideración varios factores (como el</w:t>
      </w:r>
      <w:r w:rsidRPr="61F8357A" w:rsidR="16367EA7">
        <w:rPr>
          <w:rFonts w:ascii="Times New Roman" w:hAnsi="Times New Roman" w:eastAsia="Times New Roman" w:cs="Times New Roman"/>
        </w:rPr>
        <w:t xml:space="preserve"> PBI, saldos comerciales, estabilidad financiera, etc.), y suelen ser usados para fortalecer la </w:t>
      </w:r>
      <w:r w:rsidRPr="61F8357A" w:rsidR="3C77B8AE">
        <w:rPr>
          <w:rFonts w:ascii="Times New Roman" w:hAnsi="Times New Roman" w:eastAsia="Times New Roman" w:cs="Times New Roman"/>
        </w:rPr>
        <w:t xml:space="preserve">liquidez de los países miembro, sobre todo en </w:t>
      </w:r>
      <w:r w:rsidRPr="61F8357A" w:rsidR="2966EE71">
        <w:rPr>
          <w:rFonts w:ascii="Times New Roman" w:hAnsi="Times New Roman" w:eastAsia="Times New Roman" w:cs="Times New Roman"/>
        </w:rPr>
        <w:t>épocas</w:t>
      </w:r>
      <w:r w:rsidRPr="61F8357A" w:rsidR="3C77B8AE">
        <w:rPr>
          <w:rFonts w:ascii="Times New Roman" w:hAnsi="Times New Roman" w:eastAsia="Times New Roman" w:cs="Times New Roman"/>
        </w:rPr>
        <w:t xml:space="preserve"> de inestabilidad financiera. </w:t>
      </w:r>
    </w:p>
    <w:p w:rsidR="3C77B8AE" w:rsidP="2E4C4A1D" w:rsidRDefault="3C77B8AE" w14:paraId="43399186" w14:textId="706F8EF7">
      <w:pPr>
        <w:pStyle w:val="Normal"/>
        <w:jc w:val="left"/>
        <w:rPr>
          <w:rFonts w:ascii="Times New Roman" w:hAnsi="Times New Roman" w:eastAsia="Times New Roman" w:cs="Times New Roman"/>
        </w:rPr>
      </w:pPr>
      <w:r w:rsidRPr="041D3010" w:rsidR="3C77B8AE">
        <w:rPr>
          <w:rFonts w:ascii="Times New Roman" w:hAnsi="Times New Roman" w:eastAsia="Times New Roman" w:cs="Times New Roman"/>
        </w:rPr>
        <w:t xml:space="preserve">A continuación, se muestran los </w:t>
      </w:r>
      <w:r w:rsidRPr="041D3010" w:rsidR="3C77B8AE">
        <w:rPr>
          <w:rFonts w:ascii="Times New Roman" w:hAnsi="Times New Roman" w:eastAsia="Times New Roman" w:cs="Times New Roman"/>
        </w:rPr>
        <w:t>gráficos</w:t>
      </w:r>
      <w:r w:rsidRPr="041D3010" w:rsidR="3C77B8AE">
        <w:rPr>
          <w:rFonts w:ascii="Times New Roman" w:hAnsi="Times New Roman" w:eastAsia="Times New Roman" w:cs="Times New Roman"/>
        </w:rPr>
        <w:t xml:space="preserve"> creados: </w:t>
      </w:r>
    </w:p>
    <w:p w:rsidR="2E4C4A1D" w:rsidP="041D3010" w:rsidRDefault="2E4C4A1D" w14:paraId="6CFFEB77" w14:textId="17EC6084">
      <w:pPr>
        <w:jc w:val="left"/>
        <w:rPr>
          <w:rFonts w:ascii="Times New Roman" w:hAnsi="Times New Roman" w:eastAsia="Times New Roman" w:cs="Times New Roman"/>
        </w:rPr>
      </w:pPr>
      <w:r w:rsidR="682AFA56">
        <w:drawing>
          <wp:inline wp14:editId="355D5CD4" wp14:anchorId="4182FDCB">
            <wp:extent cx="5221233" cy="4160529"/>
            <wp:effectExtent l="0" t="0" r="0" b="0"/>
            <wp:docPr id="736643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de793be87f42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233" cy="416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4C4A1D" w:rsidP="2E4C4A1D" w:rsidRDefault="2E4C4A1D" w14:paraId="7BE1DDB7" w14:textId="260632D0">
      <w:pPr>
        <w:pStyle w:val="Normal"/>
        <w:jc w:val="left"/>
        <w:rPr>
          <w:rFonts w:ascii="Times New Roman" w:hAnsi="Times New Roman" w:eastAsia="Times New Roman" w:cs="Times New Roman"/>
        </w:rPr>
      </w:pPr>
      <w:r w:rsidRPr="041D3010" w:rsidR="682AFA56">
        <w:rPr>
          <w:rFonts w:ascii="Times New Roman" w:hAnsi="Times New Roman" w:eastAsia="Times New Roman" w:cs="Times New Roman"/>
        </w:rPr>
        <w:t xml:space="preserve">Este primer grafico </w:t>
      </w:r>
      <w:r w:rsidRPr="041D3010" w:rsidR="5F20C305">
        <w:rPr>
          <w:rFonts w:ascii="Times New Roman" w:hAnsi="Times New Roman" w:eastAsia="Times New Roman" w:cs="Times New Roman"/>
        </w:rPr>
        <w:t xml:space="preserve">compara </w:t>
      </w:r>
      <w:r w:rsidRPr="041D3010" w:rsidR="55C25B36">
        <w:rPr>
          <w:rFonts w:ascii="Times New Roman" w:hAnsi="Times New Roman" w:eastAsia="Times New Roman" w:cs="Times New Roman"/>
        </w:rPr>
        <w:t>la diferencia entre reservas</w:t>
      </w:r>
      <w:r w:rsidRPr="041D3010" w:rsidR="54924869">
        <w:rPr>
          <w:rFonts w:ascii="Times New Roman" w:hAnsi="Times New Roman" w:eastAsia="Times New Roman" w:cs="Times New Roman"/>
        </w:rPr>
        <w:t xml:space="preserve"> (sin oro)</w:t>
      </w:r>
      <w:r w:rsidRPr="041D3010" w:rsidR="55C25B36">
        <w:rPr>
          <w:rFonts w:ascii="Times New Roman" w:hAnsi="Times New Roman" w:eastAsia="Times New Roman" w:cs="Times New Roman"/>
        </w:rPr>
        <w:t xml:space="preserve"> y </w:t>
      </w:r>
      <w:r w:rsidRPr="041D3010" w:rsidR="55C25B36">
        <w:rPr>
          <w:rFonts w:ascii="Times New Roman" w:hAnsi="Times New Roman" w:eastAsia="Times New Roman" w:cs="Times New Roman"/>
        </w:rPr>
        <w:t>SDRs</w:t>
      </w:r>
      <w:r w:rsidRPr="041D3010" w:rsidR="55C25B36">
        <w:rPr>
          <w:rFonts w:ascii="Times New Roman" w:hAnsi="Times New Roman" w:eastAsia="Times New Roman" w:cs="Times New Roman"/>
        </w:rPr>
        <w:t xml:space="preserve"> </w:t>
      </w:r>
      <w:r w:rsidRPr="041D3010" w:rsidR="3508FF4E">
        <w:rPr>
          <w:rFonts w:ascii="Times New Roman" w:hAnsi="Times New Roman" w:eastAsia="Times New Roman" w:cs="Times New Roman"/>
        </w:rPr>
        <w:t xml:space="preserve">para Estados Unidos y Argentina en el primer trimestre de 2010. </w:t>
      </w:r>
      <w:r w:rsidRPr="041D3010" w:rsidR="6A86A05D">
        <w:rPr>
          <w:rFonts w:ascii="Times New Roman" w:hAnsi="Times New Roman" w:eastAsia="Times New Roman" w:cs="Times New Roman"/>
        </w:rPr>
        <w:t xml:space="preserve">Queda claro que Estados Unidos, probablemente por su mayor participación en el FMI y por estar saliendo de la crisis </w:t>
      </w:r>
      <w:r w:rsidRPr="041D3010" w:rsidR="6A86A05D">
        <w:rPr>
          <w:rFonts w:ascii="Times New Roman" w:hAnsi="Times New Roman" w:eastAsia="Times New Roman" w:cs="Times New Roman"/>
        </w:rPr>
        <w:t>subprime</w:t>
      </w:r>
      <w:r w:rsidRPr="041D3010" w:rsidR="6A86A05D">
        <w:rPr>
          <w:rFonts w:ascii="Times New Roman" w:hAnsi="Times New Roman" w:eastAsia="Times New Roman" w:cs="Times New Roman"/>
        </w:rPr>
        <w:t xml:space="preserve">, tiene una mayor </w:t>
      </w:r>
      <w:r w:rsidRPr="041D3010" w:rsidR="32823717">
        <w:rPr>
          <w:rFonts w:ascii="Times New Roman" w:hAnsi="Times New Roman" w:eastAsia="Times New Roman" w:cs="Times New Roman"/>
        </w:rPr>
        <w:t>cantidad</w:t>
      </w:r>
      <w:r w:rsidRPr="041D3010" w:rsidR="6A86A05D">
        <w:rPr>
          <w:rFonts w:ascii="Times New Roman" w:hAnsi="Times New Roman" w:eastAsia="Times New Roman" w:cs="Times New Roman"/>
        </w:rPr>
        <w:t xml:space="preserve"> de </w:t>
      </w:r>
      <w:r w:rsidRPr="041D3010" w:rsidR="6A86A05D">
        <w:rPr>
          <w:rFonts w:ascii="Times New Roman" w:hAnsi="Times New Roman" w:eastAsia="Times New Roman" w:cs="Times New Roman"/>
        </w:rPr>
        <w:t>SDRs</w:t>
      </w:r>
      <w:r w:rsidRPr="041D3010" w:rsidR="6A86A05D">
        <w:rPr>
          <w:rFonts w:ascii="Times New Roman" w:hAnsi="Times New Roman" w:eastAsia="Times New Roman" w:cs="Times New Roman"/>
        </w:rPr>
        <w:t xml:space="preserve"> </w:t>
      </w:r>
      <w:r w:rsidRPr="041D3010" w:rsidR="75A44C97">
        <w:rPr>
          <w:rFonts w:ascii="Times New Roman" w:hAnsi="Times New Roman" w:eastAsia="Times New Roman" w:cs="Times New Roman"/>
        </w:rPr>
        <w:t xml:space="preserve">en proporción a sus reservas comparado con Argentina. </w:t>
      </w:r>
    </w:p>
    <w:p w:rsidR="2E4C4A1D" w:rsidP="041D3010" w:rsidRDefault="2E4C4A1D" w14:paraId="0D1E4CF5" w14:textId="6BE20CE5">
      <w:pPr>
        <w:jc w:val="left"/>
        <w:rPr>
          <w:rFonts w:ascii="Times New Roman" w:hAnsi="Times New Roman" w:eastAsia="Times New Roman" w:cs="Times New Roman"/>
        </w:rPr>
      </w:pPr>
      <w:r w:rsidR="1E4E632B">
        <w:drawing>
          <wp:inline wp14:editId="3B13DE5C" wp14:anchorId="5FB6921F">
            <wp:extent cx="5184657" cy="4160529"/>
            <wp:effectExtent l="0" t="0" r="0" b="0"/>
            <wp:docPr id="603269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ea27015d494e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57" cy="416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4C4A1D" w:rsidP="041D3010" w:rsidRDefault="2E4C4A1D" w14:paraId="6A741692" w14:textId="7E857B61">
      <w:pPr>
        <w:pStyle w:val="Normal"/>
        <w:jc w:val="left"/>
        <w:rPr>
          <w:rFonts w:ascii="Times New Roman" w:hAnsi="Times New Roman" w:eastAsia="Times New Roman" w:cs="Times New Roman"/>
        </w:rPr>
      </w:pPr>
      <w:r w:rsidRPr="61F8357A" w:rsidR="1E4E632B">
        <w:rPr>
          <w:rFonts w:ascii="Times New Roman" w:hAnsi="Times New Roman" w:eastAsia="Times New Roman" w:cs="Times New Roman"/>
        </w:rPr>
        <w:t xml:space="preserve">Este segundo gráfico muestra </w:t>
      </w:r>
      <w:r w:rsidRPr="61F8357A" w:rsidR="56D7CA07">
        <w:rPr>
          <w:rFonts w:ascii="Times New Roman" w:hAnsi="Times New Roman" w:eastAsia="Times New Roman" w:cs="Times New Roman"/>
        </w:rPr>
        <w:t>la</w:t>
      </w:r>
      <w:r w:rsidRPr="61F8357A" w:rsidR="1E4E632B">
        <w:rPr>
          <w:rFonts w:ascii="Times New Roman" w:hAnsi="Times New Roman" w:eastAsia="Times New Roman" w:cs="Times New Roman"/>
        </w:rPr>
        <w:t xml:space="preserve"> </w:t>
      </w:r>
      <w:r w:rsidRPr="61F8357A" w:rsidR="1E4E632B">
        <w:rPr>
          <w:rFonts w:ascii="Times New Roman" w:hAnsi="Times New Roman" w:eastAsia="Times New Roman" w:cs="Times New Roman"/>
        </w:rPr>
        <w:t xml:space="preserve">evolución de las </w:t>
      </w:r>
      <w:r w:rsidRPr="61F8357A" w:rsidR="1E4E632B">
        <w:rPr>
          <w:rFonts w:ascii="Times New Roman" w:hAnsi="Times New Roman" w:eastAsia="Times New Roman" w:cs="Times New Roman"/>
        </w:rPr>
        <w:t>SDRs</w:t>
      </w:r>
      <w:r w:rsidRPr="61F8357A" w:rsidR="1E4E632B">
        <w:rPr>
          <w:rFonts w:ascii="Times New Roman" w:hAnsi="Times New Roman" w:eastAsia="Times New Roman" w:cs="Times New Roman"/>
        </w:rPr>
        <w:t xml:space="preserve"> para ambos países entre 2008 y 2012. </w:t>
      </w:r>
      <w:r w:rsidRPr="61F8357A" w:rsidR="089DBB0B">
        <w:rPr>
          <w:rFonts w:ascii="Times New Roman" w:hAnsi="Times New Roman" w:eastAsia="Times New Roman" w:cs="Times New Roman"/>
        </w:rPr>
        <w:t xml:space="preserve">Se destaca como a partir del año 2009 la asignación de </w:t>
      </w:r>
      <w:r w:rsidRPr="61F8357A" w:rsidR="089DBB0B">
        <w:rPr>
          <w:rFonts w:ascii="Times New Roman" w:hAnsi="Times New Roman" w:eastAsia="Times New Roman" w:cs="Times New Roman"/>
        </w:rPr>
        <w:t>SDRs</w:t>
      </w:r>
      <w:r w:rsidRPr="61F8357A" w:rsidR="089DBB0B">
        <w:rPr>
          <w:rFonts w:ascii="Times New Roman" w:hAnsi="Times New Roman" w:eastAsia="Times New Roman" w:cs="Times New Roman"/>
        </w:rPr>
        <w:t xml:space="preserve"> para Estados Unidos tiene un gran aumento, tras la crisis financiera </w:t>
      </w:r>
      <w:r w:rsidRPr="61F8357A" w:rsidR="0F6ABB82">
        <w:rPr>
          <w:rFonts w:ascii="Times New Roman" w:hAnsi="Times New Roman" w:eastAsia="Times New Roman" w:cs="Times New Roman"/>
        </w:rPr>
        <w:t>subprim</w:t>
      </w:r>
      <w:r w:rsidRPr="61F8357A" w:rsidR="3BE01FEF">
        <w:rPr>
          <w:rFonts w:ascii="Times New Roman" w:hAnsi="Times New Roman" w:eastAsia="Times New Roman" w:cs="Times New Roman"/>
        </w:rPr>
        <w:t>e</w:t>
      </w:r>
      <w:r w:rsidRPr="61F8357A" w:rsidR="3BE01FEF">
        <w:rPr>
          <w:rFonts w:ascii="Times New Roman" w:hAnsi="Times New Roman" w:eastAsia="Times New Roman" w:cs="Times New Roman"/>
        </w:rPr>
        <w:t xml:space="preserve">. Lo que tiene sentido, porque la Reserva Federal actuó en ese entonces inyectado mucha liquidez al mercado </w:t>
      </w:r>
      <w:r w:rsidRPr="61F8357A" w:rsidR="0B081377">
        <w:rPr>
          <w:rFonts w:ascii="Times New Roman" w:hAnsi="Times New Roman" w:eastAsia="Times New Roman" w:cs="Times New Roman"/>
        </w:rPr>
        <w:t>financiero mediante tasas de interés bajas</w:t>
      </w:r>
      <w:r w:rsidRPr="61F8357A" w:rsidR="007AAA7D">
        <w:rPr>
          <w:rFonts w:ascii="Times New Roman" w:hAnsi="Times New Roman" w:eastAsia="Times New Roman" w:cs="Times New Roman"/>
        </w:rPr>
        <w:t xml:space="preserve"> y otros mecanismos que se financiaron en parte con </w:t>
      </w:r>
      <w:r w:rsidRPr="61F8357A" w:rsidR="007AAA7D">
        <w:rPr>
          <w:rFonts w:ascii="Times New Roman" w:hAnsi="Times New Roman" w:eastAsia="Times New Roman" w:cs="Times New Roman"/>
        </w:rPr>
        <w:t>SDRs</w:t>
      </w:r>
      <w:r w:rsidRPr="61F8357A" w:rsidR="007AAA7D">
        <w:rPr>
          <w:rFonts w:ascii="Times New Roman" w:hAnsi="Times New Roman" w:eastAsia="Times New Roman" w:cs="Times New Roman"/>
        </w:rPr>
        <w:t xml:space="preserve">. </w:t>
      </w:r>
      <w:r w:rsidRPr="61F8357A" w:rsidR="7F54F694">
        <w:rPr>
          <w:rFonts w:ascii="Times New Roman" w:hAnsi="Times New Roman" w:eastAsia="Times New Roman" w:cs="Times New Roman"/>
        </w:rPr>
        <w:t xml:space="preserve">En Argentina la crisis </w:t>
      </w:r>
      <w:r w:rsidRPr="61F8357A" w:rsidR="7F54F694">
        <w:rPr>
          <w:rFonts w:ascii="Times New Roman" w:hAnsi="Times New Roman" w:eastAsia="Times New Roman" w:cs="Times New Roman"/>
        </w:rPr>
        <w:t>subprime</w:t>
      </w:r>
      <w:r w:rsidRPr="61F8357A" w:rsidR="7F54F694">
        <w:rPr>
          <w:rFonts w:ascii="Times New Roman" w:hAnsi="Times New Roman" w:eastAsia="Times New Roman" w:cs="Times New Roman"/>
        </w:rPr>
        <w:t xml:space="preserve"> no tuvo un impacto significativo por varios factores, como </w:t>
      </w:r>
      <w:r w:rsidRPr="61F8357A" w:rsidR="7862ABBD">
        <w:rPr>
          <w:rFonts w:ascii="Times New Roman" w:hAnsi="Times New Roman" w:eastAsia="Times New Roman" w:cs="Times New Roman"/>
        </w:rPr>
        <w:t xml:space="preserve">que, desde 2001, el país tuvo un acceso muy limitado al crédito internacional, </w:t>
      </w:r>
      <w:r w:rsidRPr="61F8357A" w:rsidR="29F45EF3">
        <w:rPr>
          <w:rFonts w:ascii="Times New Roman" w:hAnsi="Times New Roman" w:eastAsia="Times New Roman" w:cs="Times New Roman"/>
        </w:rPr>
        <w:t>por lo que no había una fuerte dependencia del financiamiento extern</w:t>
      </w:r>
      <w:r w:rsidRPr="61F8357A" w:rsidR="7B985BEE">
        <w:rPr>
          <w:rFonts w:ascii="Times New Roman" w:hAnsi="Times New Roman" w:eastAsia="Times New Roman" w:cs="Times New Roman"/>
        </w:rPr>
        <w:t xml:space="preserve">o. Además de tener un sistema bancario que no dejaba tanto lugar a activos de </w:t>
      </w:r>
      <w:r w:rsidRPr="61F8357A" w:rsidR="472D252B">
        <w:rPr>
          <w:rFonts w:ascii="Times New Roman" w:hAnsi="Times New Roman" w:eastAsia="Times New Roman" w:cs="Times New Roman"/>
        </w:rPr>
        <w:t xml:space="preserve">alto </w:t>
      </w:r>
      <w:r w:rsidRPr="61F8357A" w:rsidR="7B985BEE">
        <w:rPr>
          <w:rFonts w:ascii="Times New Roman" w:hAnsi="Times New Roman" w:eastAsia="Times New Roman" w:cs="Times New Roman"/>
        </w:rPr>
        <w:t>riesgo como el estadounidense de aquél entonces</w:t>
      </w:r>
      <w:r w:rsidRPr="61F8357A" w:rsidR="08FE8164">
        <w:rPr>
          <w:rFonts w:ascii="Times New Roman" w:hAnsi="Times New Roman" w:eastAsia="Times New Roman" w:cs="Times New Roman"/>
        </w:rPr>
        <w:t xml:space="preserve">. </w:t>
      </w:r>
    </w:p>
    <w:p w:rsidR="2E4C4A1D" w:rsidP="041D3010" w:rsidRDefault="2E4C4A1D" w14:paraId="7E4B052F" w14:textId="0A17AF50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2E4C4A1D" w:rsidP="041D3010" w:rsidRDefault="2E4C4A1D" w14:paraId="53D82E3F" w14:textId="128D7B21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2E4C4A1D" w:rsidP="041D3010" w:rsidRDefault="2E4C4A1D" w14:paraId="005475F2" w14:textId="4D569E31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2E4C4A1D" w:rsidP="041D3010" w:rsidRDefault="2E4C4A1D" w14:paraId="50BB1D34" w14:textId="2164770D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2E4C4A1D" w:rsidP="041D3010" w:rsidRDefault="2E4C4A1D" w14:paraId="7336C22B" w14:textId="22AF8D8B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2E4C4A1D" w:rsidP="041D3010" w:rsidRDefault="2E4C4A1D" w14:paraId="52267C43" w14:textId="7793D9F1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2E4C4A1D" w:rsidP="041D3010" w:rsidRDefault="2E4C4A1D" w14:paraId="7A07A54E" w14:textId="20DCB78F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2E4C4A1D" w:rsidP="041D3010" w:rsidRDefault="2E4C4A1D" w14:paraId="05C8C9C9" w14:textId="5132D672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2E4C4A1D" w:rsidP="041D3010" w:rsidRDefault="2E4C4A1D" w14:paraId="0E8C9137" w14:textId="2060484D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2E4C4A1D" w:rsidP="041D3010" w:rsidRDefault="2E4C4A1D" w14:paraId="3844B94A" w14:textId="1FA15FD0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2E4C4A1D" w:rsidP="2E4C4A1D" w:rsidRDefault="2E4C4A1D" w14:paraId="5D4326FA" w14:textId="2A77134C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2E4C4A1D" w:rsidP="2E4C4A1D" w:rsidRDefault="2E4C4A1D" w14:paraId="4D9C3B27" w14:textId="7EFC78C6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2E4C4A1D" w:rsidP="2E4C4A1D" w:rsidRDefault="2E4C4A1D" w14:paraId="5FD3D03E" w14:textId="22513877">
      <w:pPr>
        <w:jc w:val="left"/>
      </w:pPr>
    </w:p>
    <w:p w:rsidR="2E4C4A1D" w:rsidP="2E4C4A1D" w:rsidRDefault="2E4C4A1D" w14:paraId="1829EFD7" w14:textId="7FC29158">
      <w:pPr>
        <w:jc w:val="left"/>
      </w:pPr>
    </w:p>
    <w:p w:rsidR="2E4C4A1D" w:rsidP="2E4C4A1D" w:rsidRDefault="2E4C4A1D" w14:paraId="11F96088" w14:textId="3CF39C44">
      <w:pPr>
        <w:jc w:val="left"/>
      </w:pPr>
    </w:p>
    <w:p w:rsidR="2E4C4A1D" w:rsidP="2E4C4A1D" w:rsidRDefault="2E4C4A1D" w14:paraId="0F762054" w14:textId="316D7FD5">
      <w:pPr>
        <w:jc w:val="left"/>
      </w:pPr>
    </w:p>
    <w:p w:rsidR="2E4C4A1D" w:rsidP="2E4C4A1D" w:rsidRDefault="2E4C4A1D" w14:paraId="6C6A8C53" w14:textId="51080CBD">
      <w:pPr>
        <w:jc w:val="left"/>
      </w:pPr>
    </w:p>
    <w:p w:rsidR="2E4C4A1D" w:rsidP="2E4C4A1D" w:rsidRDefault="2E4C4A1D" w14:paraId="4EA52980" w14:textId="4F7DD415">
      <w:pPr>
        <w:jc w:val="left"/>
      </w:pPr>
    </w:p>
    <w:p w:rsidR="2E4C4A1D" w:rsidP="2E4C4A1D" w:rsidRDefault="2E4C4A1D" w14:paraId="1FEA67E0" w14:textId="61DAE1D9">
      <w:pPr>
        <w:jc w:val="left"/>
      </w:pPr>
    </w:p>
    <w:p w:rsidR="2E4C4A1D" w:rsidP="2E4C4A1D" w:rsidRDefault="2E4C4A1D" w14:paraId="590F16C5" w14:textId="65E390AD">
      <w:pPr>
        <w:jc w:val="left"/>
      </w:pPr>
    </w:p>
    <w:p w:rsidR="2E4C4A1D" w:rsidP="2E4C4A1D" w:rsidRDefault="2E4C4A1D" w14:paraId="6E3114AD" w14:textId="2D3130B0">
      <w:pPr>
        <w:jc w:val="left"/>
      </w:pPr>
    </w:p>
    <w:p w:rsidR="2E4C4A1D" w:rsidP="2E4C4A1D" w:rsidRDefault="2E4C4A1D" w14:paraId="0EF1C2A5" w14:textId="336F5010">
      <w:pPr>
        <w:jc w:val="left"/>
      </w:pPr>
    </w:p>
    <w:p w:rsidR="2E4C4A1D" w:rsidP="2E4C4A1D" w:rsidRDefault="2E4C4A1D" w14:paraId="5C2C6D97" w14:textId="46FDA274">
      <w:pPr>
        <w:jc w:val="left"/>
      </w:pPr>
    </w:p>
    <w:p w:rsidR="2E4C4A1D" w:rsidP="2E4C4A1D" w:rsidRDefault="2E4C4A1D" w14:paraId="4B26CA1F" w14:textId="31414BB6">
      <w:pPr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7C6C18"/>
    <w:rsid w:val="0009EAA8"/>
    <w:rsid w:val="005F8F4D"/>
    <w:rsid w:val="007AAA7D"/>
    <w:rsid w:val="02D85A88"/>
    <w:rsid w:val="032A2DEC"/>
    <w:rsid w:val="041D3010"/>
    <w:rsid w:val="0444E08C"/>
    <w:rsid w:val="04A351D6"/>
    <w:rsid w:val="0691FC18"/>
    <w:rsid w:val="089DBB0B"/>
    <w:rsid w:val="08FE8164"/>
    <w:rsid w:val="0ADD8EF5"/>
    <w:rsid w:val="0B081377"/>
    <w:rsid w:val="0C4A5E07"/>
    <w:rsid w:val="0C6B84AC"/>
    <w:rsid w:val="0DC2B9B1"/>
    <w:rsid w:val="0F6ABB82"/>
    <w:rsid w:val="0FD10C58"/>
    <w:rsid w:val="0FFF8E75"/>
    <w:rsid w:val="13210454"/>
    <w:rsid w:val="13417D7D"/>
    <w:rsid w:val="1607F362"/>
    <w:rsid w:val="16367EA7"/>
    <w:rsid w:val="1672500E"/>
    <w:rsid w:val="16DD6053"/>
    <w:rsid w:val="1C48B1DF"/>
    <w:rsid w:val="1E25580A"/>
    <w:rsid w:val="1E4E632B"/>
    <w:rsid w:val="1F3AEEED"/>
    <w:rsid w:val="215533C9"/>
    <w:rsid w:val="21D906D4"/>
    <w:rsid w:val="22AFE29B"/>
    <w:rsid w:val="24FB80A6"/>
    <w:rsid w:val="2966EE71"/>
    <w:rsid w:val="297F8242"/>
    <w:rsid w:val="29F45EF3"/>
    <w:rsid w:val="2CE08E2E"/>
    <w:rsid w:val="2E4C4A1D"/>
    <w:rsid w:val="3012F320"/>
    <w:rsid w:val="32823717"/>
    <w:rsid w:val="34D4C014"/>
    <w:rsid w:val="34F60944"/>
    <w:rsid w:val="3508FF4E"/>
    <w:rsid w:val="356C7E9B"/>
    <w:rsid w:val="38A2EB91"/>
    <w:rsid w:val="392FCBC2"/>
    <w:rsid w:val="3B2B5BCE"/>
    <w:rsid w:val="3BE01FEF"/>
    <w:rsid w:val="3C77B8AE"/>
    <w:rsid w:val="3D92CA15"/>
    <w:rsid w:val="41B51404"/>
    <w:rsid w:val="42456D81"/>
    <w:rsid w:val="426F218C"/>
    <w:rsid w:val="467C6C18"/>
    <w:rsid w:val="46FFA2CF"/>
    <w:rsid w:val="472D252B"/>
    <w:rsid w:val="49B26206"/>
    <w:rsid w:val="49EC0606"/>
    <w:rsid w:val="4A8E41B3"/>
    <w:rsid w:val="4BFC3B68"/>
    <w:rsid w:val="4F496913"/>
    <w:rsid w:val="51F8B958"/>
    <w:rsid w:val="5359B7E6"/>
    <w:rsid w:val="53743452"/>
    <w:rsid w:val="539F84BE"/>
    <w:rsid w:val="54924869"/>
    <w:rsid w:val="55C25B36"/>
    <w:rsid w:val="564F1772"/>
    <w:rsid w:val="56633040"/>
    <w:rsid w:val="56D7CA07"/>
    <w:rsid w:val="5800B060"/>
    <w:rsid w:val="58184407"/>
    <w:rsid w:val="5C98EADE"/>
    <w:rsid w:val="5F20C305"/>
    <w:rsid w:val="601CC82B"/>
    <w:rsid w:val="606700EA"/>
    <w:rsid w:val="610D23F4"/>
    <w:rsid w:val="61F8357A"/>
    <w:rsid w:val="62C8E2B4"/>
    <w:rsid w:val="64A98DBF"/>
    <w:rsid w:val="6591C4A7"/>
    <w:rsid w:val="682AFA56"/>
    <w:rsid w:val="6974FB80"/>
    <w:rsid w:val="6A86A05D"/>
    <w:rsid w:val="6E06F566"/>
    <w:rsid w:val="6E5037FD"/>
    <w:rsid w:val="6F030534"/>
    <w:rsid w:val="6FC6B6B5"/>
    <w:rsid w:val="71077B6F"/>
    <w:rsid w:val="719E45FF"/>
    <w:rsid w:val="7425FC0C"/>
    <w:rsid w:val="75A44C97"/>
    <w:rsid w:val="75C4A85D"/>
    <w:rsid w:val="7862ABBD"/>
    <w:rsid w:val="79BE326A"/>
    <w:rsid w:val="7AB2E4A1"/>
    <w:rsid w:val="7B854E80"/>
    <w:rsid w:val="7B985BEE"/>
    <w:rsid w:val="7BB5BAA8"/>
    <w:rsid w:val="7EBE7806"/>
    <w:rsid w:val="7F54F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6C18"/>
  <w15:chartTrackingRefBased/>
  <w15:docId w15:val="{75A51EFC-0002-4E3A-A4C9-4548E2E519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45de793be87f4297" /><Relationship Type="http://schemas.openxmlformats.org/officeDocument/2006/relationships/image" Target="/media/image4.png" Id="R35ea27015d494ee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2025-04-02T22:50:17.6947531Z</dcterms:created>
  <dcterms:modified xsi:type="dcterms:W3CDTF">2025-04-03T00:16:44.3727443Z</dcterms:modified>
  <dc:creator>Paulo Gonzalez</dc:creator>
  <lastModifiedBy>Paulo Gonzalez</lastModifiedBy>
</coreProperties>
</file>