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01CD6" w:rsidRPr="00833E2F" w:rsidRDefault="00665039" w:rsidP="00034CBA">
      <w:pPr>
        <w:spacing w:after="0" w:line="480" w:lineRule="auto"/>
        <w:ind w:leftChars="50" w:left="110"/>
        <w:rPr>
          <w:rFonts w:ascii="Times New Roman" w:eastAsia="MingLiU" w:hAnsi="Times New Roman" w:cs="Times New Roman"/>
          <w:sz w:val="24"/>
          <w:szCs w:val="24"/>
        </w:rPr>
      </w:pPr>
      <w:r w:rsidRPr="00833E2F">
        <w:rPr>
          <w:rFonts w:ascii="Times New Roman" w:eastAsia="MingLiU" w:hAnsi="Times New Roman" w:cs="Times New Roman"/>
          <w:noProof/>
          <w:sz w:val="56"/>
          <w:szCs w:val="24"/>
        </w:rPr>
        <mc:AlternateContent>
          <mc:Choice Requires="wps">
            <w:drawing>
              <wp:anchor distT="0" distB="0" distL="114300" distR="114300" simplePos="0" relativeHeight="251657215" behindDoc="0" locked="0" layoutInCell="1" allowOverlap="1">
                <wp:simplePos x="0" y="0"/>
                <wp:positionH relativeFrom="margin">
                  <wp:align>right</wp:align>
                </wp:positionH>
                <wp:positionV relativeFrom="paragraph">
                  <wp:posOffset>4104</wp:posOffset>
                </wp:positionV>
                <wp:extent cx="5773003" cy="9144000"/>
                <wp:effectExtent l="0" t="0" r="18415" b="19050"/>
                <wp:wrapNone/>
                <wp:docPr id="5"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3003" cy="9144000"/>
                        </a:xfrm>
                        <a:prstGeom prst="rect">
                          <a:avLst/>
                        </a:prstGeom>
                        <a:noFill/>
                        <a:ln w="19050" cmpd="sng">
                          <a:solidFill>
                            <a:schemeClr val="bg1">
                              <a:lumMod val="6500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549EC6" id="Rectangle 8" o:spid="_x0000_s1026" style="position:absolute;left:0;text-align:left;margin-left:403.35pt;margin-top:.3pt;width:454.55pt;height:10in;z-index:251657215;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" filled="f" strokecolor="#a5a5a5 [2092]" strokeweight="1.5pt">
                <w10:wrap anchorx="margin"/>
              </v:rect>
            </w:pict>
          </mc:Fallback>
        </mc:AlternateContent>
      </w:r>
    </w:p>
    <w:p w:rsidR="00F0632E" w:rsidRDefault="00F0632E" w:rsidP="00E96783">
      <w:pPr>
        <w:spacing w:after="0" w:line="480" w:lineRule="auto"/>
        <w:rPr>
          <w:sz w:val="24"/>
          <w:szCs w:val="24"/>
        </w:rPr>
      </w:pPr>
    </w:p>
    <w:p w:rsidR="00501CD6" w:rsidRPr="00EB79B8" w:rsidRDefault="00EB79B8" w:rsidP="00EB79B8">
      <w:pPr>
        <w:spacing w:after="0" w:line="480" w:lineRule="auto"/>
        <w:jc w:val="center"/>
        <w:rPr>
          <w:b/>
          <w:sz w:val="32"/>
          <w:szCs w:val="24"/>
        </w:rPr>
      </w:pPr>
      <w:r w:rsidRPr="00EB79B8">
        <w:rPr>
          <w:rFonts w:ascii="Times New Roman" w:eastAsia="MingLiU" w:hAnsi="Times New Roman" w:cs="Times New Roman"/>
          <w:b/>
          <w:sz w:val="72"/>
          <w:szCs w:val="24"/>
        </w:rPr>
        <w:t>R</w:t>
      </w:r>
      <w:r>
        <w:rPr>
          <w:rFonts w:ascii="Times New Roman" w:eastAsia="MingLiU" w:hAnsi="Times New Roman" w:cs="Times New Roman"/>
          <w:b/>
          <w:sz w:val="72"/>
          <w:szCs w:val="24"/>
        </w:rPr>
        <w:t xml:space="preserve"> </w:t>
      </w:r>
      <w:r w:rsidRPr="00EB79B8">
        <w:rPr>
          <w:rFonts w:ascii="Times New Roman" w:eastAsia="MingLiU" w:hAnsi="Times New Roman" w:cs="Times New Roman"/>
          <w:b/>
          <w:sz w:val="72"/>
          <w:szCs w:val="24"/>
        </w:rPr>
        <w:t>E</w:t>
      </w:r>
      <w:r>
        <w:rPr>
          <w:rFonts w:ascii="Times New Roman" w:eastAsia="MingLiU" w:hAnsi="Times New Roman" w:cs="Times New Roman"/>
          <w:b/>
          <w:sz w:val="72"/>
          <w:szCs w:val="24"/>
        </w:rPr>
        <w:t xml:space="preserve"> </w:t>
      </w:r>
      <w:r w:rsidRPr="00EB79B8">
        <w:rPr>
          <w:rFonts w:ascii="Times New Roman" w:eastAsia="MingLiU" w:hAnsi="Times New Roman" w:cs="Times New Roman"/>
          <w:b/>
          <w:sz w:val="72"/>
          <w:szCs w:val="24"/>
        </w:rPr>
        <w:t>P</w:t>
      </w:r>
      <w:r>
        <w:rPr>
          <w:rFonts w:ascii="Times New Roman" w:eastAsia="MingLiU" w:hAnsi="Times New Roman" w:cs="Times New Roman"/>
          <w:b/>
          <w:sz w:val="72"/>
          <w:szCs w:val="24"/>
        </w:rPr>
        <w:t xml:space="preserve"> </w:t>
      </w:r>
      <w:r w:rsidRPr="00EB79B8">
        <w:rPr>
          <w:rFonts w:ascii="Times New Roman" w:eastAsia="MingLiU" w:hAnsi="Times New Roman" w:cs="Times New Roman"/>
          <w:b/>
          <w:sz w:val="72"/>
          <w:szCs w:val="24"/>
        </w:rPr>
        <w:t>O</w:t>
      </w:r>
      <w:r>
        <w:rPr>
          <w:rFonts w:ascii="Times New Roman" w:eastAsia="MingLiU" w:hAnsi="Times New Roman" w:cs="Times New Roman"/>
          <w:b/>
          <w:sz w:val="72"/>
          <w:szCs w:val="24"/>
        </w:rPr>
        <w:t xml:space="preserve"> </w:t>
      </w:r>
      <w:r w:rsidRPr="00EB79B8">
        <w:rPr>
          <w:rFonts w:ascii="Times New Roman" w:eastAsia="MingLiU" w:hAnsi="Times New Roman" w:cs="Times New Roman"/>
          <w:b/>
          <w:sz w:val="72"/>
          <w:szCs w:val="24"/>
        </w:rPr>
        <w:t>R</w:t>
      </w:r>
      <w:r>
        <w:rPr>
          <w:rFonts w:ascii="Times New Roman" w:eastAsia="MingLiU" w:hAnsi="Times New Roman" w:cs="Times New Roman"/>
          <w:b/>
          <w:sz w:val="72"/>
          <w:szCs w:val="24"/>
        </w:rPr>
        <w:t xml:space="preserve"> </w:t>
      </w:r>
      <w:r w:rsidRPr="00EB79B8">
        <w:rPr>
          <w:rFonts w:ascii="Times New Roman" w:eastAsia="MingLiU" w:hAnsi="Times New Roman" w:cs="Times New Roman"/>
          <w:b/>
          <w:sz w:val="72"/>
          <w:szCs w:val="24"/>
        </w:rPr>
        <w:t>T</w:t>
      </w:r>
    </w:p>
    <w:p w:rsidR="00F0632E" w:rsidRDefault="00665039" w:rsidP="00E96783">
      <w:pPr>
        <w:spacing w:after="0" w:line="480" w:lineRule="auto"/>
        <w:rPr>
          <w:sz w:val="24"/>
          <w:szCs w:val="24"/>
        </w:rPr>
      </w:pPr>
      <w:r>
        <w:rPr>
          <w:noProof/>
        </w:rPr>
        <mc:AlternateContent>
          <mc:Choice Requires="wps">
            <w:drawing>
              <wp:anchor distT="0" distB="0" distL="114300" distR="114300" simplePos="0" relativeHeight="251658240" behindDoc="1" locked="0" layoutInCell="1" allowOverlap="1">
                <wp:simplePos x="0" y="0"/>
                <wp:positionH relativeFrom="margin">
                  <wp:align>right</wp:align>
                </wp:positionH>
                <wp:positionV relativeFrom="page">
                  <wp:posOffset>2647666</wp:posOffset>
                </wp:positionV>
                <wp:extent cx="5759137" cy="558800"/>
                <wp:effectExtent l="0" t="0" r="13335" b="12700"/>
                <wp:wrapNone/>
                <wp:docPr id="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59137" cy="55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0632E" w:rsidRPr="00833E2F" w:rsidRDefault="00F0632E" w:rsidP="00380EB5">
                            <w:pPr>
                              <w:spacing w:after="0" w:line="830" w:lineRule="exact"/>
                              <w:jc w:val="center"/>
                              <w:rPr>
                                <w:rFonts w:ascii="맑은 고딕" w:eastAsia="맑은 고딕" w:hAnsi="맑은 고딕"/>
                                <w:sz w:val="64"/>
                                <w:szCs w:val="64"/>
                              </w:rPr>
                            </w:pPr>
                            <w:r>
                              <w:rPr>
                                <w:rFonts w:ascii="맑은 고딕" w:eastAsia="맑은 고딕" w:hAnsi="맑은 고딕" w:hint="eastAsia"/>
                                <w:b/>
                                <w:w w:val="90"/>
                                <w:sz w:val="52"/>
                                <w:szCs w:val="52"/>
                              </w:rPr>
                              <w:t>PDMS 계량·혼합과 열경화 성형</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 o:spid="_x0000_s1026" style="position:absolute;margin-left:402.3pt;margin-top:208.5pt;width:453.5pt;height:44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" filled="f" stroked="f">
                <v:textbox inset="0,0,0,0">
                  <w:txbxContent>
                    <w:p w:rsidR="00F0632E" w:rsidRPr="00833E2F" w:rsidRDefault="00F0632E" w:rsidP="00380EB5">
                      <w:pPr>
                        <w:spacing w:after="0" w:line="830" w:lineRule="exact"/>
                        <w:jc w:val="center"/>
                        <w:rPr>
                          <w:rFonts w:ascii="맑은 고딕" w:eastAsia="맑은 고딕" w:hAnsi="맑은 고딕"/>
                          <w:sz w:val="64"/>
                          <w:szCs w:val="64"/>
                        </w:rPr>
                      </w:pPr>
                      <w:r>
                        <w:rPr>
                          <w:rFonts w:ascii="맑은 고딕" w:eastAsia="맑은 고딕" w:hAnsi="맑은 고딕" w:hint="eastAsia"/>
                          <w:b/>
                          <w:w w:val="90"/>
                          <w:sz w:val="52"/>
                          <w:szCs w:val="52"/>
                        </w:rPr>
                        <w:t>PDMS 계량·혼합과 열경화 성형</w:t>
                      </w:r>
                    </w:p>
                  </w:txbxContent>
                </v:textbox>
                <w10:wrap anchorx="margin" anchory="page"/>
              </v:rect>
            </w:pict>
          </mc:Fallback>
        </mc:AlternateContent>
      </w:r>
    </w:p>
    <w:p w:rsidR="00F0632E" w:rsidRDefault="00F0632E">
      <w:pPr>
        <w:spacing w:after="0" w:line="240" w:lineRule="exact"/>
        <w:rPr>
          <w:sz w:val="24"/>
          <w:szCs w:val="24"/>
        </w:rPr>
      </w:pPr>
    </w:p>
    <w:p w:rsidR="00612654" w:rsidRDefault="00612654">
      <w:pPr>
        <w:spacing w:after="0" w:line="240" w:lineRule="exact"/>
        <w:rPr>
          <w:sz w:val="24"/>
          <w:szCs w:val="24"/>
        </w:rPr>
      </w:pPr>
    </w:p>
    <w:p w:rsidR="00F0632E" w:rsidRDefault="00F0632E">
      <w:pPr>
        <w:spacing w:after="0" w:line="240" w:lineRule="exact"/>
        <w:rPr>
          <w:sz w:val="24"/>
          <w:szCs w:val="24"/>
        </w:rPr>
      </w:pPr>
    </w:p>
    <w:p w:rsidR="007860E3" w:rsidRDefault="007860E3">
      <w:pPr>
        <w:spacing w:after="0" w:line="240" w:lineRule="exact"/>
        <w:rPr>
          <w:sz w:val="24"/>
          <w:szCs w:val="24"/>
        </w:rPr>
      </w:pPr>
    </w:p>
    <w:p w:rsidR="00EB0196" w:rsidRDefault="00EB0196">
      <w:pPr>
        <w:spacing w:after="0" w:line="240" w:lineRule="exact"/>
        <w:rPr>
          <w:sz w:val="24"/>
          <w:szCs w:val="24"/>
        </w:rPr>
      </w:pPr>
    </w:p>
    <w:p w:rsidR="00F971BB" w:rsidRDefault="00F971BB">
      <w:pPr>
        <w:spacing w:after="0" w:line="240" w:lineRule="exact"/>
        <w:rPr>
          <w:sz w:val="24"/>
          <w:szCs w:val="24"/>
        </w:rPr>
      </w:pPr>
    </w:p>
    <w:p w:rsidR="00E96783" w:rsidRDefault="00E96783">
      <w:pPr>
        <w:spacing w:after="0" w:line="240" w:lineRule="exact"/>
        <w:rPr>
          <w:sz w:val="24"/>
          <w:szCs w:val="24"/>
        </w:rPr>
      </w:pPr>
    </w:p>
    <w:p w:rsidR="007860E3" w:rsidRDefault="007860E3">
      <w:pPr>
        <w:spacing w:after="0" w:line="240" w:lineRule="exact"/>
        <w:rPr>
          <w:sz w:val="24"/>
          <w:szCs w:val="24"/>
        </w:rPr>
      </w:pPr>
    </w:p>
    <w:p w:rsidR="009D3A7C" w:rsidRDefault="009D3A7C">
      <w:pPr>
        <w:spacing w:after="0" w:line="240" w:lineRule="exact"/>
        <w:rPr>
          <w:sz w:val="24"/>
          <w:szCs w:val="24"/>
        </w:rPr>
      </w:pPr>
    </w:p>
    <w:p w:rsidR="009D3A7C" w:rsidRDefault="009D3A7C">
      <w:pPr>
        <w:spacing w:after="0" w:line="240" w:lineRule="exact"/>
        <w:rPr>
          <w:sz w:val="24"/>
          <w:szCs w:val="24"/>
        </w:rPr>
      </w:pPr>
    </w:p>
    <w:p w:rsidR="009D3A7C" w:rsidRDefault="009D3A7C">
      <w:pPr>
        <w:spacing w:after="0" w:line="240" w:lineRule="exact"/>
        <w:rPr>
          <w:sz w:val="24"/>
          <w:szCs w:val="24"/>
        </w:rPr>
      </w:pPr>
    </w:p>
    <w:p w:rsidR="009D3A7C" w:rsidRDefault="007B5D06" w:rsidP="007B5D06">
      <w:pPr>
        <w:tabs>
          <w:tab w:val="left" w:pos="6296"/>
        </w:tabs>
        <w:spacing w:after="0" w:line="240" w:lineRule="exact"/>
        <w:rPr>
          <w:sz w:val="24"/>
          <w:szCs w:val="24"/>
        </w:rPr>
      </w:pPr>
      <w:r>
        <w:rPr>
          <w:sz w:val="24"/>
          <w:szCs w:val="24"/>
        </w:rPr>
        <w:tab/>
      </w:r>
    </w:p>
    <w:p w:rsidR="009D3A7C" w:rsidRDefault="003F2F73" w:rsidP="003F2F73">
      <w:pPr>
        <w:tabs>
          <w:tab w:val="left" w:pos="3946"/>
        </w:tabs>
        <w:spacing w:after="0" w:line="240" w:lineRule="exact"/>
        <w:rPr>
          <w:sz w:val="24"/>
          <w:szCs w:val="24"/>
        </w:rPr>
      </w:pPr>
      <w:r>
        <w:rPr>
          <w:sz w:val="24"/>
          <w:szCs w:val="24"/>
        </w:rPr>
        <w:tab/>
      </w:r>
    </w:p>
    <w:p w:rsidR="009D3A7C" w:rsidRDefault="009D3A7C">
      <w:pPr>
        <w:spacing w:after="0" w:line="240" w:lineRule="exact"/>
        <w:rPr>
          <w:sz w:val="24"/>
          <w:szCs w:val="24"/>
        </w:rPr>
      </w:pPr>
    </w:p>
    <w:p w:rsidR="009D3A7C" w:rsidRDefault="009D3A7C">
      <w:pPr>
        <w:spacing w:after="0" w:line="240" w:lineRule="exact"/>
        <w:rPr>
          <w:sz w:val="24"/>
          <w:szCs w:val="24"/>
        </w:rPr>
      </w:pPr>
    </w:p>
    <w:p w:rsidR="009D3A7C" w:rsidRDefault="009D3A7C">
      <w:pPr>
        <w:spacing w:after="0" w:line="240" w:lineRule="exact"/>
        <w:rPr>
          <w:sz w:val="24"/>
          <w:szCs w:val="24"/>
        </w:rPr>
      </w:pPr>
    </w:p>
    <w:p w:rsidR="009D3A7C" w:rsidRDefault="009D3A7C">
      <w:pPr>
        <w:spacing w:after="0" w:line="240" w:lineRule="exact"/>
        <w:rPr>
          <w:sz w:val="24"/>
          <w:szCs w:val="24"/>
        </w:rPr>
      </w:pPr>
    </w:p>
    <w:p w:rsidR="009D3A7C" w:rsidRDefault="009D3A7C">
      <w:pPr>
        <w:spacing w:after="0" w:line="240" w:lineRule="exact"/>
        <w:rPr>
          <w:sz w:val="24"/>
          <w:szCs w:val="24"/>
        </w:rPr>
      </w:pPr>
    </w:p>
    <w:p w:rsidR="009D3A7C" w:rsidRDefault="009D3A7C">
      <w:pPr>
        <w:spacing w:after="0" w:line="240" w:lineRule="exact"/>
        <w:rPr>
          <w:sz w:val="24"/>
          <w:szCs w:val="24"/>
        </w:rPr>
      </w:pPr>
    </w:p>
    <w:p w:rsidR="009D3A7C" w:rsidRDefault="009D3A7C">
      <w:pPr>
        <w:spacing w:after="0" w:line="240" w:lineRule="exact"/>
        <w:rPr>
          <w:sz w:val="24"/>
          <w:szCs w:val="24"/>
        </w:rPr>
      </w:pPr>
    </w:p>
    <w:p w:rsidR="009D3A7C" w:rsidRDefault="009D3A7C">
      <w:pPr>
        <w:spacing w:after="0" w:line="240" w:lineRule="exact"/>
        <w:rPr>
          <w:sz w:val="24"/>
          <w:szCs w:val="24"/>
        </w:rPr>
      </w:pPr>
    </w:p>
    <w:p w:rsidR="009D3A7C" w:rsidRDefault="009D3A7C">
      <w:pPr>
        <w:spacing w:after="0" w:line="240" w:lineRule="exact"/>
        <w:rPr>
          <w:sz w:val="24"/>
          <w:szCs w:val="24"/>
        </w:rPr>
      </w:pPr>
    </w:p>
    <w:p w:rsidR="009D3A7C" w:rsidRDefault="009D3A7C">
      <w:pPr>
        <w:spacing w:after="0" w:line="240" w:lineRule="exact"/>
        <w:rPr>
          <w:sz w:val="24"/>
          <w:szCs w:val="24"/>
        </w:rPr>
      </w:pPr>
    </w:p>
    <w:p w:rsidR="009D3A7C" w:rsidRDefault="009D3A7C">
      <w:pPr>
        <w:spacing w:after="0" w:line="240" w:lineRule="exact"/>
        <w:rPr>
          <w:sz w:val="24"/>
          <w:szCs w:val="24"/>
        </w:rPr>
      </w:pPr>
    </w:p>
    <w:p w:rsidR="009D3A7C" w:rsidRDefault="009D3A7C">
      <w:pPr>
        <w:spacing w:after="0" w:line="240" w:lineRule="exact"/>
        <w:rPr>
          <w:sz w:val="24"/>
          <w:szCs w:val="24"/>
        </w:rPr>
      </w:pPr>
    </w:p>
    <w:p w:rsidR="009D3A7C" w:rsidRDefault="009D3A7C">
      <w:pPr>
        <w:spacing w:after="0" w:line="240" w:lineRule="exact"/>
        <w:rPr>
          <w:sz w:val="24"/>
          <w:szCs w:val="24"/>
        </w:rPr>
      </w:pPr>
    </w:p>
    <w:p w:rsidR="007860E3" w:rsidRDefault="007860E3">
      <w:pPr>
        <w:spacing w:after="0" w:line="240" w:lineRule="exact"/>
        <w:rPr>
          <w:sz w:val="24"/>
          <w:szCs w:val="24"/>
        </w:rPr>
      </w:pPr>
    </w:p>
    <w:p w:rsidR="007860E3" w:rsidRDefault="007860E3">
      <w:pPr>
        <w:spacing w:after="0" w:line="240" w:lineRule="exact"/>
        <w:rPr>
          <w:sz w:val="24"/>
          <w:szCs w:val="24"/>
        </w:rPr>
      </w:pPr>
    </w:p>
    <w:p w:rsidR="00EB79B8" w:rsidRDefault="00EB79B8">
      <w:pPr>
        <w:spacing w:after="0" w:line="240" w:lineRule="exact"/>
        <w:rPr>
          <w:sz w:val="24"/>
          <w:szCs w:val="24"/>
        </w:rPr>
      </w:pPr>
    </w:p>
    <w:tbl>
      <w:tblPr>
        <w:tblStyle w:val="a3"/>
        <w:tblpPr w:leftFromText="142" w:rightFromText="142" w:vertAnchor="text" w:horzAnchor="margin" w:tblpXSpec="center" w:tblpY="-34"/>
        <w:tblW w:w="0" w:type="auto"/>
        <w:tblBorders>
          <w:top w:val="none" w:sz="0" w:space="0" w:color="auto"/>
          <w:left w:val="none" w:sz="0" w:space="0" w:color="auto"/>
          <w:bottom w:val="none" w:sz="0" w:space="0" w:color="auto"/>
          <w:right w:val="none" w:sz="0" w:space="0" w:color="auto"/>
          <w:insideH w:val="single" w:sz="8" w:space="0" w:color="auto"/>
          <w:insideV w:val="none" w:sz="0" w:space="0" w:color="auto"/>
        </w:tblBorders>
        <w:tblLook w:val="04A0" w:firstRow="1" w:lastRow="0" w:firstColumn="1" w:lastColumn="0" w:noHBand="0" w:noVBand="1"/>
      </w:tblPr>
      <w:tblGrid>
        <w:gridCol w:w="2835"/>
        <w:gridCol w:w="2360"/>
      </w:tblGrid>
      <w:tr w:rsidR="00EB79B8" w:rsidTr="00EB79B8">
        <w:trPr>
          <w:trHeight w:val="580"/>
        </w:trPr>
        <w:tc>
          <w:tcPr>
            <w:tcW w:w="2835" w:type="dxa"/>
            <w:shd w:val="clear" w:color="auto" w:fill="auto"/>
            <w:vAlign w:val="center"/>
          </w:tcPr>
          <w:p w:rsidR="00EB79B8" w:rsidRPr="00295A56" w:rsidRDefault="00EB79B8" w:rsidP="00EB79B8">
            <w:pPr>
              <w:jc w:val="distribute"/>
              <w:rPr>
                <w:sz w:val="28"/>
                <w:szCs w:val="24"/>
              </w:rPr>
            </w:pPr>
            <w:r>
              <w:rPr>
                <w:rFonts w:ascii="맑은 고딕" w:eastAsia="맑은 고딕" w:hAnsi="맑은 고딕" w:hint="eastAsia"/>
                <w:b/>
                <w:w w:val="90"/>
                <w:sz w:val="28"/>
                <w:szCs w:val="32"/>
              </w:rPr>
              <w:t>•</w:t>
            </w:r>
            <w:r w:rsidRPr="00295A56">
              <w:rPr>
                <w:rFonts w:ascii="맑은 고딕" w:eastAsia="맑은 고딕" w:hAnsi="맑은 고딕" w:hint="eastAsia"/>
                <w:b/>
                <w:w w:val="90"/>
                <w:sz w:val="28"/>
                <w:szCs w:val="32"/>
              </w:rPr>
              <w:t>과 목 명:</w:t>
            </w:r>
          </w:p>
        </w:tc>
        <w:tc>
          <w:tcPr>
            <w:tcW w:w="2360" w:type="dxa"/>
            <w:shd w:val="clear" w:color="auto" w:fill="auto"/>
            <w:vAlign w:val="center"/>
          </w:tcPr>
          <w:p w:rsidR="00EB79B8" w:rsidRPr="00295A56" w:rsidRDefault="00EB79B8" w:rsidP="00EB79B8">
            <w:pPr>
              <w:jc w:val="distribute"/>
              <w:rPr>
                <w:sz w:val="28"/>
                <w:szCs w:val="24"/>
              </w:rPr>
            </w:pPr>
          </w:p>
        </w:tc>
      </w:tr>
      <w:tr w:rsidR="00EB79B8" w:rsidTr="00EB79B8">
        <w:trPr>
          <w:trHeight w:val="544"/>
        </w:trPr>
        <w:tc>
          <w:tcPr>
            <w:tcW w:w="2835" w:type="dxa"/>
            <w:shd w:val="clear" w:color="auto" w:fill="auto"/>
            <w:vAlign w:val="center"/>
          </w:tcPr>
          <w:p w:rsidR="00EB79B8" w:rsidRPr="00295A56" w:rsidRDefault="00EB79B8" w:rsidP="00EB79B8">
            <w:pPr>
              <w:jc w:val="distribute"/>
              <w:rPr>
                <w:sz w:val="28"/>
                <w:szCs w:val="24"/>
              </w:rPr>
            </w:pPr>
            <w:r>
              <w:rPr>
                <w:rFonts w:ascii="맑은 고딕" w:eastAsia="맑은 고딕" w:hAnsi="맑은 고딕" w:hint="eastAsia"/>
                <w:b/>
                <w:w w:val="90"/>
                <w:sz w:val="28"/>
                <w:szCs w:val="32"/>
              </w:rPr>
              <w:t>•</w:t>
            </w:r>
            <w:r w:rsidRPr="00295A56">
              <w:rPr>
                <w:rFonts w:ascii="맑은 고딕" w:eastAsia="맑은 고딕" w:hAnsi="맑은 고딕" w:hint="eastAsia"/>
                <w:b/>
                <w:w w:val="90"/>
                <w:sz w:val="28"/>
                <w:szCs w:val="32"/>
              </w:rPr>
              <w:t>담당교수:</w:t>
            </w:r>
          </w:p>
        </w:tc>
        <w:tc>
          <w:tcPr>
            <w:tcW w:w="2360" w:type="dxa"/>
            <w:shd w:val="clear" w:color="auto" w:fill="auto"/>
            <w:vAlign w:val="center"/>
          </w:tcPr>
          <w:p w:rsidR="00EB79B8" w:rsidRPr="00295A56" w:rsidRDefault="00EB79B8" w:rsidP="00EB79B8">
            <w:pPr>
              <w:jc w:val="distribute"/>
              <w:rPr>
                <w:sz w:val="28"/>
                <w:szCs w:val="24"/>
              </w:rPr>
            </w:pPr>
          </w:p>
        </w:tc>
      </w:tr>
      <w:tr w:rsidR="00EB79B8" w:rsidTr="00EB79B8">
        <w:trPr>
          <w:trHeight w:val="580"/>
        </w:trPr>
        <w:tc>
          <w:tcPr>
            <w:tcW w:w="2835" w:type="dxa"/>
            <w:shd w:val="clear" w:color="auto" w:fill="auto"/>
            <w:vAlign w:val="center"/>
          </w:tcPr>
          <w:p w:rsidR="00EB79B8" w:rsidRPr="00295A56" w:rsidRDefault="00EB79B8" w:rsidP="00EB79B8">
            <w:pPr>
              <w:jc w:val="distribute"/>
              <w:rPr>
                <w:sz w:val="28"/>
                <w:szCs w:val="24"/>
              </w:rPr>
            </w:pPr>
            <w:r>
              <w:rPr>
                <w:rFonts w:ascii="맑은 고딕" w:eastAsia="맑은 고딕" w:hAnsi="맑은 고딕" w:hint="eastAsia"/>
                <w:b/>
                <w:w w:val="90"/>
                <w:sz w:val="28"/>
                <w:szCs w:val="32"/>
              </w:rPr>
              <w:t>•</w:t>
            </w:r>
            <w:r w:rsidRPr="00295A56">
              <w:rPr>
                <w:rFonts w:ascii="맑은 고딕" w:eastAsia="맑은 고딕" w:hAnsi="맑은 고딕" w:hint="eastAsia"/>
                <w:b/>
                <w:w w:val="90"/>
                <w:sz w:val="28"/>
                <w:szCs w:val="32"/>
              </w:rPr>
              <w:t>제 출 일:</w:t>
            </w:r>
          </w:p>
        </w:tc>
        <w:tc>
          <w:tcPr>
            <w:tcW w:w="2360" w:type="dxa"/>
            <w:shd w:val="clear" w:color="auto" w:fill="auto"/>
            <w:vAlign w:val="center"/>
          </w:tcPr>
          <w:p w:rsidR="00EB79B8" w:rsidRPr="00295A56" w:rsidRDefault="00EB79B8" w:rsidP="00EB79B8">
            <w:pPr>
              <w:jc w:val="left"/>
              <w:rPr>
                <w:sz w:val="28"/>
                <w:szCs w:val="24"/>
              </w:rPr>
            </w:pPr>
            <w:r>
              <w:rPr>
                <w:rFonts w:ascii="맑은 고딕" w:eastAsia="맑은 고딕" w:hAnsi="맑은 고딕"/>
                <w:sz w:val="26"/>
                <w:szCs w:val="26"/>
              </w:rPr>
              <w:t xml:space="preserve"> 2026. 10. 29.</w:t>
            </w:r>
          </w:p>
        </w:tc>
      </w:tr>
      <w:tr w:rsidR="00EB79B8" w:rsidTr="00EB79B8">
        <w:trPr>
          <w:trHeight w:val="580"/>
        </w:trPr>
        <w:tc>
          <w:tcPr>
            <w:tcW w:w="2835" w:type="dxa"/>
            <w:shd w:val="clear" w:color="auto" w:fill="auto"/>
            <w:vAlign w:val="center"/>
          </w:tcPr>
          <w:p w:rsidR="00EB79B8" w:rsidRPr="00295A56" w:rsidRDefault="00EB79B8" w:rsidP="00EB79B8">
            <w:pPr>
              <w:jc w:val="distribute"/>
              <w:rPr>
                <w:sz w:val="28"/>
                <w:szCs w:val="24"/>
              </w:rPr>
            </w:pPr>
            <w:r>
              <w:rPr>
                <w:rFonts w:ascii="맑은 고딕" w:eastAsia="맑은 고딕" w:hAnsi="맑은 고딕" w:hint="eastAsia"/>
                <w:b/>
                <w:w w:val="90"/>
                <w:sz w:val="28"/>
                <w:szCs w:val="32"/>
              </w:rPr>
              <w:t>•</w:t>
            </w:r>
            <w:r w:rsidRPr="00295A56">
              <w:rPr>
                <w:rFonts w:ascii="맑은 고딕" w:eastAsia="맑은 고딕" w:hAnsi="맑은 고딕" w:hint="eastAsia"/>
                <w:b/>
                <w:w w:val="90"/>
                <w:sz w:val="28"/>
                <w:szCs w:val="32"/>
              </w:rPr>
              <w:t xml:space="preserve">학 </w:t>
            </w:r>
            <w:r w:rsidRPr="00295A56">
              <w:rPr>
                <w:rFonts w:ascii="맑은 고딕" w:eastAsia="맑은 고딕" w:hAnsi="맑은 고딕"/>
                <w:b/>
                <w:w w:val="90"/>
                <w:sz w:val="28"/>
                <w:szCs w:val="32"/>
              </w:rPr>
              <w:t xml:space="preserve">  </w:t>
            </w:r>
            <w:r w:rsidRPr="00295A56">
              <w:rPr>
                <w:rFonts w:ascii="맑은 고딕" w:eastAsia="맑은 고딕" w:hAnsi="맑은 고딕" w:hint="eastAsia"/>
                <w:b/>
                <w:w w:val="90"/>
                <w:sz w:val="28"/>
                <w:szCs w:val="32"/>
              </w:rPr>
              <w:t>과:</w:t>
            </w:r>
          </w:p>
        </w:tc>
        <w:tc>
          <w:tcPr>
            <w:tcW w:w="2360" w:type="dxa"/>
            <w:shd w:val="clear" w:color="auto" w:fill="auto"/>
            <w:vAlign w:val="center"/>
          </w:tcPr>
          <w:p w:rsidR="00EB79B8" w:rsidRPr="00295A56" w:rsidRDefault="00EB79B8" w:rsidP="00EB79B8">
            <w:pPr>
              <w:jc w:val="distribute"/>
              <w:rPr>
                <w:sz w:val="28"/>
                <w:szCs w:val="24"/>
              </w:rPr>
            </w:pPr>
          </w:p>
        </w:tc>
      </w:tr>
      <w:tr w:rsidR="00EB79B8" w:rsidTr="00EB79B8">
        <w:trPr>
          <w:trHeight w:val="544"/>
        </w:trPr>
        <w:tc>
          <w:tcPr>
            <w:tcW w:w="2835" w:type="dxa"/>
            <w:tcBorders>
              <w:bottom w:val="single" w:sz="8" w:space="0" w:color="auto"/>
            </w:tcBorders>
            <w:shd w:val="clear" w:color="auto" w:fill="auto"/>
            <w:vAlign w:val="center"/>
          </w:tcPr>
          <w:p w:rsidR="00EB79B8" w:rsidRPr="00295A56" w:rsidRDefault="00EB79B8" w:rsidP="00EB79B8">
            <w:pPr>
              <w:jc w:val="distribute"/>
              <w:rPr>
                <w:sz w:val="28"/>
                <w:szCs w:val="24"/>
              </w:rPr>
            </w:pPr>
            <w:r>
              <w:rPr>
                <w:rFonts w:ascii="맑은 고딕" w:eastAsia="맑은 고딕" w:hAnsi="맑은 고딕" w:hint="eastAsia"/>
                <w:b/>
                <w:w w:val="90"/>
                <w:sz w:val="28"/>
                <w:szCs w:val="32"/>
              </w:rPr>
              <w:t>•</w:t>
            </w:r>
            <w:r w:rsidRPr="00295A56">
              <w:rPr>
                <w:rFonts w:ascii="맑은 고딕" w:eastAsia="맑은 고딕" w:hAnsi="맑은 고딕" w:hint="eastAsia"/>
                <w:b/>
                <w:w w:val="90"/>
                <w:sz w:val="28"/>
                <w:szCs w:val="32"/>
              </w:rPr>
              <w:t xml:space="preserve"> 학 </w:t>
            </w:r>
            <w:r w:rsidRPr="00295A56">
              <w:rPr>
                <w:rFonts w:ascii="맑은 고딕" w:eastAsia="맑은 고딕" w:hAnsi="맑은 고딕"/>
                <w:b/>
                <w:w w:val="90"/>
                <w:sz w:val="28"/>
                <w:szCs w:val="32"/>
              </w:rPr>
              <w:t xml:space="preserve">      </w:t>
            </w:r>
            <w:r w:rsidRPr="00295A56">
              <w:rPr>
                <w:rFonts w:ascii="맑은 고딕" w:eastAsia="맑은 고딕" w:hAnsi="맑은 고딕" w:hint="eastAsia"/>
                <w:b/>
                <w:w w:val="90"/>
                <w:sz w:val="28"/>
                <w:szCs w:val="32"/>
              </w:rPr>
              <w:t>번 :</w:t>
            </w:r>
          </w:p>
        </w:tc>
        <w:tc>
          <w:tcPr>
            <w:tcW w:w="2360" w:type="dxa"/>
            <w:tcBorders>
              <w:bottom w:val="single" w:sz="8" w:space="0" w:color="auto"/>
            </w:tcBorders>
            <w:shd w:val="clear" w:color="auto" w:fill="auto"/>
            <w:vAlign w:val="center"/>
          </w:tcPr>
          <w:p w:rsidR="00EB79B8" w:rsidRPr="00295A56" w:rsidRDefault="00EB79B8" w:rsidP="00EB79B8">
            <w:pPr>
              <w:jc w:val="distribute"/>
              <w:rPr>
                <w:sz w:val="28"/>
                <w:szCs w:val="24"/>
              </w:rPr>
            </w:pPr>
          </w:p>
        </w:tc>
      </w:tr>
      <w:tr w:rsidR="00EB79B8" w:rsidTr="00EB79B8">
        <w:trPr>
          <w:trHeight w:val="580"/>
        </w:trPr>
        <w:tc>
          <w:tcPr>
            <w:tcW w:w="2835" w:type="dxa"/>
            <w:tcBorders>
              <w:top w:val="single" w:sz="8" w:space="0" w:color="auto"/>
              <w:bottom w:val="single" w:sz="8" w:space="0" w:color="auto"/>
            </w:tcBorders>
            <w:shd w:val="clear" w:color="auto" w:fill="auto"/>
            <w:vAlign w:val="center"/>
          </w:tcPr>
          <w:p w:rsidR="00EB79B8" w:rsidRPr="00295A56" w:rsidRDefault="00EB79B8" w:rsidP="00EB79B8">
            <w:pPr>
              <w:jc w:val="distribute"/>
              <w:rPr>
                <w:sz w:val="28"/>
                <w:szCs w:val="24"/>
              </w:rPr>
            </w:pPr>
            <w:r>
              <w:rPr>
                <w:rFonts w:ascii="맑은 고딕" w:eastAsia="맑은 고딕" w:hAnsi="맑은 고딕" w:hint="eastAsia"/>
                <w:b/>
                <w:w w:val="90"/>
                <w:sz w:val="28"/>
                <w:szCs w:val="32"/>
              </w:rPr>
              <w:t>•</w:t>
            </w:r>
            <w:r w:rsidRPr="00295A56">
              <w:rPr>
                <w:rFonts w:ascii="맑은 고딕" w:eastAsia="맑은 고딕" w:hAnsi="맑은 고딕" w:hint="eastAsia"/>
                <w:b/>
                <w:w w:val="90"/>
                <w:sz w:val="28"/>
                <w:szCs w:val="32"/>
              </w:rPr>
              <w:t xml:space="preserve">성 </w:t>
            </w:r>
            <w:r w:rsidRPr="00295A56">
              <w:rPr>
                <w:rFonts w:ascii="맑은 고딕" w:eastAsia="맑은 고딕" w:hAnsi="맑은 고딕"/>
                <w:b/>
                <w:w w:val="90"/>
                <w:sz w:val="28"/>
                <w:szCs w:val="32"/>
              </w:rPr>
              <w:t xml:space="preserve">  </w:t>
            </w:r>
            <w:r w:rsidRPr="00295A56">
              <w:rPr>
                <w:rFonts w:ascii="맑은 고딕" w:eastAsia="맑은 고딕" w:hAnsi="맑은 고딕" w:hint="eastAsia"/>
                <w:b/>
                <w:w w:val="90"/>
                <w:sz w:val="28"/>
                <w:szCs w:val="32"/>
              </w:rPr>
              <w:t>명:</w:t>
            </w:r>
          </w:p>
        </w:tc>
        <w:tc>
          <w:tcPr>
            <w:tcW w:w="2360" w:type="dxa"/>
            <w:tcBorders>
              <w:top w:val="single" w:sz="8" w:space="0" w:color="auto"/>
              <w:bottom w:val="single" w:sz="8" w:space="0" w:color="auto"/>
            </w:tcBorders>
            <w:shd w:val="clear" w:color="auto" w:fill="auto"/>
            <w:vAlign w:val="center"/>
          </w:tcPr>
          <w:p w:rsidR="00EB79B8" w:rsidRPr="00295A56" w:rsidRDefault="00EB79B8" w:rsidP="00EB79B8">
            <w:pPr>
              <w:jc w:val="distribute"/>
              <w:rPr>
                <w:sz w:val="28"/>
                <w:szCs w:val="24"/>
              </w:rPr>
            </w:pPr>
          </w:p>
        </w:tc>
      </w:tr>
    </w:tbl>
    <w:p w:rsidR="00E96783" w:rsidRDefault="00E96783">
      <w:pPr>
        <w:spacing w:after="0" w:line="240" w:lineRule="exact"/>
        <w:rPr>
          <w:sz w:val="24"/>
          <w:szCs w:val="24"/>
        </w:rPr>
      </w:pPr>
    </w:p>
    <w:p w:rsidR="00034CBA" w:rsidRDefault="00034CBA">
      <w:pPr>
        <w:spacing w:after="0" w:line="240" w:lineRule="exact"/>
        <w:rPr>
          <w:sz w:val="24"/>
          <w:szCs w:val="24"/>
        </w:rPr>
      </w:pPr>
    </w:p>
    <w:p w:rsidR="00034CBA" w:rsidRDefault="00034CBA">
      <w:pPr>
        <w:spacing w:after="0" w:line="240" w:lineRule="exact"/>
        <w:rPr>
          <w:sz w:val="24"/>
          <w:szCs w:val="24"/>
        </w:rPr>
      </w:pPr>
    </w:p>
    <w:p w:rsidR="00034CBA" w:rsidRDefault="00034CBA">
      <w:pPr>
        <w:spacing w:after="0" w:line="240" w:lineRule="exact"/>
        <w:rPr>
          <w:sz w:val="24"/>
          <w:szCs w:val="24"/>
        </w:rPr>
      </w:pPr>
    </w:p>
    <w:p w:rsidR="00034CBA" w:rsidRDefault="00034CBA">
      <w:pPr>
        <w:spacing w:after="0" w:line="240" w:lineRule="exact"/>
        <w:rPr>
          <w:sz w:val="24"/>
          <w:szCs w:val="24"/>
        </w:rPr>
      </w:pPr>
    </w:p>
    <w:p w:rsidR="00034CBA" w:rsidRDefault="00034CBA">
      <w:pPr>
        <w:spacing w:after="0" w:line="240" w:lineRule="exact"/>
        <w:rPr>
          <w:sz w:val="24"/>
          <w:szCs w:val="24"/>
        </w:rPr>
      </w:pPr>
    </w:p>
    <w:p w:rsidR="00034CBA" w:rsidRDefault="00034CBA">
      <w:pPr>
        <w:spacing w:after="0" w:line="240" w:lineRule="exact"/>
        <w:rPr>
          <w:sz w:val="24"/>
          <w:szCs w:val="24"/>
        </w:rPr>
      </w:pPr>
    </w:p>
    <w:p w:rsidR="00DB7E84" w:rsidRDefault="00EB79B8" w:rsidP="00EB0196">
      <w:pPr>
        <w:rPr>
          <w:sz w:val="24"/>
          <w:szCs w:val="24"/>
        </w:rPr>
      </w:pPr>
      <w:r>
        <w:rPr>
          <w:sz w:val="24"/>
          <w:szCs w:val="24"/>
        </w:rPr>
        <w:br w:type="page"/>
      </w:r>
    </w:p>
    <w:sdt>
      <w:sdtPr>
        <w:rPr>
          <w:rFonts w:asciiTheme="minorHAnsi" w:eastAsiaTheme="minorEastAsia" w:hAnsiTheme="minorHAnsi" w:cstheme="minorBidi"/>
          <w:color w:val="auto"/>
          <w:sz w:val="22"/>
          <w:szCs w:val="22"/>
          <w:lang w:val="ko-KR"/>
        </w:rPr>
        <w:id w:val="1031840340"/>
        <w:docPartObj>
          <w:docPartGallery w:val="Table of Contents"/>
          <w:docPartUnique/>
        </w:docPartObj>
      </w:sdtPr>
      <w:sdtEndPr>
        <w:rPr>
          <w:b/>
          <w:bCs/>
        </w:rPr>
      </w:sdtEndPr>
      <w:sdtContent>
        <w:p w:rsidR="00DB7E84" w:rsidRPr="00A81D0C" w:rsidRDefault="00DB7E84" w:rsidP="00DB7E84">
          <w:pPr>
            <w:pStyle w:val="TOC"/>
            <w:jc w:val="center"/>
            <w:rPr>
              <w:b/>
              <w:sz w:val="36"/>
            </w:rPr>
          </w:pPr>
          <w:r w:rsidRPr="00A81D0C">
            <w:rPr>
              <w:rFonts w:hint="eastAsia"/>
              <w:b/>
              <w:sz w:val="36"/>
              <w:lang w:val="ko-KR"/>
            </w:rPr>
            <w:t>목</w:t>
          </w:r>
          <w:r w:rsidR="004D2805" w:rsidRPr="00A81D0C">
            <w:rPr>
              <w:rFonts w:hint="eastAsia"/>
              <w:b/>
              <w:sz w:val="36"/>
              <w:lang w:val="ko-KR"/>
            </w:rPr>
            <w:t xml:space="preserve"> </w:t>
          </w:r>
          <w:r w:rsidR="004D2805" w:rsidRPr="00A81D0C">
            <w:rPr>
              <w:b/>
              <w:sz w:val="36"/>
              <w:lang w:val="ko-KR"/>
            </w:rPr>
            <w:t xml:space="preserve">     </w:t>
          </w:r>
          <w:r w:rsidRPr="00A81D0C">
            <w:rPr>
              <w:rFonts w:hint="eastAsia"/>
              <w:b/>
              <w:sz w:val="36"/>
              <w:lang w:val="ko-KR"/>
            </w:rPr>
            <w:t>차</w:t>
          </w:r>
        </w:p>
        <w:p>
          <w:pPr>
            <w:pStyle w:val="10"/>
            <w:tabs>
              <w:tab w:val="left" w:pos="520"/>
              <w:tab w:val="right" w:pos="9100" w:leader="dot"/>
            </w:tabs>
            <w:spacing w:before="240" w:after="60"/>
          </w:pPr>
          <w:r>
            <w:rPr/>
            <w:fldChar w:fldCharType="begin"/>
          </w:r>
          <w:r>
            <w:rPr/>
            <w:instrText xml:space="preserve"> TOC \o "1-2" \h \z \u </w:instrText>
          </w:r>
          <w:r>
            <w:rPr/>
            <w:fldChar w:fldCharType="separate"/>
          </w:r>
          <w:hyperlink w:anchor="_Toc900501" w:history="1">
            <w:r>
              <w:rPr>
                <w:b/>
                <w:bCs/>
                <w:sz w:val="24"/>
                <w:szCs w:val="24"/>
              </w:rPr>
              <w:t xml:space="preserve">1.</w:t>
              <w:tab/>
              <w:t xml:space="preserve">서론</w:t>
              <w:tab/>
              <w:t xml:space="preserve"/>
            </w:r>
            <w:r>
              <w:rPr/>
              <w:fldChar w:fldCharType="begin"/>
            </w:r>
            <w:r>
              <w:rPr/>
              <w:instrText xml:space="preserve"> PAGEREF _Toc900501 \h </w:instrText>
            </w:r>
            <w:r>
              <w:rPr/>
              <w:fldChar w:fldCharType="separate"/>
            </w:r>
            <w:r>
              <w:rPr>
                <w:b/>
                <w:bCs/>
                <w:sz w:val="24"/>
                <w:szCs w:val="24"/>
              </w:rPr>
              <w:t xml:space="preserve">2</w:t>
            </w:r>
            <w:r>
              <w:rPr/>
              <w:fldChar w:fldCharType="end"/>
            </w:r>
          </w:hyperlink>
        </w:p>
        <w:p>
          <w:pPr>
            <w:pStyle w:val="2"/>
            <w:tabs>
              <w:tab w:val="left" w:pos="1000"/>
              <w:tab w:val="right" w:pos="9100" w:leader="dot"/>
            </w:tabs>
            <w:spacing w:before="0" w:after="40"/>
            <w:ind w:left="300"/>
          </w:pPr>
          <w:hyperlink w:anchor="_Toc900502" w:history="1">
            <w:r>
              <w:rPr>
                <w:sz w:val="22"/>
                <w:szCs w:val="22"/>
              </w:rPr>
              <w:t xml:space="preserve">1.1</w:t>
              <w:tab/>
              <w:t xml:space="preserve">실습 목적</w:t>
              <w:tab/>
              <w:t xml:space="preserve"/>
            </w:r>
            <w:r>
              <w:rPr/>
              <w:fldChar w:fldCharType="begin"/>
            </w:r>
            <w:r>
              <w:rPr/>
              <w:instrText xml:space="preserve"> PAGEREF _Toc900502 \h </w:instrText>
            </w:r>
            <w:r>
              <w:rPr/>
              <w:fldChar w:fldCharType="separate"/>
            </w:r>
            <w:r>
              <w:rPr>
                <w:sz w:val="22"/>
                <w:szCs w:val="22"/>
              </w:rPr>
              <w:t xml:space="preserve">2</w:t>
            </w:r>
            <w:r>
              <w:rPr/>
              <w:fldChar w:fldCharType="end"/>
            </w:r>
          </w:hyperlink>
        </w:p>
        <w:p>
          <w:pPr>
            <w:pStyle w:val="2"/>
            <w:tabs>
              <w:tab w:val="left" w:pos="1000"/>
              <w:tab w:val="right" w:pos="9100" w:leader="dot"/>
            </w:tabs>
            <w:spacing w:before="0" w:after="40"/>
            <w:ind w:left="300"/>
          </w:pPr>
          <w:hyperlink w:anchor="_Toc900503" w:history="1">
            <w:r>
              <w:rPr>
                <w:sz w:val="22"/>
                <w:szCs w:val="22"/>
              </w:rPr>
              <w:t xml:space="preserve">1.2</w:t>
              <w:tab/>
              <w:t xml:space="preserve">공정 흐름</w:t>
              <w:tab/>
              <w:t xml:space="preserve"/>
            </w:r>
            <w:r>
              <w:rPr/>
              <w:fldChar w:fldCharType="begin"/>
            </w:r>
            <w:r>
              <w:rPr/>
              <w:instrText xml:space="preserve"> PAGEREF _Toc900503 \h </w:instrText>
            </w:r>
            <w:r>
              <w:rPr/>
              <w:fldChar w:fldCharType="separate"/>
            </w:r>
            <w:r>
              <w:rPr>
                <w:sz w:val="22"/>
                <w:szCs w:val="22"/>
              </w:rPr>
              <w:t xml:space="preserve">2</w:t>
            </w:r>
            <w:r>
              <w:rPr/>
              <w:fldChar w:fldCharType="end"/>
            </w:r>
          </w:hyperlink>
        </w:p>
        <w:p>
          <w:pPr>
            <w:pStyle w:val="10"/>
            <w:tabs>
              <w:tab w:val="left" w:pos="520"/>
              <w:tab w:val="right" w:pos="9100" w:leader="dot"/>
            </w:tabs>
            <w:spacing w:before="160" w:after="60"/>
          </w:pPr>
          <w:hyperlink w:anchor="_Toc900504" w:history="1">
            <w:r>
              <w:rPr>
                <w:b/>
                <w:bCs/>
                <w:sz w:val="24"/>
                <w:szCs w:val="24"/>
              </w:rPr>
              <w:t xml:space="preserve">2.</w:t>
              <w:tab/>
              <w:t xml:space="preserve">공통 주의사항</w:t>
              <w:tab/>
              <w:t xml:space="preserve"/>
            </w:r>
            <w:r>
              <w:rPr/>
              <w:fldChar w:fldCharType="begin"/>
            </w:r>
            <w:r>
              <w:rPr/>
              <w:instrText xml:space="preserve"> PAGEREF _Toc900504 \h </w:instrText>
            </w:r>
            <w:r>
              <w:rPr/>
              <w:fldChar w:fldCharType="separate"/>
            </w:r>
            <w:r>
              <w:rPr>
                <w:b/>
                <w:bCs/>
                <w:sz w:val="24"/>
                <w:szCs w:val="24"/>
              </w:rPr>
              <w:t xml:space="preserve">2</w:t>
            </w:r>
            <w:r>
              <w:rPr/>
              <w:fldChar w:fldCharType="end"/>
            </w:r>
          </w:hyperlink>
        </w:p>
        <w:p>
          <w:pPr>
            <w:pStyle w:val="10"/>
            <w:tabs>
              <w:tab w:val="left" w:pos="520"/>
              <w:tab w:val="right" w:pos="9100" w:leader="dot"/>
            </w:tabs>
            <w:spacing w:before="160" w:after="60"/>
          </w:pPr>
          <w:hyperlink w:anchor="_Toc900505" w:history="1">
            <w:r>
              <w:rPr>
                <w:b/>
                <w:bCs/>
                <w:sz w:val="24"/>
                <w:szCs w:val="24"/>
              </w:rPr>
              <w:t xml:space="preserve">3.</w:t>
              <w:tab/>
              <w:t xml:space="preserve">단계별 원리와 사용법</w:t>
              <w:tab/>
              <w:t xml:space="preserve"/>
            </w:r>
            <w:r>
              <w:rPr/>
              <w:fldChar w:fldCharType="begin"/>
            </w:r>
            <w:r>
              <w:rPr/>
              <w:instrText xml:space="preserve"> PAGEREF _Toc900505 \h </w:instrText>
            </w:r>
            <w:r>
              <w:rPr/>
              <w:fldChar w:fldCharType="separate"/>
            </w:r>
            <w:r>
              <w:rPr>
                <w:b/>
                <w:bCs/>
                <w:sz w:val="24"/>
                <w:szCs w:val="24"/>
              </w:rPr>
              <w:t xml:space="preserve">3</w:t>
            </w:r>
            <w:r>
              <w:rPr/>
              <w:fldChar w:fldCharType="end"/>
            </w:r>
          </w:hyperlink>
        </w:p>
        <w:p>
          <w:pPr>
            <w:pStyle w:val="2"/>
            <w:tabs>
              <w:tab w:val="left" w:pos="1000"/>
              <w:tab w:val="right" w:pos="9100" w:leader="dot"/>
            </w:tabs>
            <w:spacing w:before="0" w:after="40"/>
            <w:ind w:left="300"/>
          </w:pPr>
          <w:hyperlink w:anchor="_Toc900506" w:history="1">
            <w:r>
              <w:rPr>
                <w:sz w:val="22"/>
                <w:szCs w:val="22"/>
              </w:rPr>
              <w:t xml:space="preserve">3.1</w:t>
              <w:tab/>
              <w:t xml:space="preserve">재료: 베이스와 경화제</w:t>
              <w:tab/>
              <w:t xml:space="preserve"/>
            </w:r>
            <w:r>
              <w:rPr/>
              <w:fldChar w:fldCharType="begin"/>
            </w:r>
            <w:r>
              <w:rPr/>
              <w:instrText xml:space="preserve"> PAGEREF _Toc900506 \h </w:instrText>
            </w:r>
            <w:r>
              <w:rPr/>
              <w:fldChar w:fldCharType="separate"/>
            </w:r>
            <w:r>
              <w:rPr>
                <w:sz w:val="22"/>
                <w:szCs w:val="22"/>
              </w:rPr>
              <w:t xml:space="preserve">3</w:t>
            </w:r>
            <w:r>
              <w:rPr/>
              <w:fldChar w:fldCharType="end"/>
            </w:r>
          </w:hyperlink>
        </w:p>
        <w:p>
          <w:pPr>
            <w:pStyle w:val="2"/>
            <w:tabs>
              <w:tab w:val="left" w:pos="1000"/>
              <w:tab w:val="right" w:pos="9100" w:leader="dot"/>
            </w:tabs>
            <w:spacing w:before="0" w:after="40"/>
            <w:ind w:left="300"/>
          </w:pPr>
          <w:hyperlink w:anchor="_Toc900507" w:history="1">
            <w:r>
              <w:rPr>
                <w:sz w:val="22"/>
                <w:szCs w:val="22"/>
              </w:rPr>
              <w:t xml:space="preserve">3.2</w:t>
              <w:tab/>
              <w:t xml:space="preserve">계량: 분석 저울과 10 : 1</w:t>
              <w:tab/>
              <w:t xml:space="preserve"/>
            </w:r>
            <w:r>
              <w:rPr/>
              <w:fldChar w:fldCharType="begin"/>
            </w:r>
            <w:r>
              <w:rPr/>
              <w:instrText xml:space="preserve"> PAGEREF _Toc900507 \h </w:instrText>
            </w:r>
            <w:r>
              <w:rPr/>
              <w:fldChar w:fldCharType="separate"/>
            </w:r>
            <w:r>
              <w:rPr>
                <w:sz w:val="22"/>
                <w:szCs w:val="22"/>
              </w:rPr>
              <w:t xml:space="preserve">4</w:t>
            </w:r>
            <w:r>
              <w:rPr/>
              <w:fldChar w:fldCharType="end"/>
            </w:r>
          </w:hyperlink>
        </w:p>
        <w:p>
          <w:pPr>
            <w:pStyle w:val="2"/>
            <w:tabs>
              <w:tab w:val="left" w:pos="1000"/>
              <w:tab w:val="right" w:pos="9100" w:leader="dot"/>
            </w:tabs>
            <w:spacing w:before="0" w:after="40"/>
            <w:ind w:left="300"/>
          </w:pPr>
          <w:hyperlink w:anchor="_Toc900508" w:history="1">
            <w:r>
              <w:rPr>
                <w:sz w:val="22"/>
                <w:szCs w:val="22"/>
              </w:rPr>
              <w:t xml:space="preserve">3.3</w:t>
              <w:tab/>
              <w:t xml:space="preserve">혼합</w:t>
              <w:tab/>
              <w:t xml:space="preserve"/>
            </w:r>
            <w:r>
              <w:rPr/>
              <w:fldChar w:fldCharType="begin"/>
            </w:r>
            <w:r>
              <w:rPr/>
              <w:instrText xml:space="preserve"> PAGEREF _Toc900508 \h </w:instrText>
            </w:r>
            <w:r>
              <w:rPr/>
              <w:fldChar w:fldCharType="separate"/>
            </w:r>
            <w:r>
              <w:rPr>
                <w:sz w:val="22"/>
                <w:szCs w:val="22"/>
              </w:rPr>
              <w:t xml:space="preserve">5</w:t>
            </w:r>
            <w:r>
              <w:rPr/>
              <w:fldChar w:fldCharType="end"/>
            </w:r>
          </w:hyperlink>
        </w:p>
        <w:p>
          <w:pPr>
            <w:pStyle w:val="2"/>
            <w:tabs>
              <w:tab w:val="left" w:pos="1000"/>
              <w:tab w:val="right" w:pos="9100" w:leader="dot"/>
            </w:tabs>
            <w:spacing w:before="0" w:after="40"/>
            <w:ind w:left="300"/>
          </w:pPr>
          <w:hyperlink w:anchor="_Toc900509" w:history="1">
            <w:r>
              <w:rPr>
                <w:sz w:val="22"/>
                <w:szCs w:val="22"/>
              </w:rPr>
              <w:t xml:space="preserve">3.4</w:t>
              <w:tab/>
              <w:t xml:space="preserve">진공 탈포</w:t>
              <w:tab/>
              <w:t xml:space="preserve"/>
            </w:r>
            <w:r>
              <w:rPr/>
              <w:fldChar w:fldCharType="begin"/>
            </w:r>
            <w:r>
              <w:rPr/>
              <w:instrText xml:space="preserve"> PAGEREF _Toc900509 \h </w:instrText>
            </w:r>
            <w:r>
              <w:rPr/>
              <w:fldChar w:fldCharType="separate"/>
            </w:r>
            <w:r>
              <w:rPr>
                <w:sz w:val="22"/>
                <w:szCs w:val="22"/>
              </w:rPr>
              <w:t xml:space="preserve">6</w:t>
            </w:r>
            <w:r>
              <w:rPr/>
              <w:fldChar w:fldCharType="end"/>
            </w:r>
          </w:hyperlink>
        </w:p>
        <w:p>
          <w:pPr>
            <w:pStyle w:val="2"/>
            <w:tabs>
              <w:tab w:val="left" w:pos="1000"/>
              <w:tab w:val="right" w:pos="9100" w:leader="dot"/>
            </w:tabs>
            <w:spacing w:before="0" w:after="40"/>
            <w:ind w:left="300"/>
          </w:pPr>
          <w:hyperlink w:anchor="_Toc900510" w:history="1">
            <w:r>
              <w:rPr>
                <w:sz w:val="22"/>
                <w:szCs w:val="22"/>
              </w:rPr>
              <w:t xml:space="preserve">3.5</w:t>
              <w:tab/>
              <w:t xml:space="preserve">몰드에 붓기와 모양 잡기</w:t>
              <w:tab/>
              <w:t xml:space="preserve"/>
            </w:r>
            <w:r>
              <w:rPr/>
              <w:fldChar w:fldCharType="begin"/>
            </w:r>
            <w:r>
              <w:rPr/>
              <w:instrText xml:space="preserve"> PAGEREF _Toc900510 \h </w:instrText>
            </w:r>
            <w:r>
              <w:rPr/>
              <w:fldChar w:fldCharType="separate"/>
            </w:r>
            <w:r>
              <w:rPr>
                <w:sz w:val="22"/>
                <w:szCs w:val="22"/>
              </w:rPr>
              <w:t xml:space="preserve">8</w:t>
            </w:r>
            <w:r>
              <w:rPr/>
              <w:fldChar w:fldCharType="end"/>
            </w:r>
          </w:hyperlink>
        </w:p>
        <w:p>
          <w:pPr>
            <w:pStyle w:val="2"/>
            <w:tabs>
              <w:tab w:val="left" w:pos="1000"/>
              <w:tab w:val="right" w:pos="9100" w:leader="dot"/>
            </w:tabs>
            <w:spacing w:before="0" w:after="40"/>
            <w:ind w:left="300"/>
          </w:pPr>
          <w:hyperlink w:anchor="_Toc900511" w:history="1">
            <w:r>
              <w:rPr>
                <w:sz w:val="22"/>
                <w:szCs w:val="22"/>
              </w:rPr>
              <w:t xml:space="preserve">3.6</w:t>
              <w:tab/>
              <w:t xml:space="preserve">열경화</w:t>
              <w:tab/>
              <w:t xml:space="preserve"/>
            </w:r>
            <w:r>
              <w:rPr/>
              <w:fldChar w:fldCharType="begin"/>
            </w:r>
            <w:r>
              <w:rPr/>
              <w:instrText xml:space="preserve"> PAGEREF _Toc900511 \h </w:instrText>
            </w:r>
            <w:r>
              <w:rPr/>
              <w:fldChar w:fldCharType="separate"/>
            </w:r>
            <w:r>
              <w:rPr>
                <w:sz w:val="22"/>
                <w:szCs w:val="22"/>
              </w:rPr>
              <w:t xml:space="preserve">9</w:t>
            </w:r>
            <w:r>
              <w:rPr/>
              <w:fldChar w:fldCharType="end"/>
            </w:r>
          </w:hyperlink>
        </w:p>
        <w:p>
          <w:pPr>
            <w:pStyle w:val="10"/>
            <w:tabs>
              <w:tab w:val="left" w:pos="520"/>
              <w:tab w:val="right" w:pos="9100" w:leader="dot"/>
            </w:tabs>
            <w:spacing w:before="160" w:after="60"/>
          </w:pPr>
          <w:hyperlink w:anchor="_Toc900512" w:history="1">
            <w:r>
              <w:rPr>
                <w:b/>
                <w:bCs/>
                <w:sz w:val="24"/>
                <w:szCs w:val="24"/>
              </w:rPr>
              <w:t xml:space="preserve">4.</w:t>
              <w:tab/>
              <w:t xml:space="preserve">결과</w:t>
              <w:tab/>
              <w:t xml:space="preserve"/>
            </w:r>
            <w:r>
              <w:rPr/>
              <w:fldChar w:fldCharType="begin"/>
            </w:r>
            <w:r>
              <w:rPr/>
              <w:instrText xml:space="preserve"> PAGEREF _Toc900512 \h </w:instrText>
            </w:r>
            <w:r>
              <w:rPr/>
              <w:fldChar w:fldCharType="separate"/>
            </w:r>
            <w:r>
              <w:rPr>
                <w:b/>
                <w:bCs/>
                <w:sz w:val="24"/>
                <w:szCs w:val="24"/>
              </w:rPr>
              <w:t xml:space="preserve">10</w:t>
            </w:r>
            <w:r>
              <w:rPr/>
              <w:fldChar w:fldCharType="end"/>
            </w:r>
          </w:hyperlink>
        </w:p>
        <w:p>
          <w:pPr>
            <w:pStyle w:val="10"/>
            <w:tabs>
              <w:tab w:val="left" w:pos="520"/>
              <w:tab w:val="right" w:pos="9100" w:leader="dot"/>
            </w:tabs>
            <w:spacing w:before="160" w:after="60"/>
          </w:pPr>
          <w:hyperlink w:anchor="_Toc900513" w:history="1">
            <w:r>
              <w:rPr>
                <w:b/>
                <w:bCs/>
                <w:sz w:val="24"/>
                <w:szCs w:val="24"/>
              </w:rPr>
              <w:t xml:space="preserve">5.</w:t>
              <w:tab/>
              <w:t xml:space="preserve">고찰</w:t>
              <w:tab/>
              <w:t xml:space="preserve"/>
            </w:r>
            <w:r>
              <w:rPr/>
              <w:fldChar w:fldCharType="begin"/>
            </w:r>
            <w:r>
              <w:rPr/>
              <w:instrText xml:space="preserve"> PAGEREF _Toc900513 \h </w:instrText>
            </w:r>
            <w:r>
              <w:rPr/>
              <w:fldChar w:fldCharType="separate"/>
            </w:r>
            <w:r>
              <w:rPr>
                <w:b/>
                <w:bCs/>
                <w:sz w:val="24"/>
                <w:szCs w:val="24"/>
              </w:rPr>
              <w:t xml:space="preserve">11</w:t>
            </w:r>
            <w:r>
              <w:rPr/>
              <w:fldChar w:fldCharType="end"/>
            </w:r>
          </w:hyperlink>
        </w:p>
        <w:p>
          <w:pPr>
            <w:pStyle w:val="2"/>
            <w:tabs>
              <w:tab w:val="left" w:pos="1000"/>
              <w:tab w:val="right" w:pos="9100" w:leader="dot"/>
            </w:tabs>
            <w:spacing w:before="0" w:after="40"/>
            <w:ind w:left="300"/>
          </w:pPr>
          <w:hyperlink w:anchor="_Toc900514" w:history="1">
            <w:r>
              <w:rPr>
                <w:sz w:val="22"/>
                <w:szCs w:val="22"/>
              </w:rPr>
              <w:t xml:space="preserve">5.1</w:t>
              <w:tab/>
              <w:t xml:space="preserve">따로 배운 장비가 한 공정으로</w:t>
              <w:tab/>
              <w:t xml:space="preserve"/>
            </w:r>
            <w:r>
              <w:rPr/>
              <w:fldChar w:fldCharType="begin"/>
            </w:r>
            <w:r>
              <w:rPr/>
              <w:instrText xml:space="preserve"> PAGEREF _Toc900514 \h </w:instrText>
            </w:r>
            <w:r>
              <w:rPr/>
              <w:fldChar w:fldCharType="separate"/>
            </w:r>
            <w:r>
              <w:rPr>
                <w:sz w:val="22"/>
                <w:szCs w:val="22"/>
              </w:rPr>
              <w:t xml:space="preserve">11</w:t>
            </w:r>
            <w:r>
              <w:rPr/>
              <w:fldChar w:fldCharType="end"/>
            </w:r>
          </w:hyperlink>
        </w:p>
        <w:p>
          <w:pPr>
            <w:pStyle w:val="2"/>
            <w:tabs>
              <w:tab w:val="left" w:pos="1000"/>
              <w:tab w:val="right" w:pos="9100" w:leader="dot"/>
            </w:tabs>
            <w:spacing w:before="0" w:after="40"/>
            <w:ind w:left="300"/>
          </w:pPr>
          <w:hyperlink w:anchor="_Toc900515" w:history="1">
            <w:r>
              <w:rPr>
                <w:sz w:val="22"/>
                <w:szCs w:val="22"/>
              </w:rPr>
              <w:t xml:space="preserve">5.2</w:t>
              <w:tab/>
              <w:t xml:space="preserve">점도가 공정 순서를 정한다</w:t>
              <w:tab/>
              <w:t xml:space="preserve"/>
            </w:r>
            <w:r>
              <w:rPr/>
              <w:fldChar w:fldCharType="begin"/>
            </w:r>
            <w:r>
              <w:rPr/>
              <w:instrText xml:space="preserve"> PAGEREF _Toc900515 \h </w:instrText>
            </w:r>
            <w:r>
              <w:rPr/>
              <w:fldChar w:fldCharType="separate"/>
            </w:r>
            <w:r>
              <w:rPr>
                <w:sz w:val="22"/>
                <w:szCs w:val="22"/>
              </w:rPr>
              <w:t xml:space="preserve">11</w:t>
            </w:r>
            <w:r>
              <w:rPr/>
              <w:fldChar w:fldCharType="end"/>
            </w:r>
          </w:hyperlink>
        </w:p>
        <w:p>
          <w:pPr>
            <w:pStyle w:val="2"/>
            <w:tabs>
              <w:tab w:val="left" w:pos="1000"/>
              <w:tab w:val="right" w:pos="9100" w:leader="dot"/>
            </w:tabs>
            <w:spacing w:before="0" w:after="40"/>
            <w:ind w:left="300"/>
          </w:pPr>
          <w:hyperlink w:anchor="_Toc900516" w:history="1">
            <w:r>
              <w:rPr>
                <w:sz w:val="22"/>
                <w:szCs w:val="22"/>
              </w:rPr>
              <w:t xml:space="preserve">5.3</w:t>
              <w:tab/>
              <w:t xml:space="preserve">두 경화 방식과 경화 조건</w:t>
              <w:tab/>
              <w:t xml:space="preserve"/>
            </w:r>
            <w:r>
              <w:rPr/>
              <w:fldChar w:fldCharType="begin"/>
            </w:r>
            <w:r>
              <w:rPr/>
              <w:instrText xml:space="preserve"> PAGEREF _Toc900516 \h </w:instrText>
            </w:r>
            <w:r>
              <w:rPr/>
              <w:fldChar w:fldCharType="separate"/>
            </w:r>
            <w:r>
              <w:rPr>
                <w:sz w:val="22"/>
                <w:szCs w:val="22"/>
              </w:rPr>
              <w:t xml:space="preserve">11</w:t>
            </w:r>
            <w:r>
              <w:rPr/>
              <w:fldChar w:fldCharType="end"/>
            </w:r>
          </w:hyperlink>
        </w:p>
        <w:p>
          <w:pPr>
            <w:pStyle w:val="2"/>
            <w:tabs>
              <w:tab w:val="left" w:pos="1000"/>
              <w:tab w:val="right" w:pos="9100" w:leader="dot"/>
            </w:tabs>
            <w:spacing w:before="0" w:after="40"/>
            <w:ind w:left="300"/>
          </w:pPr>
          <w:hyperlink w:anchor="_Toc900517" w:history="1">
            <w:r>
              <w:rPr>
                <w:sz w:val="22"/>
                <w:szCs w:val="22"/>
              </w:rPr>
              <w:t xml:space="preserve">5.4</w:t>
              <w:tab/>
              <w:t xml:space="preserve">한계와 보완할 점</w:t>
              <w:tab/>
              <w:t xml:space="preserve"/>
            </w:r>
            <w:r>
              <w:rPr/>
              <w:fldChar w:fldCharType="begin"/>
            </w:r>
            <w:r>
              <w:rPr/>
              <w:instrText xml:space="preserve"> PAGEREF _Toc900517 \h </w:instrText>
            </w:r>
            <w:r>
              <w:rPr/>
              <w:fldChar w:fldCharType="separate"/>
            </w:r>
            <w:r>
              <w:rPr>
                <w:sz w:val="22"/>
                <w:szCs w:val="22"/>
              </w:rPr>
              <w:t xml:space="preserve">11</w:t>
            </w:r>
            <w:r>
              <w:rPr/>
              <w:fldChar w:fldCharType="end"/>
            </w:r>
          </w:hyperlink>
        </w:p>
        <w:p>
          <w:pPr>
            <w:pStyle w:val="10"/>
            <w:tabs>
              <w:tab w:val="left" w:pos="520"/>
              <w:tab w:val="right" w:pos="9100" w:leader="dot"/>
            </w:tabs>
            <w:spacing w:before="160" w:after="60"/>
          </w:pPr>
          <w:hyperlink w:anchor="_Toc900518" w:history="1">
            <w:r>
              <w:rPr>
                <w:b/>
                <w:bCs/>
                <w:sz w:val="24"/>
                <w:szCs w:val="24"/>
              </w:rPr>
              <w:t xml:space="preserve">6.</w:t>
              <w:tab/>
              <w:t xml:space="preserve">결론</w:t>
              <w:tab/>
              <w:t xml:space="preserve"/>
            </w:r>
            <w:r>
              <w:rPr/>
              <w:fldChar w:fldCharType="begin"/>
            </w:r>
            <w:r>
              <w:rPr/>
              <w:instrText xml:space="preserve"> PAGEREF _Toc900518 \h </w:instrText>
            </w:r>
            <w:r>
              <w:rPr/>
              <w:fldChar w:fldCharType="separate"/>
            </w:r>
            <w:r>
              <w:rPr>
                <w:b/>
                <w:bCs/>
                <w:sz w:val="24"/>
                <w:szCs w:val="24"/>
              </w:rPr>
              <w:t xml:space="preserve">12</w:t>
            </w:r>
            <w:r>
              <w:rPr/>
              <w:fldChar w:fldCharType="end"/>
            </w:r>
          </w:hyperlink>
        </w:p>
        <w:p>
          <w:pPr>
            <w:pStyle w:val="10"/>
            <w:tabs>
              <w:tab w:val="left" w:pos="520"/>
              <w:tab w:val="right" w:pos="9100" w:leader="dot"/>
            </w:tabs>
            <w:spacing w:before="160" w:after="60"/>
          </w:pPr>
          <w:hyperlink w:anchor="_Toc900519" w:history="1">
            <w:r>
              <w:rPr>
                <w:b/>
                <w:bCs/>
                <w:sz w:val="24"/>
                <w:szCs w:val="24"/>
              </w:rPr>
              <w:t xml:space="preserve">7.</w:t>
              <w:tab/>
              <w:t xml:space="preserve">참고문헌</w:t>
              <w:tab/>
              <w:t xml:space="preserve"/>
            </w:r>
            <w:r>
              <w:rPr/>
              <w:fldChar w:fldCharType="begin"/>
            </w:r>
            <w:r>
              <w:rPr/>
              <w:instrText xml:space="preserve"> PAGEREF _Toc900519 \h </w:instrText>
            </w:r>
            <w:r>
              <w:rPr/>
              <w:fldChar w:fldCharType="separate"/>
            </w:r>
            <w:r>
              <w:rPr>
                <w:b/>
                <w:bCs/>
                <w:sz w:val="24"/>
                <w:szCs w:val="24"/>
              </w:rPr>
              <w:t xml:space="preserve">12</w:t>
            </w:r>
            <w:r>
              <w:rPr/>
              <w:fldChar w:fldCharType="end"/>
            </w:r>
          </w:hyperlink>
        </w:p>
        <w:p>
          <w:pPr>
            <w:spacing w:after="0"/>
          </w:pPr>
          <w:r>
            <w:rPr/>
            <w:fldChar w:fldCharType="end"/>
          </w:r>
        </w:p>
      </w:sdtContent>
    </w:sdt>
    <w:p>
      <w:pPr>
        <w:pStyle w:val="1"/>
        <w:keepNext/>
        <w:pageBreakBefore/>
        <w:spacing w:before="360" w:after="100"/>
        <w:ind w:left="0" w:firstLine="0"/>
      </w:pPr>
      <w:bookmarkStart w:id="501" w:name="_Toc900501"/>
      <w:r>
        <w:rPr>
          <w:b/>
          <w:bCs/>
          <w:sz w:val="28"/>
          <w:szCs w:val="28"/>
        </w:rPr>
        <w:t xml:space="preserve">1. 서론</w:t>
      </w:r>
      <w:bookmarkEnd w:id="501"/>
    </w:p>
    <w:p>
      <w:pPr>
        <w:pStyle w:val="NBSLH2"/>
        <w:keepNext/>
        <w:spacing w:before="240" w:after="100"/>
        <w:ind w:left="0" w:firstLine="0"/>
      </w:pPr>
      <w:bookmarkStart w:id="502" w:name="_Toc900502"/>
      <w:r>
        <w:rPr>
          <w:b/>
          <w:bCs/>
          <w:sz w:val="24"/>
          <w:szCs w:val="24"/>
        </w:rPr>
        <w:t xml:space="preserve">1.1 실습 목적</w:t>
      </w:r>
      <w:bookmarkEnd w:id="502"/>
    </w:p>
    <w:p>
      <w:pPr>
        <w:spacing w:after="100" w:line="300" w:lineRule="auto"/>
        <w:ind w:firstLine="200"/>
        <w:jc w:val="both"/>
      </w:pPr>
      <w:r>
        <w:rPr/>
        <w:t xml:space="preserve">2026년 10월 15일 실습에서는 실리콘 계열 고분자인 PDMS(폴리디메틸실록산)를 직접 계량하고 섞어 틀에 붓고 열로 굳혔다. 지난 회차에 빛으로 굳는 PUA를 다뤘다면 이번에는 열로 굳는 재료다. 4회차에는 PDMS 원료와 원리만 소개받았고 이번에 우리 조가 처음으로 직접 만들었다. 수업에서는 PDMS가 실리콘 계열이라 변형이 잘 되지 않아 연구에서 반복해서 쓴다고 설명했다.</w:t>
      </w:r>
    </w:p>
    <w:p>
      <w:pPr>
        <w:spacing w:after="100" w:line="300" w:lineRule="auto"/>
        <w:ind w:firstLine="200"/>
        <w:jc w:val="both"/>
      </w:pPr>
      <w:r>
        <w:rPr/>
        <w:t xml:space="preserve">PDMS 제작은 두 액체를 정확한 비율로 섞는 데서 시작해 굳은 고체를 틀에서 떼어 내는 데서 끝난다. 그 사이에 2회차에 따로 배운 분석 저울, 진공 챔버, 핫플레이트가 한 공정 안에서 차례로 쓰인다. 이 보고서는 각 단계에서 무엇을 했는지와 함께 그 단계가 왜 필요한지를 재료의 성질에서 찾아 정리한다. 사진은 모두 우리 조 작업 장면이다.</w:t>
      </w:r>
    </w:p>
    <w:p>
      <w:pPr>
        <w:pStyle w:val="NBSLH2"/>
        <w:keepNext/>
        <w:spacing w:before="240" w:after="100"/>
        <w:ind w:left="0" w:firstLine="0"/>
      </w:pPr>
      <w:bookmarkStart w:id="503" w:name="_Toc900503"/>
      <w:r>
        <w:rPr>
          <w:b/>
          <w:bCs/>
          <w:sz w:val="24"/>
          <w:szCs w:val="24"/>
        </w:rPr>
        <w:t xml:space="preserve">1.2 공정 흐름</w:t>
      </w:r>
      <w:bookmarkEnd w:id="503"/>
    </w:p>
    <w:p>
      <w:pPr>
        <w:keepNext/>
        <w:spacing w:after="100" w:line="300" w:lineRule="auto"/>
        <w:ind w:firstLine="200"/>
        <w:jc w:val="both"/>
      </w:pPr>
      <w:r>
        <w:rPr/>
        <w:t xml:space="preserve">이번 실습은 계량, 혼합, 진공 탈포, 몰드에 붓기, 열경화의 다섯 단계로 진행했다. 단계마다 쓴 장비와 원리, 우리 조가 한 일은 표 1-1에 정리했다.</w:t>
      </w:r>
    </w:p>
    <w:p>
      <w:pPr>
        <w:keepNext/>
        <w:spacing w:before="160" w:after="80"/>
        <w:jc w:val="center"/>
      </w:pPr>
      <w:r>
        <w:rPr>
          <w:sz w:val="19"/>
          <w:szCs w:val="19"/>
        </w:rPr>
        <w:t xml:space="preserve">표 1-1. PDMS 제작 단계별 장비와 원리</w:t>
      </w:r>
    </w:p>
    <w:tbl>
      <w:tblPr>
        <w:tblStyle w:val="a3"/>
        <w:tblW w:w="9144" w:type="dxa"/>
        <w:jc w:val="center"/>
        <w:tblLayout w:type="fixed"/>
        <w:tblCellMar>
          <w:top w:w="40" w:type="dxa"/>
          <w:left w:w="90" w:type="dxa"/>
          <w:bottom w:w="40" w:type="dxa"/>
          <w:right w:w="90" w:type="dxa"/>
        </w:tblCellMar>
      </w:tblPr>
      <w:tblGrid>
        <w:gridCol w:w="1300"/>
        <w:gridCol w:w="2000"/>
        <w:gridCol w:w="3100"/>
        <w:gridCol w:w="2744"/>
      </w:tblGrid>
      <w:tr>
        <w:trPr>
          <w:cantSplit/>
          <w:tblHeader/>
        </w:trPr>
        <w:tc>
          <w:tcPr>
            <w:tcW w:w="1300" w:type="dxa"/>
            <w:shd w:val="clear" w:color="auto" w:fill="E7EEF6"/>
            <w:vAlign w:val="center"/>
          </w:tcPr>
          <w:p>
            <w:pPr>
              <w:keepNext/>
              <w:spacing w:after="0" w:line="260" w:lineRule="auto"/>
              <w:jc w:val="center"/>
            </w:pPr>
            <w:r>
              <w:rPr>
                <w:b/>
                <w:bCs/>
                <w:sz w:val="19"/>
                <w:szCs w:val="19"/>
              </w:rPr>
              <w:t xml:space="preserve">단계</w:t>
            </w:r>
          </w:p>
        </w:tc>
        <w:tc>
          <w:tcPr>
            <w:tcW w:w="2000" w:type="dxa"/>
            <w:shd w:val="clear" w:color="auto" w:fill="E7EEF6"/>
            <w:vAlign w:val="center"/>
          </w:tcPr>
          <w:p>
            <w:pPr>
              <w:keepNext/>
              <w:spacing w:after="0" w:line="260" w:lineRule="auto"/>
              <w:jc w:val="center"/>
            </w:pPr>
            <w:r>
              <w:rPr>
                <w:b/>
                <w:bCs/>
                <w:sz w:val="19"/>
                <w:szCs w:val="19"/>
              </w:rPr>
              <w:t xml:space="preserve">장비·도구</w:t>
            </w:r>
          </w:p>
        </w:tc>
        <w:tc>
          <w:tcPr>
            <w:tcW w:w="3100" w:type="dxa"/>
            <w:shd w:val="clear" w:color="auto" w:fill="E7EEF6"/>
            <w:vAlign w:val="center"/>
          </w:tcPr>
          <w:p>
            <w:pPr>
              <w:keepNext/>
              <w:spacing w:after="0" w:line="260" w:lineRule="auto"/>
              <w:jc w:val="center"/>
            </w:pPr>
            <w:r>
              <w:rPr>
                <w:b/>
                <w:bCs/>
                <w:sz w:val="19"/>
                <w:szCs w:val="19"/>
              </w:rPr>
              <w:t xml:space="preserve">핵심 원리</w:t>
            </w:r>
          </w:p>
        </w:tc>
        <w:tc>
          <w:tcPr>
            <w:tcW w:w="2744" w:type="dxa"/>
            <w:shd w:val="clear" w:color="auto" w:fill="E7EEF6"/>
            <w:vAlign w:val="center"/>
          </w:tcPr>
          <w:p>
            <w:pPr>
              <w:keepNext/>
              <w:spacing w:after="0" w:line="260" w:lineRule="auto"/>
              <w:jc w:val="center"/>
            </w:pPr>
            <w:r>
              <w:rPr>
                <w:b/>
                <w:bCs/>
                <w:sz w:val="19"/>
                <w:szCs w:val="19"/>
              </w:rPr>
              <w:t xml:space="preserve">우리 조가 한 일</w:t>
            </w:r>
          </w:p>
        </w:tc>
      </w:tr>
      <w:tr>
        <w:trPr>
          <w:cantSplit/>
        </w:trPr>
        <w:tc>
          <w:tcPr>
            <w:tcW w:w="1300" w:type="dxa"/>
            <w:vAlign w:val="center"/>
          </w:tcPr>
          <w:p>
            <w:pPr>
              <w:keepNext/>
              <w:spacing w:after="0" w:line="260" w:lineRule="auto"/>
              <w:jc w:val="center"/>
            </w:pPr>
            <w:r>
              <w:rPr>
                <w:sz w:val="19"/>
                <w:szCs w:val="19"/>
              </w:rPr>
              <w:t xml:space="preserve">계량</w:t>
            </w:r>
          </w:p>
        </w:tc>
        <w:tc>
          <w:tcPr>
            <w:tcW w:w="2000" w:type="dxa"/>
            <w:vAlign w:val="center"/>
          </w:tcPr>
          <w:p>
            <w:pPr>
              <w:keepNext/>
              <w:spacing w:after="0" w:line="260" w:lineRule="auto"/>
              <w:jc w:val="left"/>
            </w:pPr>
            <w:r>
              <w:rPr>
                <w:sz w:val="19"/>
                <w:szCs w:val="19"/>
              </w:rPr>
              <w:t xml:space="preserve">분석 저울, 웨잉 디쉬</w:t>
            </w:r>
          </w:p>
        </w:tc>
        <w:tc>
          <w:tcPr>
            <w:tcW w:w="3100" w:type="dxa"/>
            <w:vAlign w:val="center"/>
          </w:tcPr>
          <w:p>
            <w:pPr>
              <w:keepNext/>
              <w:spacing w:after="0" w:line="260" w:lineRule="auto"/>
              <w:jc w:val="left"/>
            </w:pPr>
            <w:r>
              <w:rPr>
                <w:sz w:val="19"/>
                <w:szCs w:val="19"/>
              </w:rPr>
              <w:t xml:space="preserve">영점으로 용기 무게 빼기, 무게비 10 : 1</w:t>
            </w:r>
          </w:p>
        </w:tc>
        <w:tc>
          <w:tcPr>
            <w:tcW w:w="2744" w:type="dxa"/>
            <w:vAlign w:val="center"/>
          </w:tcPr>
          <w:p>
            <w:pPr>
              <w:keepNext/>
              <w:spacing w:after="0" w:line="260" w:lineRule="auto"/>
              <w:jc w:val="left"/>
            </w:pPr>
            <w:r>
              <w:rPr>
                <w:sz w:val="19"/>
                <w:szCs w:val="19"/>
              </w:rPr>
              <w:t xml:space="preserve">베이스 15 g + 경화제 1.5 g</w:t>
            </w:r>
          </w:p>
        </w:tc>
      </w:tr>
      <w:tr>
        <w:trPr>
          <w:cantSplit/>
        </w:trPr>
        <w:tc>
          <w:tcPr>
            <w:tcW w:w="1300" w:type="dxa"/>
            <w:vAlign w:val="center"/>
          </w:tcPr>
          <w:p>
            <w:pPr>
              <w:keepNext/>
              <w:spacing w:after="0" w:line="260" w:lineRule="auto"/>
              <w:jc w:val="center"/>
            </w:pPr>
            <w:r>
              <w:rPr>
                <w:sz w:val="19"/>
                <w:szCs w:val="19"/>
              </w:rPr>
              <w:t xml:space="preserve">혼합</w:t>
            </w:r>
          </w:p>
        </w:tc>
        <w:tc>
          <w:tcPr>
            <w:tcW w:w="2000" w:type="dxa"/>
            <w:vAlign w:val="center"/>
          </w:tcPr>
          <w:p>
            <w:pPr>
              <w:keepNext/>
              <w:spacing w:after="0" w:line="260" w:lineRule="auto"/>
              <w:jc w:val="left"/>
            </w:pPr>
            <w:r>
              <w:rPr>
                <w:sz w:val="19"/>
                <w:szCs w:val="19"/>
              </w:rPr>
              <w:t xml:space="preserve">스패출러</w:t>
            </w:r>
          </w:p>
        </w:tc>
        <w:tc>
          <w:tcPr>
            <w:tcW w:w="3100" w:type="dxa"/>
            <w:vAlign w:val="center"/>
          </w:tcPr>
          <w:p>
            <w:pPr>
              <w:keepNext/>
              <w:spacing w:after="0" w:line="260" w:lineRule="auto"/>
              <w:jc w:val="left"/>
            </w:pPr>
            <w:r>
              <w:rPr>
                <w:sz w:val="19"/>
                <w:szCs w:val="19"/>
              </w:rPr>
              <w:t xml:space="preserve">경화제를 베이스 전체에 고르게 퍼뜨려 가교를 고르게 함</w:t>
            </w:r>
          </w:p>
        </w:tc>
        <w:tc>
          <w:tcPr>
            <w:tcW w:w="2744" w:type="dxa"/>
            <w:vAlign w:val="center"/>
          </w:tcPr>
          <w:p>
            <w:pPr>
              <w:keepNext/>
              <w:spacing w:after="0" w:line="260" w:lineRule="auto"/>
              <w:jc w:val="left"/>
            </w:pPr>
            <w:r>
              <w:rPr>
                <w:sz w:val="19"/>
                <w:szCs w:val="19"/>
              </w:rPr>
              <w:t xml:space="preserve">수백 번 저음, 기포 발생</w:t>
            </w:r>
          </w:p>
        </w:tc>
      </w:tr>
      <w:tr>
        <w:trPr>
          <w:cantSplit/>
        </w:trPr>
        <w:tc>
          <w:tcPr>
            <w:tcW w:w="1300" w:type="dxa"/>
            <w:vAlign w:val="center"/>
          </w:tcPr>
          <w:p>
            <w:pPr>
              <w:keepNext/>
              <w:spacing w:after="0" w:line="260" w:lineRule="auto"/>
              <w:jc w:val="center"/>
            </w:pPr>
            <w:r>
              <w:rPr>
                <w:sz w:val="19"/>
                <w:szCs w:val="19"/>
              </w:rPr>
              <w:t xml:space="preserve">진공 탈포</w:t>
            </w:r>
          </w:p>
        </w:tc>
        <w:tc>
          <w:tcPr>
            <w:tcW w:w="2000" w:type="dxa"/>
            <w:vAlign w:val="center"/>
          </w:tcPr>
          <w:p>
            <w:pPr>
              <w:keepNext/>
              <w:spacing w:after="0" w:line="260" w:lineRule="auto"/>
              <w:jc w:val="left"/>
            </w:pPr>
            <w:r>
              <w:rPr>
                <w:sz w:val="19"/>
                <w:szCs w:val="19"/>
              </w:rPr>
              <w:t xml:space="preserve">진공 챔버</w:t>
            </w:r>
          </w:p>
        </w:tc>
        <w:tc>
          <w:tcPr>
            <w:tcW w:w="3100" w:type="dxa"/>
            <w:vAlign w:val="center"/>
          </w:tcPr>
          <w:p>
            <w:pPr>
              <w:keepNext/>
              <w:spacing w:after="0" w:line="260" w:lineRule="auto"/>
              <w:jc w:val="left"/>
            </w:pPr>
            <w:r>
              <w:rPr>
                <w:sz w:val="19"/>
                <w:szCs w:val="19"/>
              </w:rPr>
              <w:t xml:space="preserve">감압으로 기포를 키워 빨리 떠오르게 함</w:t>
            </w:r>
          </w:p>
        </w:tc>
        <w:tc>
          <w:tcPr>
            <w:tcW w:w="2744" w:type="dxa"/>
            <w:vAlign w:val="center"/>
          </w:tcPr>
          <w:p>
            <w:pPr>
              <w:keepNext/>
              <w:spacing w:after="0" w:line="260" w:lineRule="auto"/>
              <w:jc w:val="left"/>
            </w:pPr>
            <w:r>
              <w:rPr>
                <w:sz w:val="19"/>
                <w:szCs w:val="19"/>
              </w:rPr>
              <w:t xml:space="preserve">넘치지 않게 밸브로 감압 조절</w:t>
            </w:r>
          </w:p>
        </w:tc>
      </w:tr>
      <w:tr>
        <w:trPr>
          <w:cantSplit/>
        </w:trPr>
        <w:tc>
          <w:tcPr>
            <w:tcW w:w="1300" w:type="dxa"/>
            <w:vAlign w:val="center"/>
          </w:tcPr>
          <w:p>
            <w:pPr>
              <w:keepNext/>
              <w:spacing w:after="0" w:line="260" w:lineRule="auto"/>
              <w:jc w:val="center"/>
            </w:pPr>
            <w:r>
              <w:rPr>
                <w:sz w:val="19"/>
                <w:szCs w:val="19"/>
              </w:rPr>
              <w:t xml:space="preserve">붓기</w:t>
            </w:r>
          </w:p>
        </w:tc>
        <w:tc>
          <w:tcPr>
            <w:tcW w:w="2000" w:type="dxa"/>
            <w:vAlign w:val="center"/>
          </w:tcPr>
          <w:p>
            <w:pPr>
              <w:keepNext/>
              <w:spacing w:after="0" w:line="260" w:lineRule="auto"/>
              <w:jc w:val="left"/>
            </w:pPr>
            <w:r>
              <w:rPr>
                <w:sz w:val="19"/>
                <w:szCs w:val="19"/>
              </w:rPr>
              <w:t xml:space="preserve">준비된 몰드, 피펫 팁</w:t>
            </w:r>
          </w:p>
        </w:tc>
        <w:tc>
          <w:tcPr>
            <w:tcW w:w="3100" w:type="dxa"/>
            <w:vAlign w:val="center"/>
          </w:tcPr>
          <w:p>
            <w:pPr>
              <w:keepNext/>
              <w:spacing w:after="0" w:line="260" w:lineRule="auto"/>
              <w:jc w:val="left"/>
            </w:pPr>
            <w:r>
              <w:rPr>
                <w:sz w:val="19"/>
                <w:szCs w:val="19"/>
              </w:rPr>
              <w:t xml:space="preserve">액체가 몰드 모양을 반대로 본뜸</w:t>
            </w:r>
          </w:p>
        </w:tc>
        <w:tc>
          <w:tcPr>
            <w:tcW w:w="2744" w:type="dxa"/>
            <w:vAlign w:val="center"/>
          </w:tcPr>
          <w:p>
            <w:pPr>
              <w:keepNext/>
              <w:spacing w:after="0" w:line="260" w:lineRule="auto"/>
              <w:jc w:val="left"/>
            </w:pPr>
            <w:r>
              <w:rPr>
                <w:sz w:val="19"/>
                <w:szCs w:val="19"/>
              </w:rPr>
              <w:t xml:space="preserve">눌러 모양 잡기, 표면 기포 터뜨리기</w:t>
            </w:r>
          </w:p>
        </w:tc>
      </w:tr>
      <w:tr>
        <w:trPr>
          <w:cantSplit/>
        </w:trPr>
        <w:tc>
          <w:tcPr>
            <w:tcW w:w="1300" w:type="dxa"/>
            <w:vAlign w:val="center"/>
          </w:tcPr>
          <w:p>
            <w:pPr>
              <w:spacing w:after="0" w:line="260" w:lineRule="auto"/>
              <w:jc w:val="center"/>
            </w:pPr>
            <w:r>
              <w:rPr>
                <w:sz w:val="19"/>
                <w:szCs w:val="19"/>
              </w:rPr>
              <w:t xml:space="preserve">열경화</w:t>
            </w:r>
          </w:p>
        </w:tc>
        <w:tc>
          <w:tcPr>
            <w:tcW w:w="2000" w:type="dxa"/>
            <w:vAlign w:val="center"/>
          </w:tcPr>
          <w:p>
            <w:pPr>
              <w:spacing w:after="0" w:line="260" w:lineRule="auto"/>
              <w:jc w:val="left"/>
            </w:pPr>
            <w:r>
              <w:rPr>
                <w:sz w:val="19"/>
                <w:szCs w:val="19"/>
              </w:rPr>
              <w:t xml:space="preserve">핫플레이트</w:t>
            </w:r>
          </w:p>
        </w:tc>
        <w:tc>
          <w:tcPr>
            <w:tcW w:w="3100" w:type="dxa"/>
            <w:vAlign w:val="center"/>
          </w:tcPr>
          <w:p>
            <w:pPr>
              <w:spacing w:after="0" w:line="260" w:lineRule="auto"/>
              <w:jc w:val="left"/>
            </w:pPr>
            <w:r>
              <w:rPr>
                <w:sz w:val="19"/>
                <w:szCs w:val="19"/>
              </w:rPr>
              <w:t xml:space="preserve">온도가 높을수록 가교 반응이 빨라짐</w:t>
            </w:r>
          </w:p>
        </w:tc>
        <w:tc>
          <w:tcPr>
            <w:tcW w:w="2744" w:type="dxa"/>
            <w:vAlign w:val="center"/>
          </w:tcPr>
          <w:p>
            <w:pPr>
              <w:spacing w:after="0" w:line="260" w:lineRule="auto"/>
              <w:jc w:val="left"/>
            </w:pPr>
            <w:r>
              <w:rPr>
                <w:sz w:val="19"/>
                <w:szCs w:val="19"/>
              </w:rPr>
              <w:t xml:space="preserve">핫플레이트에 올림</w:t>
            </w:r>
          </w:p>
        </w:tc>
      </w:tr>
    </w:tbl>
    <w:p>
      <w:pPr>
        <w:spacing w:after="60" w:line="240" w:lineRule="auto"/>
      </w:pPr>
    </w:p>
    <w:p>
      <w:pPr>
        <w:pStyle w:val="1"/>
        <w:keepNext/>
        <w:spacing w:before="360" w:after="100"/>
        <w:ind w:left="0" w:firstLine="0"/>
      </w:pPr>
      <w:bookmarkStart w:id="504" w:name="_Toc900504"/>
      <w:r>
        <w:rPr>
          <w:b/>
          <w:bCs/>
          <w:sz w:val="28"/>
          <w:szCs w:val="28"/>
        </w:rPr>
        <w:t xml:space="preserve">2. 공통 주의사항</w:t>
      </w:r>
      <w:bookmarkEnd w:id="504"/>
    </w:p>
    <w:p>
      <w:pPr>
        <w:spacing w:after="100" w:line="300" w:lineRule="auto"/>
        <w:ind w:firstLine="200"/>
        <w:jc w:val="both"/>
      </w:pPr>
      <w:r>
        <w:rPr/>
        <w:t xml:space="preserve">PDMS는 바닥에 흘리면 잘 닦이지 않는다. 그래서 따를 때는 최대한 천천히 붓고 흘릴 만한 자리에는 미리 휴지를 깔아 둔다. 우리 조도 저울 앞과 몰드 아래에 휴지를 깔고 작업했다. 모든 작업은 장갑을 끼고 했으며 쓴 스패출러는 70 % 에탄올을 뿌려 닦았다.</w:t>
      </w:r>
    </w:p>
    <w:p>
      <w:pPr>
        <w:spacing w:after="100" w:line="300" w:lineRule="auto"/>
        <w:ind w:firstLine="200"/>
        <w:jc w:val="both"/>
      </w:pPr>
      <w:r>
        <w:rPr/>
        <w:t xml:space="preserve">양은 조마다 10~20 g으로 제한했다. 양이 많으면 진공 탈포에 시간이 오래 걸린다는 수업 설명 때문이다. 탈포 중에는 혼합물이 크게 부풀기 때문에 디쉬에 담긴 양이 적을수록 넘칠 위험도 줄어든다(3.4절).</w:t>
      </w:r>
    </w:p>
    <w:p>
      <w:pPr>
        <w:pStyle w:val="1"/>
        <w:keepNext/>
        <w:spacing w:before="360" w:after="100"/>
        <w:ind w:left="0" w:firstLine="0"/>
      </w:pPr>
      <w:bookmarkStart w:id="505" w:name="_Toc900505"/>
      <w:r>
        <w:rPr>
          <w:b/>
          <w:bCs/>
          <w:sz w:val="28"/>
          <w:szCs w:val="28"/>
        </w:rPr>
        <w:t xml:space="preserve">3. 단계별 원리와 사용법</w:t>
      </w:r>
      <w:bookmarkEnd w:id="505"/>
    </w:p>
    <w:p>
      <w:pPr>
        <w:pStyle w:val="NBSLH2"/>
        <w:keepNext/>
        <w:spacing w:before="240" w:after="100"/>
        <w:ind w:left="0" w:firstLine="0"/>
      </w:pPr>
      <w:bookmarkStart w:id="506" w:name="_Toc900506"/>
      <w:r>
        <w:rPr>
          <w:b/>
          <w:bCs/>
          <w:sz w:val="24"/>
          <w:szCs w:val="24"/>
        </w:rPr>
        <w:t xml:space="preserve">3.1 재료: 베이스와 경화제</w:t>
      </w:r>
      <w:bookmarkEnd w:id="506"/>
    </w:p>
    <w:p>
      <w:pPr>
        <w:pStyle w:val="NBSLH3"/>
        <w:keepNext/>
        <w:spacing w:before="160" w:after="60"/>
        <w:ind w:left="0" w:firstLine="0"/>
      </w:pPr>
      <w:r>
        <w:rPr>
          <w:b/>
          <w:bCs/>
          <w:sz w:val="22"/>
          <w:szCs w:val="22"/>
        </w:rPr>
        <w:t xml:space="preserve">3.1.1 원리</w:t>
      </w:r>
    </w:p>
    <w:p>
      <w:pPr>
        <w:spacing w:after="100" w:line="300" w:lineRule="auto"/>
        <w:ind w:firstLine="200"/>
        <w:jc w:val="both"/>
      </w:pPr>
      <w:r>
        <w:rPr/>
        <w:t xml:space="preserve">PDMS 원료는 베이스와 경화제 두 병으로 나뉘어 있다. 대표 상용 제품인 SYLGARD 184는 둘을 무게비 10 : 1로 섞어 실온에서 또는 가열해 굳힌다 [1]. 베이스에는 끝에 비닐기가 달린 실록산 사슬이 들어 있고 경화제에는 Si–H기를 가진 사슬과 백금 촉매가 들어 있다. 섞으면 백금 촉매 아래에서 Si–H기와 비닐기가 하이드로실릴화 반응으로 이어지며 사슬들이 그물 구조(가교망)를 이룬다 [2](그림 3-1 (a)). 이 그물이 전체로 퍼지면 액체가 고체로 바뀐다.</w:t>
      </w:r>
    </w:p>
    <w:p>
      <w:pPr>
        <w:keepNext/>
        <w:spacing w:before="120" w:after="40"/>
        <w:jc w:val="center"/>
      </w:pPr>
      <w:r>
        <w:drawing>
          <wp:inline xmlns:a="http://schemas.openxmlformats.org/drawingml/2006/main" xmlns:pic="http://schemas.openxmlformats.org/drawingml/2006/picture">
            <wp:extent cx="5334000" cy="2243747"/>
            <wp:docPr id="101" name="Picture 101"/>
            <wp:cNvGraphicFramePr>
              <a:graphicFrameLocks noChangeAspect="1"/>
            </wp:cNvGraphicFramePr>
            <a:graphic>
              <a:graphicData uri="http://schemas.openxmlformats.org/drawingml/2006/picture">
                <pic:pic>
                  <pic:nvPicPr>
                    <pic:cNvPr id="0" name="f_material.png"/>
                    <pic:cNvPicPr/>
                  </pic:nvPicPr>
                  <pic:blipFill>
                    <a:blip r:embed="rId14"/>
                    <a:stretch>
                      <a:fillRect/>
                    </a:stretch>
                  </pic:blipFill>
                  <pic:spPr>
                    <a:xfrm>
                      <a:off x="0" y="0"/>
                      <a:ext cx="5334000" cy="2243747"/>
                    </a:xfrm>
                    <a:prstGeom prst="rect"/>
                  </pic:spPr>
                </pic:pic>
              </a:graphicData>
            </a:graphic>
          </wp:inline>
        </w:drawing>
      </w:r>
    </w:p>
    <w:p>
      <w:pPr>
        <w:keepLines/>
        <w:spacing w:after="200"/>
        <w:jc w:val="center"/>
      </w:pPr>
      <w:r>
        <w:rPr>
          <w:sz w:val="19"/>
          <w:szCs w:val="19"/>
        </w:rPr>
        <w:t xml:space="preserve">그림 3-1. PDMS 베이스와 경화제의 가교 반응(개념도)과 제조사 자료의 점도</w:t>
      </w:r>
    </w:p>
    <w:p>
      <w:pPr>
        <w:spacing w:after="100" w:line="300" w:lineRule="auto"/>
        <w:ind w:firstLine="200"/>
        <w:jc w:val="both"/>
      </w:pPr>
      <w:r>
        <w:rPr/>
        <w:t xml:space="preserve">두 액체는 점도가 크게 다르다. SYLGARD 184 베이스의 점도는 5000 cSt [3], 경화제는 110 cSt로 [4] 베이스가 약 45배 끈적하다. 섞은 뒤의 점도는 3500 cps 정도다 [5](그림 3-1 (b)). 반면 비중은 베이스 1.05, 경화제 1.03으로 거의 같다 [3][4]. 이 두 성질이 뒤에 나올 계량 순서와 탈포 방법을 정한다.</w:t>
      </w:r>
    </w:p>
    <w:p>
      <w:pPr>
        <w:pStyle w:val="NBSLH3"/>
        <w:keepNext/>
        <w:spacing w:before="160" w:after="60"/>
        <w:ind w:left="0" w:firstLine="0"/>
      </w:pPr>
      <w:r>
        <w:rPr>
          <w:b/>
          <w:bCs/>
          <w:sz w:val="22"/>
          <w:szCs w:val="22"/>
        </w:rPr>
        <w:t xml:space="preserve">3.1.2 실습 원료</w:t>
      </w:r>
    </w:p>
    <w:p>
      <w:pPr>
        <w:spacing w:after="100" w:line="300" w:lineRule="auto"/>
        <w:ind w:firstLine="200"/>
        <w:jc w:val="both"/>
      </w:pPr>
      <w:r>
        <w:rPr/>
        <w:t xml:space="preserve">실습에서 쓴 원료는 소분 판매된 갈색 병 두 개였다(그림 3-2). 큰 병 라벨에는 Silicone Elastomer Base라는 이름과 함께 dimethylvinyl-terminated 디메틸실록산, dimethylvinylated and trimethylated silica, tetra(trimethylsiloxy)silane 세 성분이 적혀 있었다. 이 세 성분은 SYLGARD 184 베이스 물질안전보건자료의 성분 이름과 그대로 같다 [3]. 다만 소분 라벨에 원제품명이 없어 같은 제품이라고 단정하지는 않고 같은 계열로 본다.</w:t>
      </w:r>
    </w:p>
    <w:tbl>
      <w:tblPr>
        <w:tblW w:w="9144" w:type="dxa"/>
        <w:jc w:val="center"/>
        <w:tblBorders>
          <w:top w:val="nil"/>
          <w:left w:val="nil"/>
          <w:bottom w:val="nil"/>
          <w:right w:val="nil"/>
          <w:insideH w:val="nil"/>
          <w:insideV w:val="nil"/>
        </w:tblBorders>
        <w:tblLayout w:type="fixed"/>
        <w:tblCellMar>
          <w:left w:w="0" w:type="dxa"/>
          <w:right w:w="0" w:type="dxa"/>
        </w:tblCellMar>
      </w:tblPr>
      <w:tblGrid>
        <w:gridCol w:w="9144"/>
      </w:tblGrid>
      <w:tr>
        <w:trPr>
          <w:cantSplit/>
        </w:trPr>
        <w:tc>
          <w:tcPr>
            <w:tcW w:w="9144" w:type="dxa"/>
          </w:tcPr>
          <w:tbl>
            <w:tblPr>
              <w:tblW w:w="2245" w:type="dxa"/>
              <w:jc w:val="center"/>
              <w:tblBorders>
                <w:top w:val="nil"/>
                <w:left w:val="nil"/>
                <w:bottom w:val="nil"/>
                <w:right w:val="nil"/>
                <w:insideH w:val="nil"/>
                <w:insideV w:val="nil"/>
              </w:tblBorders>
              <w:tblLayout w:type="fixed"/>
              <w:tblCellMar>
                <w:left w:w="60" w:type="dxa"/>
                <w:right w:w="60" w:type="dxa"/>
              </w:tblCellMar>
            </w:tblPr>
            <w:tblGrid>
              <w:gridCol w:w="2245"/>
            </w:tblGrid>
            <w:tr>
              <w:trPr>
                <w:cantSplit/>
              </w:trPr>
              <w:tc>
                <w:tcPr>
                  <w:tcW w:w="2245" w:type="dxa"/>
                  <w:vAlign w:val="bottom"/>
                </w:tcPr>
                <w:p>
                  <w:pPr>
                    <w:spacing w:after="20" w:line="240" w:lineRule="auto"/>
                    <w:jc w:val="center"/>
                  </w:pPr>
                  <w:r>
                    <w:drawing>
                      <wp:inline xmlns:a="http://schemas.openxmlformats.org/drawingml/2006/main" xmlns:pic="http://schemas.openxmlformats.org/drawingml/2006/picture">
                        <wp:extent cx="1349736" cy="1800000"/>
                        <wp:docPr id="102" name="Picture 102"/>
                        <wp:cNvGraphicFramePr>
                          <a:graphicFrameLocks noChangeAspect="1"/>
                        </wp:cNvGraphicFramePr>
                        <a:graphic>
                          <a:graphicData uri="http://schemas.openxmlformats.org/drawingml/2006/picture">
                            <pic:pic>
                              <pic:nvPicPr>
                                <pic:cNvPr id="0" name="01_pdms_materials.jpg"/>
                                <pic:cNvPicPr/>
                              </pic:nvPicPr>
                              <pic:blipFill>
                                <a:blip r:embed="rId15"/>
                                <a:stretch>
                                  <a:fillRect/>
                                </a:stretch>
                              </pic:blipFill>
                              <pic:spPr>
                                <a:xfrm>
                                  <a:off x="0" y="0"/>
                                  <a:ext cx="1349736" cy="1800000"/>
                                </a:xfrm>
                                <a:prstGeom prst="rect"/>
                              </pic:spPr>
                            </pic:pic>
                          </a:graphicData>
                        </a:graphic>
                      </wp:inline>
                    </w:drawing>
                  </w:r>
                </w:p>
                <w:p>
                  <w:pPr>
                    <w:spacing w:after="0" w:line="240" w:lineRule="auto"/>
                    <w:jc w:val="center"/>
                  </w:pPr>
                  <w:r>
                    <w:rPr>
                      <w:sz w:val="17"/>
                      <w:szCs w:val="17"/>
                    </w:rPr>
                    <w:t xml:space="preserve">큰 병은 베이스, 작은 병은 경화제, 앞쪽은 웨잉 디쉬</w:t>
                  </w:r>
                </w:p>
              </w:tc>
            </w:tr>
          </w:tbl>
          <w:p>
            <w:pPr>
              <w:spacing w:before="60" w:after="0"/>
              <w:jc w:val="center"/>
            </w:pPr>
            <w:r>
              <w:rPr>
                <w:sz w:val="19"/>
                <w:szCs w:val="19"/>
              </w:rPr>
              <w:t xml:space="preserve">그림 3-2. 실습에 쓴 PDMS 원료</w:t>
            </w:r>
          </w:p>
        </w:tc>
      </w:tr>
    </w:tbl>
    <w:p>
      <w:pPr>
        <w:spacing w:after="120" w:line="240" w:lineRule="auto"/>
      </w:pPr>
    </w:p>
    <w:p>
      <w:pPr>
        <w:pStyle w:val="NBSLH2"/>
        <w:keepNext/>
        <w:spacing w:before="240" w:after="100"/>
        <w:ind w:left="0" w:firstLine="0"/>
      </w:pPr>
      <w:bookmarkStart w:id="507" w:name="_Toc900507"/>
      <w:r>
        <w:rPr>
          <w:b/>
          <w:bCs/>
          <w:sz w:val="24"/>
          <w:szCs w:val="24"/>
        </w:rPr>
        <w:t xml:space="preserve">3.2 계량: 분석 저울과 10 : 1</w:t>
      </w:r>
      <w:bookmarkEnd w:id="507"/>
    </w:p>
    <w:p>
      <w:pPr>
        <w:pStyle w:val="NBSLH3"/>
        <w:keepNext/>
        <w:spacing w:before="160" w:after="60"/>
        <w:ind w:left="0" w:firstLine="0"/>
      </w:pPr>
      <w:r>
        <w:rPr>
          <w:b/>
          <w:bCs/>
          <w:sz w:val="22"/>
          <w:szCs w:val="22"/>
        </w:rPr>
        <w:t xml:space="preserve">3.2.1 원리</w:t>
      </w:r>
    </w:p>
    <w:p>
      <w:pPr>
        <w:spacing w:after="100" w:line="300" w:lineRule="auto"/>
        <w:ind w:firstLine="200"/>
        <w:jc w:val="both"/>
      </w:pPr>
      <w:r>
        <w:rPr/>
        <w:t xml:space="preserve">분석 저울의 영점(tare) 버튼은 지금 올라가 있는 무게를 0으로 기억하고 그 뒤의 변화만 보여 준다. 웨잉 디쉬를 올린 채 영점을 잡으면 화면에는 디쉬 무게가 빠진 값이 나온다. 이번 실습에서는 영점을 잡은 디쉬를 저울 밖으로 꺼냈더니 화면에 −2.5485 g이 떴다(그림 3-4 (b)). 기준보다 디쉬 무게만큼 가벼워졌다는 뜻이고 이 값이 곧 디쉬의 무게다. 디쉬에 베이스를 담아 다시 올리면 디쉬 무게는 상쇄되고 베이스 무게만 남는다(그림 3-3).</w:t>
      </w:r>
    </w:p>
    <w:p>
      <w:pPr>
        <w:keepNext/>
        <w:spacing w:before="120" w:after="40"/>
        <w:jc w:val="center"/>
      </w:pPr>
      <w:r>
        <w:drawing>
          <wp:inline xmlns:a="http://schemas.openxmlformats.org/drawingml/2006/main" xmlns:pic="http://schemas.openxmlformats.org/drawingml/2006/picture">
            <wp:extent cx="5143500" cy="2198233"/>
            <wp:docPr id="103" name="Picture 103"/>
            <wp:cNvGraphicFramePr>
              <a:graphicFrameLocks noChangeAspect="1"/>
            </wp:cNvGraphicFramePr>
            <a:graphic>
              <a:graphicData uri="http://schemas.openxmlformats.org/drawingml/2006/picture">
                <pic:pic>
                  <pic:nvPicPr>
                    <pic:cNvPr id="0" name="f_tare.png"/>
                    <pic:cNvPicPr/>
                  </pic:nvPicPr>
                  <pic:blipFill>
                    <a:blip r:embed="rId16"/>
                    <a:stretch>
                      <a:fillRect/>
                    </a:stretch>
                  </pic:blipFill>
                  <pic:spPr>
                    <a:xfrm>
                      <a:off x="0" y="0"/>
                      <a:ext cx="5143500" cy="2198233"/>
                    </a:xfrm>
                    <a:prstGeom prst="rect"/>
                  </pic:spPr>
                </pic:pic>
              </a:graphicData>
            </a:graphic>
          </wp:inline>
        </w:drawing>
      </w:r>
    </w:p>
    <w:p>
      <w:pPr>
        <w:keepLines/>
        <w:spacing w:after="200"/>
        <w:jc w:val="center"/>
      </w:pPr>
      <w:r>
        <w:rPr>
          <w:sz w:val="19"/>
          <w:szCs w:val="19"/>
        </w:rPr>
        <w:t xml:space="preserve">그림 3-3. 영점으로 용기 무게를 빼는 원리 (개념도)</w:t>
      </w:r>
    </w:p>
    <w:p>
      <w:pPr>
        <w:spacing w:after="100" w:line="300" w:lineRule="auto"/>
        <w:ind w:firstLine="200"/>
        <w:jc w:val="both"/>
      </w:pPr>
      <w:r>
        <w:rPr/>
        <w:t xml:space="preserve">혼합비는 무게로 맞춘다. 10 : 1이면 경화제는 전체의 10 %가 아니라 1/11, 약 9.09 %다. 두 액체의 비중이 거의 같아서 무게비 10 : 1을 부피비로 바꾸면 9.81 : 1로 큰 차이가 없다(계산). 2007년판 제조사 자료가 무게나 부피 어느 쪽으로 10 : 1을 맞춰도 된다고 적은 것도 이 때문으로 보인다 [6]. 그래도 5000 cSt인 베이스는 실린더 눈금으로 부피를 정확히 읽기 어렵고 실습 저울은 0.1 mg까지 읽으므로 무게로 재는 편이 정확하다.</w:t>
      </w:r>
    </w:p>
    <w:p>
      <w:pPr>
        <w:pStyle w:val="NBSLH3"/>
        <w:keepNext/>
        <w:spacing w:before="160" w:after="60"/>
        <w:ind w:left="0" w:firstLine="0"/>
      </w:pPr>
      <w:r>
        <w:rPr>
          <w:b/>
          <w:bCs/>
          <w:sz w:val="22"/>
          <w:szCs w:val="22"/>
        </w:rPr>
        <w:t xml:space="preserve">3.2.2 사용 순서</w:t>
      </w:r>
    </w:p>
    <w:p>
      <w:pPr>
        <w:tabs>
          <w:tab w:val="left" w:pos="600"/>
        </w:tabs>
        <w:spacing w:after="30" w:line="290" w:lineRule="auto"/>
        <w:ind w:left="600" w:hanging="340"/>
        <w:jc w:val="both"/>
      </w:pPr>
      <w:r>
        <w:rPr/>
        <w:t xml:space="preserve">1.</w:t>
        <w:tab/>
        <w:t xml:space="preserve">저울 문을 닫고 영점을 잡는다. 웨잉 디쉬를 올리고 다시 영점을 잡는다.</w:t>
      </w:r>
    </w:p>
    <w:p>
      <w:pPr>
        <w:tabs>
          <w:tab w:val="left" w:pos="600"/>
        </w:tabs>
        <w:spacing w:after="30" w:line="290" w:lineRule="auto"/>
        <w:ind w:left="600" w:hanging="340"/>
        <w:jc w:val="both"/>
      </w:pPr>
      <w:r>
        <w:rPr/>
        <w:t xml:space="preserve">2.</w:t>
        <w:tab/>
        <w:t xml:space="preserve">디쉬를 꺼내 휴지를 깐 저울 밖에서 베이스를 따른다. 영점을 잡아 두었으므로 저울 밖에서 따라도 된다.</w:t>
      </w:r>
    </w:p>
    <w:p>
      <w:pPr>
        <w:tabs>
          <w:tab w:val="left" w:pos="600"/>
        </w:tabs>
        <w:spacing w:after="30" w:line="290" w:lineRule="auto"/>
        <w:ind w:left="600" w:hanging="340"/>
        <w:jc w:val="both"/>
      </w:pPr>
      <w:r>
        <w:rPr/>
        <w:t xml:space="preserve">3.</w:t>
        <w:tab/>
        <w:t xml:space="preserve">디쉬를 다시 올려 베이스 무게를 확인한다. 우리 조는 15 g을 목표로 했다.</w:t>
      </w:r>
    </w:p>
    <w:p>
      <w:pPr>
        <w:tabs>
          <w:tab w:val="left" w:pos="600"/>
        </w:tabs>
        <w:spacing w:after="120" w:line="290" w:lineRule="auto"/>
        <w:ind w:left="600" w:hanging="340"/>
        <w:jc w:val="both"/>
      </w:pPr>
      <w:r>
        <w:rPr/>
        <w:t xml:space="preserve">4.</w:t>
        <w:tab/>
        <w:t xml:space="preserve">다시 영점을 잡고 경화제를 베이스의 1/10 무게만큼 넣는다. 우리 조는 1.5 g을 목표로 했다.</w:t>
      </w:r>
    </w:p>
    <w:tbl>
      <w:tblPr>
        <w:tblW w:w="9144" w:type="dxa"/>
        <w:jc w:val="center"/>
        <w:tblBorders>
          <w:top w:val="nil"/>
          <w:left w:val="nil"/>
          <w:bottom w:val="nil"/>
          <w:right w:val="nil"/>
          <w:insideH w:val="nil"/>
          <w:insideV w:val="nil"/>
        </w:tblBorders>
        <w:tblLayout w:type="fixed"/>
        <w:tblCellMar>
          <w:left w:w="0" w:type="dxa"/>
          <w:right w:w="0" w:type="dxa"/>
        </w:tblCellMar>
      </w:tblPr>
      <w:tblGrid>
        <w:gridCol w:w="9144"/>
      </w:tblGrid>
      <w:tr>
        <w:trPr>
          <w:cantSplit/>
        </w:trPr>
        <w:tc>
          <w:tcPr>
            <w:tcW w:w="9144" w:type="dxa"/>
          </w:tcPr>
          <w:tbl>
            <w:tblPr>
              <w:tblW w:w="8556" w:type="dxa"/>
              <w:jc w:val="center"/>
              <w:tblBorders>
                <w:top w:val="nil"/>
                <w:left w:val="nil"/>
                <w:bottom w:val="nil"/>
                <w:right w:val="nil"/>
                <w:insideH w:val="nil"/>
                <w:insideV w:val="nil"/>
              </w:tblBorders>
              <w:tblLayout w:type="fixed"/>
              <w:tblCellMar>
                <w:left w:w="60" w:type="dxa"/>
                <w:right w:w="60" w:type="dxa"/>
              </w:tblCellMar>
            </w:tblPr>
            <w:tblGrid>
              <w:gridCol w:w="2139"/>
              <w:gridCol w:w="2139"/>
              <w:gridCol w:w="2139"/>
              <w:gridCol w:w="2139"/>
            </w:tblGrid>
            <w:tr>
              <w:trPr>
                <w:cantSplit/>
              </w:trPr>
              <w:tc>
                <w:tcPr>
                  <w:tcW w:w="2139" w:type="dxa"/>
                  <w:vAlign w:val="bottom"/>
                </w:tcPr>
                <w:p>
                  <w:pPr>
                    <w:spacing w:after="20" w:line="240" w:lineRule="auto"/>
                    <w:jc w:val="center"/>
                  </w:pPr>
                  <w:r>
                    <w:drawing>
                      <wp:inline xmlns:a="http://schemas.openxmlformats.org/drawingml/2006/main" xmlns:pic="http://schemas.openxmlformats.org/drawingml/2006/picture">
                        <wp:extent cx="1282500" cy="1710333"/>
                        <wp:docPr id="104" name="Picture 104"/>
                        <wp:cNvGraphicFramePr>
                          <a:graphicFrameLocks noChangeAspect="1"/>
                        </wp:cNvGraphicFramePr>
                        <a:graphic>
                          <a:graphicData uri="http://schemas.openxmlformats.org/drawingml/2006/picture">
                            <pic:pic>
                              <pic:nvPicPr>
                                <pic:cNvPr id="0" name="02_weigh_tare-dish.jpg"/>
                                <pic:cNvPicPr/>
                              </pic:nvPicPr>
                              <pic:blipFill>
                                <a:blip r:embed="rId17"/>
                                <a:stretch>
                                  <a:fillRect/>
                                </a:stretch>
                              </pic:blipFill>
                              <pic:spPr>
                                <a:xfrm>
                                  <a:off x="0" y="0"/>
                                  <a:ext cx="1282500" cy="1710333"/>
                                </a:xfrm>
                                <a:prstGeom prst="rect"/>
                              </pic:spPr>
                            </pic:pic>
                          </a:graphicData>
                        </a:graphic>
                      </wp:inline>
                    </w:drawing>
                  </w:r>
                </w:p>
                <w:p>
                  <w:pPr>
                    <w:spacing w:after="0" w:line="240" w:lineRule="auto"/>
                    <w:jc w:val="center"/>
                  </w:pPr>
                  <w:r>
                    <w:rPr>
                      <w:sz w:val="17"/>
                      <w:szCs w:val="17"/>
                    </w:rPr>
                    <w:t xml:space="preserve">(a) 디쉬를 올리고 영점</w:t>
                  </w:r>
                </w:p>
              </w:tc>
              <w:tc>
                <w:tcPr>
                  <w:tcW w:w="2139" w:type="dxa"/>
                  <w:vAlign w:val="bottom"/>
                </w:tcPr>
                <w:p>
                  <w:pPr>
                    <w:spacing w:after="20" w:line="240" w:lineRule="auto"/>
                    <w:jc w:val="center"/>
                  </w:pPr>
                  <w:r>
                    <w:drawing>
                      <wp:inline xmlns:a="http://schemas.openxmlformats.org/drawingml/2006/main" xmlns:pic="http://schemas.openxmlformats.org/drawingml/2006/picture">
                        <wp:extent cx="1282500" cy="1710333"/>
                        <wp:docPr id="105" name="Picture 105"/>
                        <wp:cNvGraphicFramePr>
                          <a:graphicFrameLocks noChangeAspect="1"/>
                        </wp:cNvGraphicFramePr>
                        <a:graphic>
                          <a:graphicData uri="http://schemas.openxmlformats.org/drawingml/2006/picture">
                            <pic:pic>
                              <pic:nvPicPr>
                                <pic:cNvPr id="0" name="02_weigh_dish-removed.jpg"/>
                                <pic:cNvPicPr/>
                              </pic:nvPicPr>
                              <pic:blipFill>
                                <a:blip r:embed="rId18"/>
                                <a:stretch>
                                  <a:fillRect/>
                                </a:stretch>
                              </pic:blipFill>
                              <pic:spPr>
                                <a:xfrm>
                                  <a:off x="0" y="0"/>
                                  <a:ext cx="1282500" cy="1710333"/>
                                </a:xfrm>
                                <a:prstGeom prst="rect"/>
                              </pic:spPr>
                            </pic:pic>
                          </a:graphicData>
                        </a:graphic>
                      </wp:inline>
                    </w:drawing>
                  </w:r>
                </w:p>
                <w:p>
                  <w:pPr>
                    <w:spacing w:after="0" w:line="240" w:lineRule="auto"/>
                    <w:jc w:val="center"/>
                  </w:pPr>
                  <w:r>
                    <w:rPr>
                      <w:sz w:val="17"/>
                      <w:szCs w:val="17"/>
                    </w:rPr>
                    <w:t xml:space="preserve">(b) 디쉬를 꺼낸 상태</w:t>
                  </w:r>
                </w:p>
              </w:tc>
              <w:tc>
                <w:tcPr>
                  <w:tcW w:w="2139" w:type="dxa"/>
                  <w:vAlign w:val="bottom"/>
                </w:tcPr>
                <w:p>
                  <w:pPr>
                    <w:spacing w:after="20" w:line="240" w:lineRule="auto"/>
                    <w:jc w:val="center"/>
                  </w:pPr>
                  <w:r>
                    <w:drawing>
                      <wp:inline xmlns:a="http://schemas.openxmlformats.org/drawingml/2006/main" xmlns:pic="http://schemas.openxmlformats.org/drawingml/2006/picture">
                        <wp:extent cx="1282500" cy="1710333"/>
                        <wp:docPr id="106" name="Picture 106"/>
                        <wp:cNvGraphicFramePr>
                          <a:graphicFrameLocks noChangeAspect="1"/>
                        </wp:cNvGraphicFramePr>
                        <a:graphic>
                          <a:graphicData uri="http://schemas.openxmlformats.org/drawingml/2006/picture">
                            <pic:pic>
                              <pic:nvPicPr>
                                <pic:cNvPr id="0" name="02_weigh_pour-base.jpg"/>
                                <pic:cNvPicPr/>
                              </pic:nvPicPr>
                              <pic:blipFill>
                                <a:blip r:embed="rId19"/>
                                <a:stretch>
                                  <a:fillRect/>
                                </a:stretch>
                              </pic:blipFill>
                              <pic:spPr>
                                <a:xfrm>
                                  <a:off x="0" y="0"/>
                                  <a:ext cx="1282500" cy="1710333"/>
                                </a:xfrm>
                                <a:prstGeom prst="rect"/>
                              </pic:spPr>
                            </pic:pic>
                          </a:graphicData>
                        </a:graphic>
                      </wp:inline>
                    </w:drawing>
                  </w:r>
                </w:p>
                <w:p>
                  <w:pPr>
                    <w:spacing w:after="0" w:line="240" w:lineRule="auto"/>
                    <w:jc w:val="center"/>
                  </w:pPr>
                  <w:r>
                    <w:rPr>
                      <w:sz w:val="17"/>
                      <w:szCs w:val="17"/>
                    </w:rPr>
                    <w:t xml:space="preserve">(c) 저울 밖에서 베이스</w:t>
                  </w:r>
                </w:p>
              </w:tc>
              <w:tc>
                <w:tcPr>
                  <w:tcW w:w="2139" w:type="dxa"/>
                  <w:vAlign w:val="bottom"/>
                </w:tcPr>
                <w:p>
                  <w:pPr>
                    <w:spacing w:after="20" w:line="240" w:lineRule="auto"/>
                    <w:jc w:val="center"/>
                  </w:pPr>
                  <w:r>
                    <w:drawing>
                      <wp:inline xmlns:a="http://schemas.openxmlformats.org/drawingml/2006/main" xmlns:pic="http://schemas.openxmlformats.org/drawingml/2006/picture">
                        <wp:extent cx="1282500" cy="1710333"/>
                        <wp:docPr id="107" name="Picture 107"/>
                        <wp:cNvGraphicFramePr>
                          <a:graphicFrameLocks noChangeAspect="1"/>
                        </wp:cNvGraphicFramePr>
                        <a:graphic>
                          <a:graphicData uri="http://schemas.openxmlformats.org/drawingml/2006/picture">
                            <pic:pic>
                              <pic:nvPicPr>
                                <pic:cNvPr id="0" name="02_weigh_curing-agent.jpg"/>
                                <pic:cNvPicPr/>
                              </pic:nvPicPr>
                              <pic:blipFill>
                                <a:blip r:embed="rId20"/>
                                <a:stretch>
                                  <a:fillRect/>
                                </a:stretch>
                              </pic:blipFill>
                              <pic:spPr>
                                <a:xfrm>
                                  <a:off x="0" y="0"/>
                                  <a:ext cx="1282500" cy="1710333"/>
                                </a:xfrm>
                                <a:prstGeom prst="rect"/>
                              </pic:spPr>
                            </pic:pic>
                          </a:graphicData>
                        </a:graphic>
                      </wp:inline>
                    </w:drawing>
                  </w:r>
                </w:p>
                <w:p>
                  <w:pPr>
                    <w:spacing w:after="0" w:line="240" w:lineRule="auto"/>
                    <w:jc w:val="center"/>
                  </w:pPr>
                  <w:r>
                    <w:rPr>
                      <w:sz w:val="17"/>
                      <w:szCs w:val="17"/>
                    </w:rPr>
                    <w:t xml:space="preserve">(d) 영점 후 경화제</w:t>
                  </w:r>
                </w:p>
              </w:tc>
            </w:tr>
          </w:tbl>
          <w:p>
            <w:pPr>
              <w:spacing w:before="60" w:after="0"/>
              <w:jc w:val="center"/>
            </w:pPr>
            <w:r>
              <w:rPr>
                <w:sz w:val="19"/>
                <w:szCs w:val="19"/>
              </w:rPr>
              <w:t xml:space="preserve">그림 3-4. 분석 저울로 베이스와 경화제 계량</w:t>
            </w:r>
          </w:p>
        </w:tc>
      </w:tr>
    </w:tbl>
    <w:p>
      <w:pPr>
        <w:spacing w:after="120" w:line="240" w:lineRule="auto"/>
      </w:pPr>
    </w:p>
    <w:p>
      <w:pPr>
        <w:spacing w:after="100" w:line="300" w:lineRule="auto"/>
        <w:ind w:firstLine="200"/>
        <w:jc w:val="both"/>
      </w:pPr>
      <w:r>
        <w:rPr/>
        <w:t xml:space="preserve">저울은 Sartorius 분석 저울로 화면에 최대 220 g, 최소 표시 단위 0.1 mg(= 0.0001 g)이 적혀 있었다(그림 3-4 (a)). 경화제를 넣는 사진에는 Net 표시와 함께 0.6324 g이 찍혀 있는데(그림 3-4 (d)) 이는 베이스를 올린 뒤 다시 영점을 잡았다는 뜻이고 1.5 g을 향해 넣는 도중의 값이다. 우리 조의 최종 계량값은 기록하지 못했고 목표량 15 g과 1.5 g에서 약간의 오차가 있었을 가능성이 있다.</w:t>
      </w:r>
    </w:p>
    <w:p>
      <w:pPr>
        <w:pStyle w:val="NBSLH3"/>
        <w:keepNext/>
        <w:spacing w:before="160" w:after="60"/>
        <w:ind w:left="0" w:firstLine="0"/>
      </w:pPr>
      <w:r>
        <w:rPr>
          <w:b/>
          <w:bCs/>
          <w:sz w:val="22"/>
          <w:szCs w:val="22"/>
        </w:rPr>
        <w:t xml:space="preserve">3.2.3 주의점과 이유</w:t>
      </w:r>
    </w:p>
    <w:p>
      <w:pPr>
        <w:spacing w:after="100" w:line="300" w:lineRule="auto"/>
        <w:ind w:firstLine="200"/>
        <w:jc w:val="both"/>
      </w:pPr>
      <w:r>
        <w:rPr/>
        <w:t xml:space="preserve">베이스를 먼저 넣고 경화제를 나중에 넣는다. 수업 시연에서는 베이스 위에 묽은 경화제를 따르자 바로 섞이지 않고 위에 층으로 떠 있었다. 이 상태라면 경화제를 너무 많이 넣었을 때 위층만 덜어 내면 된다. 점도가 45배 높은 베이스를 먼저 맞춰 두면 묽은 경화제를 조금씩 더하며 1/10에 맞추기도 쉽다. 저울 안에서 바로 따르면 더 정확하지만 흘리기 쉬우므로 영점을 잡은 뒤 밖에서 따랐다. 이때 생기는 작은 오차는 수업에서 괜찮다고 했다.</w:t>
      </w:r>
    </w:p>
    <w:p>
      <w:pPr>
        <w:pStyle w:val="NBSLH2"/>
        <w:keepNext/>
        <w:spacing w:before="240" w:after="100"/>
        <w:ind w:left="0" w:firstLine="0"/>
      </w:pPr>
      <w:bookmarkStart w:id="508" w:name="_Toc900508"/>
      <w:r>
        <w:rPr>
          <w:b/>
          <w:bCs/>
          <w:sz w:val="24"/>
          <w:szCs w:val="24"/>
        </w:rPr>
        <w:t xml:space="preserve">3.3 혼합</w:t>
      </w:r>
      <w:bookmarkEnd w:id="508"/>
    </w:p>
    <w:p>
      <w:pPr>
        <w:pStyle w:val="NBSLH3"/>
        <w:keepNext/>
        <w:spacing w:before="160" w:after="60"/>
        <w:ind w:left="0" w:firstLine="0"/>
      </w:pPr>
      <w:r>
        <w:rPr>
          <w:b/>
          <w:bCs/>
          <w:sz w:val="22"/>
          <w:szCs w:val="22"/>
        </w:rPr>
        <w:t xml:space="preserve">3.3.1 원리</w:t>
      </w:r>
    </w:p>
    <w:p>
      <w:pPr>
        <w:spacing w:after="100" w:line="300" w:lineRule="auto"/>
        <w:ind w:firstLine="200"/>
        <w:jc w:val="both"/>
      </w:pPr>
      <w:r>
        <w:rPr/>
        <w:t xml:space="preserve">제조사는 충분히 섞은 혼합물을 붓되 섞을 때 공기가 갇히는 것을 줄이라고 안내한다 [6]. 가교는 경화제의 Si–H기와 베이스의 비닐기가 만나는 자리에서만 일어나므로 [2] 경화제가 베이스 전체에 고르게 퍼져야 그물도 고르게 생긴다. 덜 섞였을 때 어떤 결함이 생기는지는 제조사 자료에 적혀 있지 않아 이 보고서에서는 단정하지 않는다. 섞은 뒤 점도가 두 배가 되기까지 걸리는 시간(가사 시간)은 2시간이 넘는다 [6]. 그래서 오래 젓고 탈포와 붓기를 마칠 때까지 실온에서 굳기 시작할 걱정은 적다.</w:t>
      </w:r>
    </w:p>
    <w:p>
      <w:pPr>
        <w:pStyle w:val="NBSLH3"/>
        <w:keepNext/>
        <w:spacing w:before="160" w:after="60"/>
        <w:ind w:left="0" w:firstLine="0"/>
      </w:pPr>
      <w:r>
        <w:rPr>
          <w:b/>
          <w:bCs/>
          <w:sz w:val="22"/>
          <w:szCs w:val="22"/>
        </w:rPr>
        <w:t xml:space="preserve">3.3.2 사용 순서와 관찰</w:t>
      </w:r>
    </w:p>
    <w:p>
      <w:pPr>
        <w:spacing w:after="100" w:line="300" w:lineRule="auto"/>
        <w:ind w:firstLine="200"/>
        <w:jc w:val="both"/>
      </w:pPr>
      <w:r>
        <w:rPr/>
        <w:t xml:space="preserve">스패출러로 디쉬 안의 혼합물을 수백 번 저었다. 수업에서는 최소 300번, 예전에는 500번에서 1000번까지 섞었다고 설명했다. 저을수록 공기가 말려 들어가 혼합물이 뿌옇게 기포로 찼다(그림 3-5 (a)). 다 쓴 스패출러는 70 % 에탄올을 뿌려 닦았다(그림 3-5 (b)).</w:t>
      </w:r>
    </w:p>
    <w:tbl>
      <w:tblPr>
        <w:tblW w:w="9144" w:type="dxa"/>
        <w:jc w:val="center"/>
        <w:tblBorders>
          <w:top w:val="nil"/>
          <w:left w:val="nil"/>
          <w:bottom w:val="nil"/>
          <w:right w:val="nil"/>
          <w:insideH w:val="nil"/>
          <w:insideV w:val="nil"/>
        </w:tblBorders>
        <w:tblLayout w:type="fixed"/>
        <w:tblCellMar>
          <w:left w:w="0" w:type="dxa"/>
          <w:right w:w="0" w:type="dxa"/>
        </w:tblCellMar>
      </w:tblPr>
      <w:tblGrid>
        <w:gridCol w:w="9144"/>
      </w:tblGrid>
      <w:tr>
        <w:trPr>
          <w:cantSplit/>
        </w:trPr>
        <w:tc>
          <w:tcPr>
            <w:tcW w:w="9144" w:type="dxa"/>
          </w:tcPr>
          <w:tbl>
            <w:tblPr>
              <w:tblW w:w="5342" w:type="dxa"/>
              <w:jc w:val="center"/>
              <w:tblBorders>
                <w:top w:val="nil"/>
                <w:left w:val="nil"/>
                <w:bottom w:val="nil"/>
                <w:right w:val="nil"/>
                <w:insideH w:val="nil"/>
                <w:insideV w:val="nil"/>
              </w:tblBorders>
              <w:tblLayout w:type="fixed"/>
              <w:tblCellMar>
                <w:left w:w="60" w:type="dxa"/>
                <w:right w:w="60" w:type="dxa"/>
              </w:tblCellMar>
            </w:tblPr>
            <w:tblGrid>
              <w:gridCol w:w="2671"/>
              <w:gridCol w:w="2671"/>
            </w:tblGrid>
            <w:tr>
              <w:trPr>
                <w:cantSplit/>
              </w:trPr>
              <w:tc>
                <w:tcPr>
                  <w:tcW w:w="2671" w:type="dxa"/>
                  <w:vAlign w:val="bottom"/>
                </w:tcPr>
                <w:p>
                  <w:pPr>
                    <w:spacing w:after="20" w:line="240" w:lineRule="auto"/>
                    <w:jc w:val="center"/>
                  </w:pPr>
                  <w:r>
                    <w:drawing>
                      <wp:inline xmlns:a="http://schemas.openxmlformats.org/drawingml/2006/main" xmlns:pic="http://schemas.openxmlformats.org/drawingml/2006/picture">
                        <wp:extent cx="1619683" cy="2160000"/>
                        <wp:docPr id="108" name="Picture 108"/>
                        <wp:cNvGraphicFramePr>
                          <a:graphicFrameLocks noChangeAspect="1"/>
                        </wp:cNvGraphicFramePr>
                        <a:graphic>
                          <a:graphicData uri="http://schemas.openxmlformats.org/drawingml/2006/picture">
                            <pic:pic>
                              <pic:nvPicPr>
                                <pic:cNvPr id="0" name="03_mix_stirring.jpg"/>
                                <pic:cNvPicPr/>
                              </pic:nvPicPr>
                              <pic:blipFill>
                                <a:blip r:embed="rId21"/>
                                <a:stretch>
                                  <a:fillRect/>
                                </a:stretch>
                              </pic:blipFill>
                              <pic:spPr>
                                <a:xfrm>
                                  <a:off x="0" y="0"/>
                                  <a:ext cx="1619683" cy="2160000"/>
                                </a:xfrm>
                                <a:prstGeom prst="rect"/>
                              </pic:spPr>
                            </pic:pic>
                          </a:graphicData>
                        </a:graphic>
                      </wp:inline>
                    </w:drawing>
                  </w:r>
                </w:p>
                <w:p>
                  <w:pPr>
                    <w:spacing w:after="0" w:line="240" w:lineRule="auto"/>
                    <w:jc w:val="center"/>
                  </w:pPr>
                  <w:r>
                    <w:rPr>
                      <w:sz w:val="17"/>
                      <w:szCs w:val="17"/>
                    </w:rPr>
                    <w:t xml:space="preserve">(a) 섞은 뒤 기포로 뿌옇게 된 혼합물</w:t>
                  </w:r>
                </w:p>
              </w:tc>
              <w:tc>
                <w:tcPr>
                  <w:tcW w:w="2671" w:type="dxa"/>
                  <w:vAlign w:val="bottom"/>
                </w:tcPr>
                <w:p>
                  <w:pPr>
                    <w:spacing w:after="20" w:line="240" w:lineRule="auto"/>
                    <w:jc w:val="center"/>
                  </w:pPr>
                  <w:r>
                    <w:drawing>
                      <wp:inline xmlns:a="http://schemas.openxmlformats.org/drawingml/2006/main" xmlns:pic="http://schemas.openxmlformats.org/drawingml/2006/picture">
                        <wp:extent cx="1619683" cy="2160000"/>
                        <wp:docPr id="109" name="Picture 109"/>
                        <wp:cNvGraphicFramePr>
                          <a:graphicFrameLocks noChangeAspect="1"/>
                        </wp:cNvGraphicFramePr>
                        <a:graphic>
                          <a:graphicData uri="http://schemas.openxmlformats.org/drawingml/2006/picture">
                            <pic:pic>
                              <pic:nvPicPr>
                                <pic:cNvPr id="0" name="03_mix_clean-spatula.jpg"/>
                                <pic:cNvPicPr/>
                              </pic:nvPicPr>
                              <pic:blipFill>
                                <a:blip r:embed="rId22"/>
                                <a:stretch>
                                  <a:fillRect/>
                                </a:stretch>
                              </pic:blipFill>
                              <pic:spPr>
                                <a:xfrm>
                                  <a:off x="0" y="0"/>
                                  <a:ext cx="1619683" cy="2160000"/>
                                </a:xfrm>
                                <a:prstGeom prst="rect"/>
                              </pic:spPr>
                            </pic:pic>
                          </a:graphicData>
                        </a:graphic>
                      </wp:inline>
                    </w:drawing>
                  </w:r>
                </w:p>
                <w:p>
                  <w:pPr>
                    <w:spacing w:after="0" w:line="240" w:lineRule="auto"/>
                    <w:jc w:val="center"/>
                  </w:pPr>
                  <w:r>
                    <w:rPr>
                      <w:sz w:val="17"/>
                      <w:szCs w:val="17"/>
                    </w:rPr>
                    <w:t xml:space="preserve">(b) 스패출러를 에탄올로 닦기</w:t>
                  </w:r>
                </w:p>
              </w:tc>
            </w:tr>
          </w:tbl>
          <w:p>
            <w:pPr>
              <w:spacing w:before="60" w:after="0"/>
              <w:jc w:val="center"/>
            </w:pPr>
            <w:r>
              <w:rPr>
                <w:sz w:val="19"/>
                <w:szCs w:val="19"/>
              </w:rPr>
              <w:t xml:space="preserve">그림 3-5. 혼합과 도구 정리</w:t>
            </w:r>
          </w:p>
        </w:tc>
      </w:tr>
    </w:tbl>
    <w:p>
      <w:pPr>
        <w:spacing w:after="120" w:line="240" w:lineRule="auto"/>
      </w:pPr>
    </w:p>
    <w:p>
      <w:pPr>
        <w:pStyle w:val="NBSLH3"/>
        <w:keepNext/>
        <w:spacing w:before="160" w:after="60"/>
        <w:ind w:left="0" w:firstLine="0"/>
      </w:pPr>
      <w:r>
        <w:rPr>
          <w:b/>
          <w:bCs/>
          <w:sz w:val="22"/>
          <w:szCs w:val="22"/>
        </w:rPr>
        <w:t xml:space="preserve">3.3.3 주의점과 이유</w:t>
      </w:r>
    </w:p>
    <w:p>
      <w:pPr>
        <w:spacing w:after="100" w:line="300" w:lineRule="auto"/>
        <w:ind w:firstLine="200"/>
        <w:jc w:val="both"/>
      </w:pPr>
      <w:r>
        <w:rPr/>
        <w:t xml:space="preserve">고르게 섞으려면 오래 저어야 하고 오래 저을수록 공기가 더 갇힌다. 혼합 단계는 이 두 요구가 부딪히는 곳이다. 이번 공정은 먼저 충분히 섞어 반응을 고르게 하고 그 대가로 생긴 기포는 다음 단계의 진공 탈포에서 따로 빼는 방식으로 이 문제를 나눠 해결했다.</w:t>
      </w:r>
    </w:p>
    <w:p>
      <w:pPr>
        <w:pStyle w:val="NBSLH2"/>
        <w:keepNext/>
        <w:spacing w:before="240" w:after="100"/>
        <w:ind w:left="0" w:firstLine="0"/>
      </w:pPr>
      <w:bookmarkStart w:id="509" w:name="_Toc900509"/>
      <w:r>
        <w:rPr>
          <w:b/>
          <w:bCs/>
          <w:sz w:val="24"/>
          <w:szCs w:val="24"/>
        </w:rPr>
        <w:t xml:space="preserve">3.4 진공 탈포</w:t>
      </w:r>
      <w:bookmarkEnd w:id="509"/>
    </w:p>
    <w:p>
      <w:pPr>
        <w:pStyle w:val="NBSLH3"/>
        <w:keepNext/>
        <w:spacing w:before="160" w:after="60"/>
        <w:ind w:left="0" w:firstLine="0"/>
      </w:pPr>
      <w:r>
        <w:rPr>
          <w:b/>
          <w:bCs/>
          <w:sz w:val="22"/>
          <w:szCs w:val="22"/>
        </w:rPr>
        <w:t xml:space="preserve">3.4.1 원리</w:t>
      </w:r>
    </w:p>
    <w:p>
      <w:pPr>
        <w:spacing w:after="100" w:line="300" w:lineRule="auto"/>
        <w:ind w:firstLine="200"/>
        <w:jc w:val="both"/>
      </w:pPr>
      <w:r>
        <w:rPr/>
        <w:t xml:space="preserve">진공 챔버 안의 압력을 낮추면 혼합물 속 기포가 커진다. 온도가 같을 때 기체의 부피는 압력에 반비례하므로(보일 법칙) 절대압을 대기압의 1/10로 낮추면 기포 부피는 10배가 된다(그림 3-6 (a)). 액체 속 작은 기포가 떠오르는 속도는 스토크스 법칙에 따라 반지름의 제곱에 비례하고 점도에 반비례한다. 부피가 10배가 되면 반지름은 2.15배(∛10)가 되고 떠오르는 속도는 4.64배(2.15²)가 된다.</w:t>
      </w:r>
    </w:p>
    <w:p>
      <w:pPr>
        <w:spacing w:after="100" w:line="300" w:lineRule="auto"/>
        <w:ind w:firstLine="200"/>
        <w:jc w:val="both"/>
      </w:pPr>
      <w:r>
        <w:rPr/>
        <w:t xml:space="preserve">섞은 PDMS의 점도 3500 cps와 비중 1.03을 넣어 계산하면 지름 200 µm 기포가 5 mm를 떠오르는 데 대기압에서는 약 13분, 절대압 0.1 bar에서는 약 3분이 걸린다(그림 3-6 (b)). 지름 100 µm 기포는 대기압에서 50분이 넘는다. 끈적한 PDMS에서 작은 기포가 저절로 빠지기 어려운 이유가 이 숫자에 드러난다. 커진 기포는 표면까지 올라와 터진다. 그동안 혼합물 전체는 원래 부피의 약 2~6배까지 부풀었다가 가라앉으므로 용기에 부풀 자리를 남겨 두어야 한다 [7].</w:t>
      </w:r>
    </w:p>
    <w:p>
      <w:pPr>
        <w:keepNext/>
        <w:spacing w:before="120" w:after="40"/>
        <w:jc w:val="center"/>
      </w:pPr>
      <w:r>
        <w:drawing>
          <wp:inline xmlns:a="http://schemas.openxmlformats.org/drawingml/2006/main" xmlns:pic="http://schemas.openxmlformats.org/drawingml/2006/picture">
            <wp:extent cx="5334000" cy="2285270"/>
            <wp:docPr id="110" name="Picture 110"/>
            <wp:cNvGraphicFramePr>
              <a:graphicFrameLocks noChangeAspect="1"/>
            </wp:cNvGraphicFramePr>
            <a:graphic>
              <a:graphicData uri="http://schemas.openxmlformats.org/drawingml/2006/picture">
                <pic:pic>
                  <pic:nvPicPr>
                    <pic:cNvPr id="0" name="f_degas.png"/>
                    <pic:cNvPicPr/>
                  </pic:nvPicPr>
                  <pic:blipFill>
                    <a:blip r:embed="rId23"/>
                    <a:stretch>
                      <a:fillRect/>
                    </a:stretch>
                  </pic:blipFill>
                  <pic:spPr>
                    <a:xfrm>
                      <a:off x="0" y="0"/>
                      <a:ext cx="5334000" cy="2285270"/>
                    </a:xfrm>
                    <a:prstGeom prst="rect"/>
                  </pic:spPr>
                </pic:pic>
              </a:graphicData>
            </a:graphic>
          </wp:inline>
        </w:drawing>
      </w:r>
    </w:p>
    <w:p>
      <w:pPr>
        <w:keepLines/>
        <w:spacing w:after="200"/>
        <w:jc w:val="center"/>
      </w:pPr>
      <w:r>
        <w:rPr>
          <w:sz w:val="19"/>
          <w:szCs w:val="19"/>
        </w:rPr>
        <w:t xml:space="preserve">그림 3-6. 감압에 따른 기포 부피와 PDMS 속 기포가 떠오르는 시간 (계산 개형)</w:t>
      </w:r>
    </w:p>
    <w:p>
      <w:pPr>
        <w:pStyle w:val="NBSLH3"/>
        <w:keepNext/>
        <w:spacing w:before="160" w:after="60"/>
        <w:ind w:left="0" w:firstLine="0"/>
      </w:pPr>
      <w:r>
        <w:rPr>
          <w:b/>
          <w:bCs/>
          <w:sz w:val="22"/>
          <w:szCs w:val="22"/>
        </w:rPr>
        <w:t xml:space="preserve">3.4.2 사용 순서</w:t>
      </w:r>
    </w:p>
    <w:p>
      <w:pPr>
        <w:tabs>
          <w:tab w:val="left" w:pos="600"/>
        </w:tabs>
        <w:spacing w:after="30" w:line="290" w:lineRule="auto"/>
        <w:ind w:left="600" w:hanging="340"/>
        <w:jc w:val="both"/>
      </w:pPr>
      <w:r>
        <w:rPr/>
        <w:t xml:space="preserve">1.</w:t>
        <w:tab/>
        <w:t xml:space="preserve">섞은 혼합물을 디쉬째 아크릴 진공 챔버에 넣고 걸쇠로 뚜껑을 잠근다.</w:t>
      </w:r>
    </w:p>
    <w:p>
      <w:pPr>
        <w:tabs>
          <w:tab w:val="left" w:pos="600"/>
        </w:tabs>
        <w:spacing w:after="30" w:line="290" w:lineRule="auto"/>
        <w:ind w:left="600" w:hanging="340"/>
        <w:jc w:val="both"/>
      </w:pPr>
      <w:r>
        <w:rPr/>
        <w:t xml:space="preserve">2.</w:t>
        <w:tab/>
        <w:t xml:space="preserve">밸브를 조절해 공기를 뺀다. 거품이 디쉬 밖으로 넘치지 않는 선에서 감압 속도를 조절한다.</w:t>
      </w:r>
    </w:p>
    <w:p>
      <w:pPr>
        <w:tabs>
          <w:tab w:val="left" w:pos="600"/>
        </w:tabs>
        <w:spacing w:after="120" w:line="290" w:lineRule="auto"/>
        <w:ind w:left="600" w:hanging="340"/>
        <w:jc w:val="both"/>
      </w:pPr>
      <w:r>
        <w:rPr/>
        <w:t xml:space="preserve">3.</w:t>
        <w:tab/>
        <w:t xml:space="preserve">거품이 가라앉고 기포가 보이지 않으면 공기를 넣어 압력을 되돌리고 디쉬를 꺼낸다.</w:t>
      </w:r>
    </w:p>
    <w:tbl>
      <w:tblPr>
        <w:tblW w:w="9144" w:type="dxa"/>
        <w:jc w:val="center"/>
        <w:tblBorders>
          <w:top w:val="nil"/>
          <w:left w:val="nil"/>
          <w:bottom w:val="nil"/>
          <w:right w:val="nil"/>
          <w:insideH w:val="nil"/>
          <w:insideV w:val="nil"/>
        </w:tblBorders>
        <w:tblLayout w:type="fixed"/>
        <w:tblCellMar>
          <w:left w:w="0" w:type="dxa"/>
          <w:right w:w="0" w:type="dxa"/>
        </w:tblCellMar>
      </w:tblPr>
      <w:tblGrid>
        <w:gridCol w:w="9144"/>
      </w:tblGrid>
      <w:tr>
        <w:trPr>
          <w:cantSplit/>
        </w:trPr>
        <w:tc>
          <w:tcPr>
            <w:tcW w:w="9144" w:type="dxa"/>
          </w:tcPr>
          <w:tbl>
            <w:tblPr>
              <w:tblW w:w="7500" w:type="dxa"/>
              <w:jc w:val="center"/>
              <w:tblBorders>
                <w:top w:val="nil"/>
                <w:left w:val="nil"/>
                <w:bottom w:val="nil"/>
                <w:right w:val="nil"/>
                <w:insideH w:val="nil"/>
                <w:insideV w:val="nil"/>
              </w:tblBorders>
              <w:tblLayout w:type="fixed"/>
              <w:tblCellMar>
                <w:left w:w="60" w:type="dxa"/>
                <w:right w:w="60" w:type="dxa"/>
              </w:tblCellMar>
            </w:tblPr>
            <w:tblGrid>
              <w:gridCol w:w="2500"/>
              <w:gridCol w:w="2500"/>
              <w:gridCol w:w="2500"/>
            </w:tblGrid>
            <w:tr>
              <w:trPr>
                <w:cantSplit/>
              </w:trPr>
              <w:tc>
                <w:tcPr>
                  <w:tcW w:w="2500" w:type="dxa"/>
                  <w:vAlign w:val="bottom"/>
                </w:tcPr>
                <w:p>
                  <w:pPr>
                    <w:spacing w:after="20" w:line="240" w:lineRule="auto"/>
                    <w:jc w:val="center"/>
                  </w:pPr>
                  <w:r>
                    <w:drawing>
                      <wp:inline xmlns:a="http://schemas.openxmlformats.org/drawingml/2006/main" xmlns:pic="http://schemas.openxmlformats.org/drawingml/2006/picture">
                        <wp:extent cx="1511704" cy="2015999"/>
                        <wp:docPr id="111" name="Picture 111"/>
                        <wp:cNvGraphicFramePr>
                          <a:graphicFrameLocks noChangeAspect="1"/>
                        </wp:cNvGraphicFramePr>
                        <a:graphic>
                          <a:graphicData uri="http://schemas.openxmlformats.org/drawingml/2006/picture">
                            <pic:pic>
                              <pic:nvPicPr>
                                <pic:cNvPr id="0" name="04_degas_chamber.jpg"/>
                                <pic:cNvPicPr/>
                              </pic:nvPicPr>
                              <pic:blipFill>
                                <a:blip r:embed="rId24"/>
                                <a:stretch>
                                  <a:fillRect/>
                                </a:stretch>
                              </pic:blipFill>
                              <pic:spPr>
                                <a:xfrm>
                                  <a:off x="0" y="0"/>
                                  <a:ext cx="1511704" cy="2015999"/>
                                </a:xfrm>
                                <a:prstGeom prst="rect"/>
                              </pic:spPr>
                            </pic:pic>
                          </a:graphicData>
                        </a:graphic>
                      </wp:inline>
                    </w:drawing>
                  </w:r>
                </w:p>
                <w:p>
                  <w:pPr>
                    <w:spacing w:after="0" w:line="240" w:lineRule="auto"/>
                    <w:jc w:val="center"/>
                  </w:pPr>
                  <w:r>
                    <w:rPr>
                      <w:sz w:val="17"/>
                      <w:szCs w:val="17"/>
                    </w:rPr>
                    <w:t xml:space="preserve">(a) 진공 챔버에 넣기</w:t>
                  </w:r>
                </w:p>
              </w:tc>
              <w:tc>
                <w:tcPr>
                  <w:tcW w:w="2500" w:type="dxa"/>
                  <w:vAlign w:val="bottom"/>
                </w:tcPr>
                <w:p>
                  <w:pPr>
                    <w:spacing w:after="20" w:line="240" w:lineRule="auto"/>
                    <w:jc w:val="center"/>
                  </w:pPr>
                  <w:r>
                    <w:drawing>
                      <wp:inline xmlns:a="http://schemas.openxmlformats.org/drawingml/2006/main" xmlns:pic="http://schemas.openxmlformats.org/drawingml/2006/picture">
                        <wp:extent cx="1511704" cy="2015999"/>
                        <wp:docPr id="112" name="Picture 112"/>
                        <wp:cNvGraphicFramePr>
                          <a:graphicFrameLocks noChangeAspect="1"/>
                        </wp:cNvGraphicFramePr>
                        <a:graphic>
                          <a:graphicData uri="http://schemas.openxmlformats.org/drawingml/2006/picture">
                            <pic:pic>
                              <pic:nvPicPr>
                                <pic:cNvPr id="0" name="04_degas_valve-gauge.jpg"/>
                                <pic:cNvPicPr/>
                              </pic:nvPicPr>
                              <pic:blipFill>
                                <a:blip r:embed="rId25"/>
                                <a:stretch>
                                  <a:fillRect/>
                                </a:stretch>
                              </pic:blipFill>
                              <pic:spPr>
                                <a:xfrm>
                                  <a:off x="0" y="0"/>
                                  <a:ext cx="1511704" cy="2015999"/>
                                </a:xfrm>
                                <a:prstGeom prst="rect"/>
                              </pic:spPr>
                            </pic:pic>
                          </a:graphicData>
                        </a:graphic>
                      </wp:inline>
                    </w:drawing>
                  </w:r>
                </w:p>
                <w:p>
                  <w:pPr>
                    <w:spacing w:after="0" w:line="240" w:lineRule="auto"/>
                    <w:jc w:val="center"/>
                  </w:pPr>
                  <w:r>
                    <w:rPr>
                      <w:sz w:val="17"/>
                      <w:szCs w:val="17"/>
                    </w:rPr>
                    <w:t xml:space="preserve">(b) 밸브로 감압 조절</w:t>
                  </w:r>
                </w:p>
              </w:tc>
              <w:tc>
                <w:tcPr>
                  <w:tcW w:w="2500" w:type="dxa"/>
                  <w:vAlign w:val="bottom"/>
                </w:tcPr>
                <w:p>
                  <w:pPr>
                    <w:spacing w:after="20" w:line="240" w:lineRule="auto"/>
                    <w:jc w:val="center"/>
                  </w:pPr>
                  <w:r>
                    <w:drawing>
                      <wp:inline xmlns:a="http://schemas.openxmlformats.org/drawingml/2006/main" xmlns:pic="http://schemas.openxmlformats.org/drawingml/2006/picture">
                        <wp:extent cx="1511704" cy="2015999"/>
                        <wp:docPr id="113" name="Picture 113"/>
                        <wp:cNvGraphicFramePr>
                          <a:graphicFrameLocks noChangeAspect="1"/>
                        </wp:cNvGraphicFramePr>
                        <a:graphic>
                          <a:graphicData uri="http://schemas.openxmlformats.org/drawingml/2006/picture">
                            <pic:pic>
                              <pic:nvPicPr>
                                <pic:cNvPr id="0" name="04_degas_after.jpg"/>
                                <pic:cNvPicPr/>
                              </pic:nvPicPr>
                              <pic:blipFill>
                                <a:blip r:embed="rId26"/>
                                <a:stretch>
                                  <a:fillRect/>
                                </a:stretch>
                              </pic:blipFill>
                              <pic:spPr>
                                <a:xfrm>
                                  <a:off x="0" y="0"/>
                                  <a:ext cx="1511704" cy="2015999"/>
                                </a:xfrm>
                                <a:prstGeom prst="rect"/>
                              </pic:spPr>
                            </pic:pic>
                          </a:graphicData>
                        </a:graphic>
                      </wp:inline>
                    </w:drawing>
                  </w:r>
                </w:p>
                <w:p>
                  <w:pPr>
                    <w:spacing w:after="0" w:line="240" w:lineRule="auto"/>
                    <w:jc w:val="center"/>
                  </w:pPr>
                  <w:r>
                    <w:rPr>
                      <w:sz w:val="17"/>
                      <w:szCs w:val="17"/>
                    </w:rPr>
                    <w:t xml:space="preserve">(c) 탈포 후</w:t>
                  </w:r>
                </w:p>
              </w:tc>
            </w:tr>
          </w:tbl>
          <w:p>
            <w:pPr>
              <w:spacing w:before="60" w:after="0"/>
              <w:jc w:val="center"/>
            </w:pPr>
            <w:r>
              <w:rPr>
                <w:sz w:val="19"/>
                <w:szCs w:val="19"/>
              </w:rPr>
              <w:t xml:space="preserve">그림 3-7. 진공 챔버를 이용한 탈포</w:t>
            </w:r>
          </w:p>
        </w:tc>
      </w:tr>
    </w:tbl>
    <w:p>
      <w:pPr>
        <w:spacing w:after="120" w:line="240" w:lineRule="auto"/>
      </w:pPr>
    </w:p>
    <w:p>
      <w:pPr>
        <w:spacing w:after="100" w:line="300" w:lineRule="auto"/>
        <w:ind w:firstLine="200"/>
        <w:jc w:val="both"/>
      </w:pPr>
      <w:r>
        <w:rPr/>
        <w:t xml:space="preserve">챔버 위 게이지는 bar 단위 연성계(compound gauge)였다. 밸브를 조절하는 사진에서 바늘은 0과 0.5 눈금 사이에 있었다(그림 3-7 (b)). 2회차에 눈금 끝까지 뺀 것과 달리 중간에서 조절하던 장면으로 보인다. 탈포를 마친 혼합물은 투명했고 눈에 띄는 기포가 없었다(그림 3-7 (c)).</w:t>
      </w:r>
    </w:p>
    <w:p>
      <w:pPr>
        <w:pStyle w:val="NBSLH3"/>
        <w:keepNext/>
        <w:spacing w:before="160" w:after="60"/>
        <w:ind w:left="0" w:firstLine="0"/>
      </w:pPr>
      <w:r>
        <w:rPr>
          <w:b/>
          <w:bCs/>
          <w:sz w:val="22"/>
          <w:szCs w:val="22"/>
        </w:rPr>
        <w:t xml:space="preserve">3.4.3 주의점과 이유</w:t>
      </w:r>
    </w:p>
    <w:p>
      <w:pPr>
        <w:spacing w:after="100" w:line="300" w:lineRule="auto"/>
        <w:ind w:firstLine="200"/>
        <w:jc w:val="both"/>
      </w:pPr>
      <w:r>
        <w:rPr/>
        <w:t xml:space="preserve">진공을 한꺼번에 세게 걸면 기포가 한꺼번에 커지면서 거품이 디쉬를 넘친다. 우리 조는 거품이 넘치지 않는 선에서 밸브로 기압을 조절하며 공기를 뺐다. 탈포 시간을 줄이려면 진공을 세게 걸어야 하고 넘치지 않게 하려면 천천히 걸어야 한다. 양을 10~20 g으로 제한한 것과 밸브로 속도를 조절한 것은 둘 다 이 균형을 맞추기 위한 조치다. 제조사는 기포가 잘 갇히는 형상이라면 부은 뒤에도 진공을 걸라고 안내한다 [6].</w:t>
      </w:r>
    </w:p>
    <w:p>
      <w:pPr>
        <w:pStyle w:val="NBSLH2"/>
        <w:keepNext/>
        <w:spacing w:before="240" w:after="100"/>
        <w:ind w:left="0" w:firstLine="0"/>
      </w:pPr>
      <w:bookmarkStart w:id="510" w:name="_Toc900510"/>
      <w:r>
        <w:rPr>
          <w:b/>
          <w:bCs/>
          <w:sz w:val="24"/>
          <w:szCs w:val="24"/>
        </w:rPr>
        <w:t xml:space="preserve">3.5 몰드에 붓기와 모양 잡기</w:t>
      </w:r>
      <w:bookmarkEnd w:id="510"/>
    </w:p>
    <w:p>
      <w:pPr>
        <w:pStyle w:val="NBSLH3"/>
        <w:keepNext/>
        <w:spacing w:before="160" w:after="60"/>
        <w:ind w:left="0" w:firstLine="0"/>
      </w:pPr>
      <w:r>
        <w:rPr>
          <w:b/>
          <w:bCs/>
          <w:sz w:val="22"/>
          <w:szCs w:val="22"/>
        </w:rPr>
        <w:t xml:space="preserve">3.5.1 원리</w:t>
      </w:r>
    </w:p>
    <w:p>
      <w:pPr>
        <w:spacing w:after="100" w:line="300" w:lineRule="auto"/>
        <w:ind w:firstLine="200"/>
        <w:jc w:val="both"/>
      </w:pPr>
      <w:r>
        <w:rPr/>
        <w:t xml:space="preserve">액체 PDMS를 무늬가 있는 원판에 부어 굳히면 원판과 맞물리는 반대 모양이 찍힌다. 원판 하나로 PDMS 복제본을 최소 50번 넘게 만들 수 있다 [8]. PDMS는 탄성체라 표면에 밀착해 작은 무늬까지 따라간다 [8]. 이번 몰드는 투명 케이스 안에 노란 돌기 판이 들어 있는 구조였으므로 굳은 PDMS에는 돌기 자리마다 오목한 구멍이 생긴다(그림 3-8). 몰드는 실습용으로 미리 준비된 것이며 재질은 확인하지 못했다.</w:t>
      </w:r>
    </w:p>
    <w:p>
      <w:pPr>
        <w:keepNext/>
        <w:spacing w:before="120" w:after="40"/>
        <w:jc w:val="center"/>
      </w:pPr>
      <w:r>
        <w:drawing>
          <wp:inline xmlns:a="http://schemas.openxmlformats.org/drawingml/2006/main" xmlns:pic="http://schemas.openxmlformats.org/drawingml/2006/picture">
            <wp:extent cx="5143500" cy="1925750"/>
            <wp:docPr id="114" name="Picture 114"/>
            <wp:cNvGraphicFramePr>
              <a:graphicFrameLocks noChangeAspect="1"/>
            </wp:cNvGraphicFramePr>
            <a:graphic>
              <a:graphicData uri="http://schemas.openxmlformats.org/drawingml/2006/picture">
                <pic:pic>
                  <pic:nvPicPr>
                    <pic:cNvPr id="0" name="f_mold.png"/>
                    <pic:cNvPicPr/>
                  </pic:nvPicPr>
                  <pic:blipFill>
                    <a:blip r:embed="rId27"/>
                    <a:stretch>
                      <a:fillRect/>
                    </a:stretch>
                  </pic:blipFill>
                  <pic:spPr>
                    <a:xfrm>
                      <a:off x="0" y="0"/>
                      <a:ext cx="5143500" cy="1925750"/>
                    </a:xfrm>
                    <a:prstGeom prst="rect"/>
                  </pic:spPr>
                </pic:pic>
              </a:graphicData>
            </a:graphic>
          </wp:inline>
        </w:drawing>
      </w:r>
    </w:p>
    <w:p>
      <w:pPr>
        <w:keepLines/>
        <w:spacing w:after="200"/>
        <w:jc w:val="center"/>
      </w:pPr>
      <w:r>
        <w:rPr>
          <w:sz w:val="19"/>
          <w:szCs w:val="19"/>
        </w:rPr>
        <w:t xml:space="preserve">그림 3-8. 몰드를 이용한 형상 복제 (단면 개념도)</w:t>
      </w:r>
    </w:p>
    <w:p>
      <w:pPr>
        <w:pStyle w:val="NBSLH3"/>
        <w:keepNext/>
        <w:spacing w:before="160" w:after="60"/>
        <w:ind w:left="0" w:firstLine="0"/>
      </w:pPr>
      <w:r>
        <w:rPr>
          <w:b/>
          <w:bCs/>
          <w:sz w:val="22"/>
          <w:szCs w:val="22"/>
        </w:rPr>
        <w:t xml:space="preserve">3.5.2 사용 순서</w:t>
      </w:r>
    </w:p>
    <w:p>
      <w:pPr>
        <w:tabs>
          <w:tab w:val="left" w:pos="600"/>
        </w:tabs>
        <w:spacing w:after="30" w:line="290" w:lineRule="auto"/>
        <w:ind w:left="600" w:hanging="340"/>
        <w:jc w:val="both"/>
      </w:pPr>
      <w:r>
        <w:rPr/>
        <w:t xml:space="preserve">1.</w:t>
        <w:tab/>
        <w:t xml:space="preserve">휴지 위에 몰드를 놓고 탈포한 PDMS를 디쉬에서 천천히 붓는다.</w:t>
      </w:r>
    </w:p>
    <w:p>
      <w:pPr>
        <w:tabs>
          <w:tab w:val="left" w:pos="600"/>
        </w:tabs>
        <w:spacing w:after="30" w:line="290" w:lineRule="auto"/>
        <w:ind w:left="600" w:hanging="340"/>
        <w:jc w:val="both"/>
      </w:pPr>
      <w:r>
        <w:rPr/>
        <w:t xml:space="preserve">2.</w:t>
        <w:tab/>
        <w:t xml:space="preserve">굳기 좋게 눌러서 모양을 잡는다.</w:t>
      </w:r>
    </w:p>
    <w:p>
      <w:pPr>
        <w:tabs>
          <w:tab w:val="left" w:pos="600"/>
        </w:tabs>
        <w:spacing w:after="120" w:line="290" w:lineRule="auto"/>
        <w:ind w:left="600" w:hanging="340"/>
        <w:jc w:val="both"/>
      </w:pPr>
      <w:r>
        <w:rPr/>
        <w:t xml:space="preserve">3.</w:t>
        <w:tab/>
        <w:t xml:space="preserve">돌기 사이에 생긴 기포를 피펫 팁으로 터뜨린다.</w:t>
      </w:r>
    </w:p>
    <w:tbl>
      <w:tblPr>
        <w:tblW w:w="9144" w:type="dxa"/>
        <w:jc w:val="center"/>
        <w:tblBorders>
          <w:top w:val="nil"/>
          <w:left w:val="nil"/>
          <w:bottom w:val="nil"/>
          <w:right w:val="nil"/>
          <w:insideH w:val="nil"/>
          <w:insideV w:val="nil"/>
        </w:tblBorders>
        <w:tblLayout w:type="fixed"/>
        <w:tblCellMar>
          <w:left w:w="0" w:type="dxa"/>
          <w:right w:w="0" w:type="dxa"/>
        </w:tblCellMar>
      </w:tblPr>
      <w:tblGrid>
        <w:gridCol w:w="9144"/>
      </w:tblGrid>
      <w:tr>
        <w:trPr>
          <w:cantSplit/>
        </w:trPr>
        <w:tc>
          <w:tcPr>
            <w:tcW w:w="9144" w:type="dxa"/>
          </w:tcPr>
          <w:tbl>
            <w:tblPr>
              <w:tblW w:w="6853" w:type="dxa"/>
              <w:jc w:val="center"/>
              <w:tblBorders>
                <w:top w:val="nil"/>
                <w:left w:val="nil"/>
                <w:bottom w:val="nil"/>
                <w:right w:val="nil"/>
                <w:insideH w:val="nil"/>
                <w:insideV w:val="nil"/>
              </w:tblBorders>
              <w:tblLayout w:type="fixed"/>
              <w:tblCellMar>
                <w:left w:w="60" w:type="dxa"/>
                <w:right w:w="60" w:type="dxa"/>
              </w:tblCellMar>
            </w:tblPr>
            <w:tblGrid>
              <w:gridCol w:w="4353"/>
              <w:gridCol w:w="2500"/>
            </w:tblGrid>
            <w:tr>
              <w:trPr>
                <w:cantSplit/>
              </w:trPr>
              <w:tc>
                <w:tcPr>
                  <w:tcW w:w="4353" w:type="dxa"/>
                  <w:vAlign w:val="bottom"/>
                </w:tcPr>
                <w:p>
                  <w:pPr>
                    <w:spacing w:after="20" w:line="240" w:lineRule="auto"/>
                    <w:jc w:val="center"/>
                  </w:pPr>
                  <w:r>
                    <w:drawing>
                      <wp:inline xmlns:a="http://schemas.openxmlformats.org/drawingml/2006/main" xmlns:pic="http://schemas.openxmlformats.org/drawingml/2006/picture">
                        <wp:extent cx="2687999" cy="2015999"/>
                        <wp:docPr id="115" name="Picture 115"/>
                        <wp:cNvGraphicFramePr>
                          <a:graphicFrameLocks noChangeAspect="1"/>
                        </wp:cNvGraphicFramePr>
                        <a:graphic>
                          <a:graphicData uri="http://schemas.openxmlformats.org/drawingml/2006/picture">
                            <pic:pic>
                              <pic:nvPicPr>
                                <pic:cNvPr id="0" name="05_cast_pour.jpg"/>
                                <pic:cNvPicPr/>
                              </pic:nvPicPr>
                              <pic:blipFill>
                                <a:blip r:embed="rId28"/>
                                <a:stretch>
                                  <a:fillRect/>
                                </a:stretch>
                              </pic:blipFill>
                              <pic:spPr>
                                <a:xfrm>
                                  <a:off x="0" y="0"/>
                                  <a:ext cx="2687999" cy="2015999"/>
                                </a:xfrm>
                                <a:prstGeom prst="rect"/>
                              </pic:spPr>
                            </pic:pic>
                          </a:graphicData>
                        </a:graphic>
                      </wp:inline>
                    </w:drawing>
                  </w:r>
                </w:p>
                <w:p>
                  <w:pPr>
                    <w:spacing w:after="0" w:line="240" w:lineRule="auto"/>
                    <w:jc w:val="center"/>
                  </w:pPr>
                  <w:r>
                    <w:rPr>
                      <w:sz w:val="17"/>
                      <w:szCs w:val="17"/>
                    </w:rPr>
                    <w:t xml:space="preserve">(a) 몰드에 붓기</w:t>
                  </w:r>
                </w:p>
              </w:tc>
              <w:tc>
                <w:tcPr>
                  <w:tcW w:w="2500" w:type="dxa"/>
                  <w:vAlign w:val="bottom"/>
                </w:tcPr>
                <w:p>
                  <w:pPr>
                    <w:spacing w:after="20" w:line="240" w:lineRule="auto"/>
                    <w:jc w:val="center"/>
                  </w:pPr>
                  <w:r>
                    <w:drawing>
                      <wp:inline xmlns:a="http://schemas.openxmlformats.org/drawingml/2006/main" xmlns:pic="http://schemas.openxmlformats.org/drawingml/2006/picture">
                        <wp:extent cx="1511704" cy="2015999"/>
                        <wp:docPr id="116" name="Picture 116"/>
                        <wp:cNvGraphicFramePr>
                          <a:graphicFrameLocks noChangeAspect="1"/>
                        </wp:cNvGraphicFramePr>
                        <a:graphic>
                          <a:graphicData uri="http://schemas.openxmlformats.org/drawingml/2006/picture">
                            <pic:pic>
                              <pic:nvPicPr>
                                <pic:cNvPr id="0" name="05_cast_pop-bubbles.jpg"/>
                                <pic:cNvPicPr/>
                              </pic:nvPicPr>
                              <pic:blipFill>
                                <a:blip r:embed="rId29"/>
                                <a:stretch>
                                  <a:fillRect/>
                                </a:stretch>
                              </pic:blipFill>
                              <pic:spPr>
                                <a:xfrm>
                                  <a:off x="0" y="0"/>
                                  <a:ext cx="1511704" cy="2015999"/>
                                </a:xfrm>
                                <a:prstGeom prst="rect"/>
                              </pic:spPr>
                            </pic:pic>
                          </a:graphicData>
                        </a:graphic>
                      </wp:inline>
                    </w:drawing>
                  </w:r>
                </w:p>
                <w:p>
                  <w:pPr>
                    <w:spacing w:after="0" w:line="240" w:lineRule="auto"/>
                    <w:jc w:val="center"/>
                  </w:pPr>
                  <w:r>
                    <w:rPr>
                      <w:sz w:val="17"/>
                      <w:szCs w:val="17"/>
                    </w:rPr>
                    <w:t xml:space="preserve">(b) 피펫 팁으로 기포 터뜨리기</w:t>
                  </w:r>
                </w:p>
              </w:tc>
            </w:tr>
          </w:tbl>
          <w:p>
            <w:pPr>
              <w:spacing w:before="60" w:after="0"/>
              <w:jc w:val="center"/>
            </w:pPr>
            <w:r>
              <w:rPr>
                <w:sz w:val="19"/>
                <w:szCs w:val="19"/>
              </w:rPr>
              <w:t xml:space="preserve">그림 3-9. 몰드에 붓고 기포 터뜨리기</w:t>
            </w:r>
          </w:p>
        </w:tc>
      </w:tr>
    </w:tbl>
    <w:p>
      <w:pPr>
        <w:spacing w:after="120" w:line="240" w:lineRule="auto"/>
      </w:pPr>
    </w:p>
    <w:p>
      <w:pPr>
        <w:pStyle w:val="NBSLH3"/>
        <w:keepNext/>
        <w:spacing w:before="160" w:after="60"/>
        <w:ind w:left="0" w:firstLine="0"/>
      </w:pPr>
      <w:r>
        <w:rPr>
          <w:b/>
          <w:bCs/>
          <w:sz w:val="22"/>
          <w:szCs w:val="22"/>
        </w:rPr>
        <w:t xml:space="preserve">3.5.3 주의점과 이유</w:t>
      </w:r>
    </w:p>
    <w:p>
      <w:pPr>
        <w:spacing w:after="100" w:line="300" w:lineRule="auto"/>
        <w:ind w:firstLine="200"/>
        <w:jc w:val="both"/>
      </w:pPr>
      <w:r>
        <w:rPr/>
        <w:t xml:space="preserve">붓고 나면 돌기 사이 좁은 틈에 다시 기포가 생겼다(그림 3-9 (b)). 탈포를 마친 혼합물이라도 붓는 동안 액체가 돌기를 덮으며 틈 속 공기를 가두기 때문이다. 이 기포가 남은 채 굳으면 그 자리의 무늬가 빈 구멍이나 뭉개진 모양으로 남는다. 그래서 모양을 잡는 동안 기포를 하나씩 터뜨렸다. 또 아민, 황, 유기주석 화합물, 우레탄 같은 물질은 PDMS가 굳는 것을 방해할 수 있다 [6]. 몰드 재질을 몰라 이번에 해당되는지는 판단하지 않았지만 새 몰드를 쓸 때는 따져 볼 항목이다.</w:t>
      </w:r>
    </w:p>
    <w:p>
      <w:pPr>
        <w:pStyle w:val="NBSLH2"/>
        <w:keepNext/>
        <w:spacing w:before="240" w:after="100"/>
        <w:ind w:left="0" w:firstLine="0"/>
      </w:pPr>
      <w:bookmarkStart w:id="511" w:name="_Toc900511"/>
      <w:r>
        <w:rPr>
          <w:b/>
          <w:bCs/>
          <w:sz w:val="24"/>
          <w:szCs w:val="24"/>
        </w:rPr>
        <w:t xml:space="preserve">3.6 열경화</w:t>
      </w:r>
      <w:bookmarkEnd w:id="511"/>
    </w:p>
    <w:p>
      <w:pPr>
        <w:pStyle w:val="NBSLH3"/>
        <w:keepNext/>
        <w:spacing w:before="160" w:after="60"/>
        <w:ind w:left="0" w:firstLine="0"/>
      </w:pPr>
      <w:r>
        <w:rPr>
          <w:b/>
          <w:bCs/>
          <w:sz w:val="22"/>
          <w:szCs w:val="22"/>
        </w:rPr>
        <w:t xml:space="preserve">3.6.1 원리</w:t>
      </w:r>
    </w:p>
    <w:p>
      <w:pPr>
        <w:spacing w:after="100" w:line="300" w:lineRule="auto"/>
        <w:ind w:firstLine="200"/>
        <w:jc w:val="both"/>
      </w:pPr>
      <w:r>
        <w:rPr/>
        <w:t xml:space="preserve">하이드로실릴화 반응은 섞는 순간 시작되지만 실온에서는 느리다. 제조사는 25 °C에서 48시간, 100 °C에서 35분, 150 °C에서 10분이면 굳는다고 안내한다 [5]. 2007년판 자료는 100 °C 45분, 125 °C 20분으로 적었고 이 값들이 부품 크기와 가열 속도에 따라 달라지는 첫 추정치라고 밝힌다 [6](그림 3-10 (a)). 판마다 숫자가 다르므로 경화 조건을 쓸 때는 자료의 판을 함께 적어야 한다.</w:t>
      </w:r>
    </w:p>
    <w:p>
      <w:pPr>
        <w:spacing w:after="100" w:line="300" w:lineRule="auto"/>
        <w:ind w:firstLine="200"/>
        <w:jc w:val="both"/>
      </w:pPr>
      <w:r>
        <w:rPr/>
        <w:t xml:space="preserve">온도는 굳는 속도만 바꾸지 않는다. 25~200 °C에서 굳힌 SYLGARD 184의 영률은 1.32~2.97 MPa로 경화 온도가 높을수록 거의 직선으로 커졌다 [9](그림 3-10 (b)). 25 °C와 200 °C 사이에서 약 2.25배 차이다. 같은 원료와 같은 혼합비라도 굳히는 온도에 따라 완성품의 단단함이 달라진다. 혼합비도 단단함에 영향을 주어 탄성계수가 9 : 1 근처까지는 커지다가 그 뒤로는 작아진다는 선행 연구가 있다 [9].</w:t>
      </w:r>
    </w:p>
    <w:p>
      <w:pPr>
        <w:keepNext/>
        <w:spacing w:before="120" w:after="40"/>
        <w:jc w:val="center"/>
      </w:pPr>
      <w:r>
        <w:drawing>
          <wp:inline xmlns:a="http://schemas.openxmlformats.org/drawingml/2006/main" xmlns:pic="http://schemas.openxmlformats.org/drawingml/2006/picture">
            <wp:extent cx="4762500" cy="1913667"/>
            <wp:docPr id="117" name="Picture 117"/>
            <wp:cNvGraphicFramePr>
              <a:graphicFrameLocks noChangeAspect="1"/>
            </wp:cNvGraphicFramePr>
            <a:graphic>
              <a:graphicData uri="http://schemas.openxmlformats.org/drawingml/2006/picture">
                <pic:pic>
                  <pic:nvPicPr>
                    <pic:cNvPr id="0" name="f_curetemp.png"/>
                    <pic:cNvPicPr/>
                  </pic:nvPicPr>
                  <pic:blipFill>
                    <a:blip r:embed="rId30"/>
                    <a:stretch>
                      <a:fillRect/>
                    </a:stretch>
                  </pic:blipFill>
                  <pic:spPr>
                    <a:xfrm>
                      <a:off x="0" y="0"/>
                      <a:ext cx="4762500" cy="1913667"/>
                    </a:xfrm>
                    <a:prstGeom prst="rect"/>
                  </pic:spPr>
                </pic:pic>
              </a:graphicData>
            </a:graphic>
          </wp:inline>
        </w:drawing>
      </w:r>
    </w:p>
    <w:p>
      <w:pPr>
        <w:keepLines/>
        <w:spacing w:after="200"/>
        <w:jc w:val="center"/>
      </w:pPr>
      <w:r>
        <w:rPr>
          <w:sz w:val="19"/>
          <w:szCs w:val="19"/>
        </w:rPr>
        <w:t xml:space="preserve">그림 3-10. SYLGARD 184의 경화 온도별 경화 시간과 영률 (문헌값)</w:t>
      </w:r>
    </w:p>
    <w:p>
      <w:pPr>
        <w:pStyle w:val="NBSLH3"/>
        <w:keepNext/>
        <w:spacing w:before="160" w:after="60"/>
        <w:ind w:left="0" w:firstLine="0"/>
      </w:pPr>
      <w:r>
        <w:rPr>
          <w:b/>
          <w:bCs/>
          <w:sz w:val="22"/>
          <w:szCs w:val="22"/>
        </w:rPr>
        <w:t xml:space="preserve">3.6.2 사용 순서와 관찰</w:t>
      </w:r>
    </w:p>
    <w:p>
      <w:pPr>
        <w:spacing w:after="100" w:line="300" w:lineRule="auto"/>
        <w:ind w:firstLine="200"/>
        <w:jc w:val="both"/>
      </w:pPr>
      <w:r>
        <w:rPr/>
        <w:t xml:space="preserve">모양을 잡은 몰드를 핫플레이트 위에 올려 가열했다(그림 3-11). 핫플레이트 위에는 여러 조의 몰드가 함께 놓였고 사진 오른쪽 아래의 투명한 블록은 다른 조가 굳혀 떼어 낸 PDMS다. 우리 조는 몰드를 핫플레이트에 올리는 데까지 했고 굳은 PDMS를 떼어 내지는 않았다. 핫플레이트의 설정 온도와 가열 시간은 기록하지 못했다.</w:t>
      </w:r>
    </w:p>
    <w:tbl>
      <w:tblPr>
        <w:tblW w:w="9144" w:type="dxa"/>
        <w:jc w:val="center"/>
        <w:tblBorders>
          <w:top w:val="nil"/>
          <w:left w:val="nil"/>
          <w:bottom w:val="nil"/>
          <w:right w:val="nil"/>
          <w:insideH w:val="nil"/>
          <w:insideV w:val="nil"/>
        </w:tblBorders>
        <w:tblLayout w:type="fixed"/>
        <w:tblCellMar>
          <w:left w:w="0" w:type="dxa"/>
          <w:right w:w="0" w:type="dxa"/>
        </w:tblCellMar>
      </w:tblPr>
      <w:tblGrid>
        <w:gridCol w:w="9144"/>
      </w:tblGrid>
      <w:tr>
        <w:trPr>
          <w:cantSplit/>
        </w:trPr>
        <w:tc>
          <w:tcPr>
            <w:tcW w:w="9144" w:type="dxa"/>
          </w:tcPr>
          <w:tbl>
            <w:tblPr>
              <w:tblW w:w="2841" w:type="dxa"/>
              <w:jc w:val="center"/>
              <w:tblBorders>
                <w:top w:val="nil"/>
                <w:left w:val="nil"/>
                <w:bottom w:val="nil"/>
                <w:right w:val="nil"/>
                <w:insideH w:val="nil"/>
                <w:insideV w:val="nil"/>
              </w:tblBorders>
              <w:tblLayout w:type="fixed"/>
              <w:tblCellMar>
                <w:left w:w="60" w:type="dxa"/>
                <w:right w:w="60" w:type="dxa"/>
              </w:tblCellMar>
            </w:tblPr>
            <w:tblGrid>
              <w:gridCol w:w="2841"/>
            </w:tblGrid>
            <w:tr>
              <w:trPr>
                <w:cantSplit/>
              </w:trPr>
              <w:tc>
                <w:tcPr>
                  <w:tcW w:w="2841" w:type="dxa"/>
                  <w:vAlign w:val="bottom"/>
                </w:tcPr>
                <w:p>
                  <w:pPr>
                    <w:spacing w:after="20" w:line="240" w:lineRule="auto"/>
                    <w:jc w:val="center"/>
                  </w:pPr>
                  <w:r>
                    <w:drawing>
                      <wp:inline xmlns:a="http://schemas.openxmlformats.org/drawingml/2006/main" xmlns:pic="http://schemas.openxmlformats.org/drawingml/2006/picture">
                        <wp:extent cx="1727662" cy="2304000"/>
                        <wp:docPr id="118" name="Picture 118"/>
                        <wp:cNvGraphicFramePr>
                          <a:graphicFrameLocks noChangeAspect="1"/>
                        </wp:cNvGraphicFramePr>
                        <a:graphic>
                          <a:graphicData uri="http://schemas.openxmlformats.org/drawingml/2006/picture">
                            <pic:pic>
                              <pic:nvPicPr>
                                <pic:cNvPr id="0" name="06_cure_hotplate.jpg"/>
                                <pic:cNvPicPr/>
                              </pic:nvPicPr>
                              <pic:blipFill>
                                <a:blip r:embed="rId31"/>
                                <a:stretch>
                                  <a:fillRect/>
                                </a:stretch>
                              </pic:blipFill>
                              <pic:spPr>
                                <a:xfrm>
                                  <a:off x="0" y="0"/>
                                  <a:ext cx="1727662" cy="2304000"/>
                                </a:xfrm>
                                <a:prstGeom prst="rect"/>
                              </pic:spPr>
                            </pic:pic>
                          </a:graphicData>
                        </a:graphic>
                      </wp:inline>
                    </w:drawing>
                  </w:r>
                </w:p>
                <w:p>
                  <w:pPr>
                    <w:spacing w:after="0" w:line="240" w:lineRule="auto"/>
                    <w:jc w:val="center"/>
                  </w:pPr>
                  <w:r>
                    <w:rPr>
                      <w:sz w:val="17"/>
                      <w:szCs w:val="17"/>
                    </w:rPr>
                    <w:t xml:space="preserve">오른쪽 아래 투명 블록은 다른 조가 떼어 낸 PDMS</w:t>
                  </w:r>
                </w:p>
              </w:tc>
            </w:tr>
          </w:tbl>
          <w:p>
            <w:pPr>
              <w:spacing w:before="60" w:after="0"/>
              <w:jc w:val="center"/>
            </w:pPr>
            <w:r>
              <w:rPr>
                <w:sz w:val="19"/>
                <w:szCs w:val="19"/>
              </w:rPr>
              <w:t xml:space="preserve">그림 3-11. 핫플레이트 위에서 열경화 중인 몰드</w:t>
            </w:r>
          </w:p>
        </w:tc>
      </w:tr>
    </w:tbl>
    <w:p>
      <w:pPr>
        <w:spacing w:after="120" w:line="240" w:lineRule="auto"/>
      </w:pPr>
    </w:p>
    <w:p>
      <w:pPr>
        <w:pStyle w:val="NBSLH3"/>
        <w:keepNext/>
        <w:spacing w:before="160" w:after="60"/>
        <w:ind w:left="0" w:firstLine="0"/>
      </w:pPr>
      <w:r>
        <w:rPr>
          <w:b/>
          <w:bCs/>
          <w:sz w:val="22"/>
          <w:szCs w:val="22"/>
        </w:rPr>
        <w:t xml:space="preserve">3.6.3 주의점과 이유</w:t>
      </w:r>
    </w:p>
    <w:p>
      <w:pPr>
        <w:spacing w:after="100" w:line="300" w:lineRule="auto"/>
        <w:ind w:firstLine="200"/>
        <w:jc w:val="both"/>
      </w:pPr>
      <w:r>
        <w:rPr/>
        <w:t xml:space="preserve">경화 온도와 시간은 완성품의 단단함까지 바꾸므로 같은 PDMS를 다시 만들려면 두 값을 반드시 적어 두어야 한다. 핫플레이트는 아래에서만 열을 주므로 몰드 바닥과 위쪽 표면의 온도가 같다고 보기 어렵다. 연구에서는 몰드 안에 열전대를 넣어 실제 온도 상승을 재고 경화 시간을 보정한 예가 있다 [9].</w:t>
      </w:r>
    </w:p>
    <w:p>
      <w:pPr>
        <w:pStyle w:val="1"/>
        <w:keepNext/>
        <w:spacing w:before="360" w:after="100"/>
        <w:ind w:left="0" w:firstLine="0"/>
      </w:pPr>
      <w:bookmarkStart w:id="512" w:name="_Toc900512"/>
      <w:r>
        <w:rPr>
          <w:b/>
          <w:bCs/>
          <w:sz w:val="28"/>
          <w:szCs w:val="28"/>
        </w:rPr>
        <w:t xml:space="preserve">4. 결과</w:t>
      </w:r>
      <w:bookmarkEnd w:id="512"/>
    </w:p>
    <w:p>
      <w:pPr>
        <w:keepNext/>
        <w:spacing w:after="100" w:line="300" w:lineRule="auto"/>
        <w:ind w:firstLine="200"/>
        <w:jc w:val="both"/>
      </w:pPr>
      <w:r>
        <w:rPr/>
        <w:t xml:space="preserve">단계별로 수행한 내용과 관찰은 표 4-1와 같다. 계량값과 관련된 계산은 표 4-2에 정리했다.</w:t>
      </w:r>
    </w:p>
    <w:p>
      <w:pPr>
        <w:keepNext/>
        <w:spacing w:before="160" w:after="80"/>
        <w:jc w:val="center"/>
      </w:pPr>
      <w:r>
        <w:rPr>
          <w:sz w:val="19"/>
          <w:szCs w:val="19"/>
        </w:rPr>
        <w:t xml:space="preserve">표 4-1. 단계별 수행 내용과 관찰</w:t>
      </w:r>
    </w:p>
    <w:tbl>
      <w:tblPr>
        <w:tblStyle w:val="a3"/>
        <w:tblW w:w="9144" w:type="dxa"/>
        <w:jc w:val="center"/>
        <w:tblLayout w:type="fixed"/>
        <w:tblCellMar>
          <w:top w:w="40" w:type="dxa"/>
          <w:left w:w="90" w:type="dxa"/>
          <w:bottom w:w="40" w:type="dxa"/>
          <w:right w:w="90" w:type="dxa"/>
        </w:tblCellMar>
      </w:tblPr>
      <w:tblGrid>
        <w:gridCol w:w="1200"/>
        <w:gridCol w:w="2800"/>
        <w:gridCol w:w="3300"/>
        <w:gridCol w:w="1844"/>
      </w:tblGrid>
      <w:tr>
        <w:trPr>
          <w:cantSplit/>
          <w:tblHeader/>
        </w:trPr>
        <w:tc>
          <w:tcPr>
            <w:tcW w:w="1200" w:type="dxa"/>
            <w:shd w:val="clear" w:color="auto" w:fill="E7EEF6"/>
            <w:vAlign w:val="center"/>
          </w:tcPr>
          <w:p>
            <w:pPr>
              <w:keepNext/>
              <w:spacing w:after="0" w:line="260" w:lineRule="auto"/>
              <w:jc w:val="center"/>
            </w:pPr>
            <w:r>
              <w:rPr>
                <w:b/>
                <w:bCs/>
                <w:sz w:val="19"/>
                <w:szCs w:val="19"/>
              </w:rPr>
              <w:t xml:space="preserve">단계</w:t>
            </w:r>
          </w:p>
        </w:tc>
        <w:tc>
          <w:tcPr>
            <w:tcW w:w="2800" w:type="dxa"/>
            <w:shd w:val="clear" w:color="auto" w:fill="E7EEF6"/>
            <w:vAlign w:val="center"/>
          </w:tcPr>
          <w:p>
            <w:pPr>
              <w:keepNext/>
              <w:spacing w:after="0" w:line="260" w:lineRule="auto"/>
              <w:jc w:val="center"/>
            </w:pPr>
            <w:r>
              <w:rPr>
                <w:b/>
                <w:bCs/>
                <w:sz w:val="19"/>
                <w:szCs w:val="19"/>
              </w:rPr>
              <w:t xml:space="preserve">수행 내용</w:t>
            </w:r>
          </w:p>
        </w:tc>
        <w:tc>
          <w:tcPr>
            <w:tcW w:w="3300" w:type="dxa"/>
            <w:shd w:val="clear" w:color="auto" w:fill="E7EEF6"/>
            <w:vAlign w:val="center"/>
          </w:tcPr>
          <w:p>
            <w:pPr>
              <w:keepNext/>
              <w:spacing w:after="0" w:line="260" w:lineRule="auto"/>
              <w:jc w:val="center"/>
            </w:pPr>
            <w:r>
              <w:rPr>
                <w:b/>
                <w:bCs/>
                <w:sz w:val="19"/>
                <w:szCs w:val="19"/>
              </w:rPr>
              <w:t xml:space="preserve">관찰·측정값</w:t>
            </w:r>
          </w:p>
        </w:tc>
        <w:tc>
          <w:tcPr>
            <w:tcW w:w="1844" w:type="dxa"/>
            <w:shd w:val="clear" w:color="auto" w:fill="E7EEF6"/>
            <w:vAlign w:val="center"/>
          </w:tcPr>
          <w:p>
            <w:pPr>
              <w:keepNext/>
              <w:spacing w:after="0" w:line="260" w:lineRule="auto"/>
              <w:jc w:val="center"/>
            </w:pPr>
            <w:r>
              <w:rPr>
                <w:b/>
                <w:bCs/>
                <w:sz w:val="19"/>
                <w:szCs w:val="19"/>
              </w:rPr>
              <w:t xml:space="preserve">근거</w:t>
            </w:r>
          </w:p>
        </w:tc>
      </w:tr>
      <w:tr>
        <w:trPr>
          <w:cantSplit/>
        </w:trPr>
        <w:tc>
          <w:tcPr>
            <w:tcW w:w="1200" w:type="dxa"/>
            <w:vAlign w:val="center"/>
          </w:tcPr>
          <w:p>
            <w:pPr>
              <w:keepNext/>
              <w:spacing w:after="0" w:line="260" w:lineRule="auto"/>
              <w:jc w:val="center"/>
            </w:pPr>
            <w:r>
              <w:rPr>
                <w:sz w:val="19"/>
                <w:szCs w:val="19"/>
              </w:rPr>
              <w:t xml:space="preserve">계량</w:t>
            </w:r>
          </w:p>
        </w:tc>
        <w:tc>
          <w:tcPr>
            <w:tcW w:w="2800" w:type="dxa"/>
            <w:vAlign w:val="center"/>
          </w:tcPr>
          <w:p>
            <w:pPr>
              <w:keepNext/>
              <w:spacing w:after="0" w:line="260" w:lineRule="auto"/>
              <w:jc w:val="left"/>
            </w:pPr>
            <w:r>
              <w:rPr>
                <w:sz w:val="19"/>
                <w:szCs w:val="19"/>
              </w:rPr>
              <w:t xml:space="preserve">디쉬 영점 → 베이스 → 영점 → 경화제</w:t>
            </w:r>
          </w:p>
        </w:tc>
        <w:tc>
          <w:tcPr>
            <w:tcW w:w="3300" w:type="dxa"/>
            <w:vAlign w:val="center"/>
          </w:tcPr>
          <w:p>
            <w:pPr>
              <w:keepNext/>
              <w:spacing w:after="0" w:line="260" w:lineRule="auto"/>
              <w:jc w:val="left"/>
            </w:pPr>
            <w:r>
              <w:rPr>
                <w:sz w:val="19"/>
                <w:szCs w:val="19"/>
              </w:rPr>
              <w:t xml:space="preserve">디쉬 −2.5485 g, 경화제 넣는 중 0.6324 g, 목표 15 g + 1.5 g</w:t>
            </w:r>
          </w:p>
        </w:tc>
        <w:tc>
          <w:tcPr>
            <w:tcW w:w="1844" w:type="dxa"/>
            <w:vAlign w:val="center"/>
          </w:tcPr>
          <w:p>
            <w:pPr>
              <w:keepNext/>
              <w:spacing w:after="0" w:line="260" w:lineRule="auto"/>
              <w:jc w:val="left"/>
            </w:pPr>
            <w:r>
              <w:rPr>
                <w:sz w:val="19"/>
                <w:szCs w:val="19"/>
              </w:rPr>
              <w:t xml:space="preserve">사진, 녹음, 조원 기억</w:t>
            </w:r>
          </w:p>
        </w:tc>
      </w:tr>
      <w:tr>
        <w:trPr>
          <w:cantSplit/>
        </w:trPr>
        <w:tc>
          <w:tcPr>
            <w:tcW w:w="1200" w:type="dxa"/>
            <w:vAlign w:val="center"/>
          </w:tcPr>
          <w:p>
            <w:pPr>
              <w:keepNext/>
              <w:spacing w:after="0" w:line="260" w:lineRule="auto"/>
              <w:jc w:val="center"/>
            </w:pPr>
            <w:r>
              <w:rPr>
                <w:sz w:val="19"/>
                <w:szCs w:val="19"/>
              </w:rPr>
              <w:t xml:space="preserve">혼합</w:t>
            </w:r>
          </w:p>
        </w:tc>
        <w:tc>
          <w:tcPr>
            <w:tcW w:w="2800" w:type="dxa"/>
            <w:vAlign w:val="center"/>
          </w:tcPr>
          <w:p>
            <w:pPr>
              <w:keepNext/>
              <w:spacing w:after="0" w:line="260" w:lineRule="auto"/>
              <w:jc w:val="left"/>
            </w:pPr>
            <w:r>
              <w:rPr>
                <w:sz w:val="19"/>
                <w:szCs w:val="19"/>
              </w:rPr>
              <w:t xml:space="preserve">스패출러로 수백 번 저음</w:t>
            </w:r>
          </w:p>
        </w:tc>
        <w:tc>
          <w:tcPr>
            <w:tcW w:w="3300" w:type="dxa"/>
            <w:vAlign w:val="center"/>
          </w:tcPr>
          <w:p>
            <w:pPr>
              <w:keepNext/>
              <w:spacing w:after="0" w:line="260" w:lineRule="auto"/>
              <w:jc w:val="left"/>
            </w:pPr>
            <w:r>
              <w:rPr>
                <w:sz w:val="19"/>
                <w:szCs w:val="19"/>
              </w:rPr>
              <w:t xml:space="preserve">기포로 뿌옇게 됨</w:t>
            </w:r>
          </w:p>
        </w:tc>
        <w:tc>
          <w:tcPr>
            <w:tcW w:w="1844" w:type="dxa"/>
            <w:vAlign w:val="center"/>
          </w:tcPr>
          <w:p>
            <w:pPr>
              <w:keepNext/>
              <w:spacing w:after="0" w:line="260" w:lineRule="auto"/>
              <w:jc w:val="left"/>
            </w:pPr>
            <w:r>
              <w:rPr>
                <w:sz w:val="19"/>
                <w:szCs w:val="19"/>
              </w:rPr>
              <w:t xml:space="preserve">사진</w:t>
            </w:r>
          </w:p>
        </w:tc>
      </w:tr>
      <w:tr>
        <w:trPr>
          <w:cantSplit/>
        </w:trPr>
        <w:tc>
          <w:tcPr>
            <w:tcW w:w="1200" w:type="dxa"/>
            <w:vAlign w:val="center"/>
          </w:tcPr>
          <w:p>
            <w:pPr>
              <w:keepNext/>
              <w:spacing w:after="0" w:line="260" w:lineRule="auto"/>
              <w:jc w:val="center"/>
            </w:pPr>
            <w:r>
              <w:rPr>
                <w:sz w:val="19"/>
                <w:szCs w:val="19"/>
              </w:rPr>
              <w:t xml:space="preserve">진공 탈포</w:t>
            </w:r>
          </w:p>
        </w:tc>
        <w:tc>
          <w:tcPr>
            <w:tcW w:w="2800" w:type="dxa"/>
            <w:vAlign w:val="center"/>
          </w:tcPr>
          <w:p>
            <w:pPr>
              <w:keepNext/>
              <w:spacing w:after="0" w:line="260" w:lineRule="auto"/>
              <w:jc w:val="left"/>
            </w:pPr>
            <w:r>
              <w:rPr>
                <w:sz w:val="19"/>
                <w:szCs w:val="19"/>
              </w:rPr>
              <w:t xml:space="preserve">밸브로 감압 속도 조절</w:t>
            </w:r>
          </w:p>
        </w:tc>
        <w:tc>
          <w:tcPr>
            <w:tcW w:w="3300" w:type="dxa"/>
            <w:vAlign w:val="center"/>
          </w:tcPr>
          <w:p>
            <w:pPr>
              <w:keepNext/>
              <w:spacing w:after="0" w:line="260" w:lineRule="auto"/>
              <w:jc w:val="left"/>
            </w:pPr>
            <w:r>
              <w:rPr>
                <w:sz w:val="19"/>
                <w:szCs w:val="19"/>
              </w:rPr>
              <w:t xml:space="preserve">게이지 0~0.5 사이, 탈포 후 투명</w:t>
            </w:r>
          </w:p>
        </w:tc>
        <w:tc>
          <w:tcPr>
            <w:tcW w:w="1844" w:type="dxa"/>
            <w:vAlign w:val="center"/>
          </w:tcPr>
          <w:p>
            <w:pPr>
              <w:keepNext/>
              <w:spacing w:after="0" w:line="260" w:lineRule="auto"/>
              <w:jc w:val="left"/>
            </w:pPr>
            <w:r>
              <w:rPr>
                <w:sz w:val="19"/>
                <w:szCs w:val="19"/>
              </w:rPr>
              <w:t xml:space="preserve">사진, 조원 기억</w:t>
            </w:r>
          </w:p>
        </w:tc>
      </w:tr>
      <w:tr>
        <w:trPr>
          <w:cantSplit/>
        </w:trPr>
        <w:tc>
          <w:tcPr>
            <w:tcW w:w="1200" w:type="dxa"/>
            <w:vAlign w:val="center"/>
          </w:tcPr>
          <w:p>
            <w:pPr>
              <w:keepNext/>
              <w:spacing w:after="0" w:line="260" w:lineRule="auto"/>
              <w:jc w:val="center"/>
            </w:pPr>
            <w:r>
              <w:rPr>
                <w:sz w:val="19"/>
                <w:szCs w:val="19"/>
              </w:rPr>
              <w:t xml:space="preserve">붓기</w:t>
            </w:r>
          </w:p>
        </w:tc>
        <w:tc>
          <w:tcPr>
            <w:tcW w:w="2800" w:type="dxa"/>
            <w:vAlign w:val="center"/>
          </w:tcPr>
          <w:p>
            <w:pPr>
              <w:keepNext/>
              <w:spacing w:after="0" w:line="260" w:lineRule="auto"/>
              <w:jc w:val="left"/>
            </w:pPr>
            <w:r>
              <w:rPr>
                <w:sz w:val="19"/>
                <w:szCs w:val="19"/>
              </w:rPr>
              <w:t xml:space="preserve">몰드에 붓고 눌러 모양 잡기</w:t>
            </w:r>
          </w:p>
        </w:tc>
        <w:tc>
          <w:tcPr>
            <w:tcW w:w="3300" w:type="dxa"/>
            <w:vAlign w:val="center"/>
          </w:tcPr>
          <w:p>
            <w:pPr>
              <w:keepNext/>
              <w:spacing w:after="0" w:line="260" w:lineRule="auto"/>
              <w:jc w:val="left"/>
            </w:pPr>
            <w:r>
              <w:rPr>
                <w:sz w:val="19"/>
                <w:szCs w:val="19"/>
              </w:rPr>
              <w:t xml:space="preserve">돌기 사이 기포를 팁으로 터뜨림</w:t>
            </w:r>
          </w:p>
        </w:tc>
        <w:tc>
          <w:tcPr>
            <w:tcW w:w="1844" w:type="dxa"/>
            <w:vAlign w:val="center"/>
          </w:tcPr>
          <w:p>
            <w:pPr>
              <w:keepNext/>
              <w:spacing w:after="0" w:line="260" w:lineRule="auto"/>
              <w:jc w:val="left"/>
            </w:pPr>
            <w:r>
              <w:rPr>
                <w:sz w:val="19"/>
                <w:szCs w:val="19"/>
              </w:rPr>
              <w:t xml:space="preserve">사진, 조원 기억</w:t>
            </w:r>
          </w:p>
        </w:tc>
      </w:tr>
      <w:tr>
        <w:trPr>
          <w:cantSplit/>
        </w:trPr>
        <w:tc>
          <w:tcPr>
            <w:tcW w:w="1200" w:type="dxa"/>
            <w:vAlign w:val="center"/>
          </w:tcPr>
          <w:p>
            <w:pPr>
              <w:spacing w:after="0" w:line="260" w:lineRule="auto"/>
              <w:jc w:val="center"/>
            </w:pPr>
            <w:r>
              <w:rPr>
                <w:sz w:val="19"/>
                <w:szCs w:val="19"/>
              </w:rPr>
              <w:t xml:space="preserve">열경화</w:t>
            </w:r>
          </w:p>
        </w:tc>
        <w:tc>
          <w:tcPr>
            <w:tcW w:w="2800" w:type="dxa"/>
            <w:vAlign w:val="center"/>
          </w:tcPr>
          <w:p>
            <w:pPr>
              <w:spacing w:after="0" w:line="260" w:lineRule="auto"/>
              <w:jc w:val="left"/>
            </w:pPr>
            <w:r>
              <w:rPr>
                <w:sz w:val="19"/>
                <w:szCs w:val="19"/>
              </w:rPr>
              <w:t xml:space="preserve">핫플레이트에 올림</w:t>
            </w:r>
          </w:p>
        </w:tc>
        <w:tc>
          <w:tcPr>
            <w:tcW w:w="3300" w:type="dxa"/>
            <w:vAlign w:val="center"/>
          </w:tcPr>
          <w:p>
            <w:pPr>
              <w:spacing w:after="0" w:line="260" w:lineRule="auto"/>
              <w:jc w:val="left"/>
            </w:pPr>
            <w:r>
              <w:rPr>
                <w:sz w:val="19"/>
                <w:szCs w:val="19"/>
              </w:rPr>
              <w:t xml:space="preserve">온도·시간 미기록, 탈형하지 않음</w:t>
            </w:r>
          </w:p>
        </w:tc>
        <w:tc>
          <w:tcPr>
            <w:tcW w:w="1844" w:type="dxa"/>
            <w:vAlign w:val="center"/>
          </w:tcPr>
          <w:p>
            <w:pPr>
              <w:spacing w:after="0" w:line="260" w:lineRule="auto"/>
              <w:jc w:val="left"/>
            </w:pPr>
            <w:r>
              <w:rPr>
                <w:sz w:val="19"/>
                <w:szCs w:val="19"/>
              </w:rPr>
              <w:t xml:space="preserve">사진, 조원 기억</w:t>
            </w:r>
          </w:p>
        </w:tc>
      </w:tr>
    </w:tbl>
    <w:p>
      <w:pPr>
        <w:spacing w:after="60" w:line="240" w:lineRule="auto"/>
      </w:pPr>
    </w:p>
    <w:p>
      <w:pPr>
        <w:keepNext/>
        <w:spacing w:before="160" w:after="80"/>
        <w:jc w:val="center"/>
      </w:pPr>
      <w:r>
        <w:rPr>
          <w:sz w:val="19"/>
          <w:szCs w:val="19"/>
        </w:rPr>
        <w:t xml:space="preserve">표 4-2. 계량값 관련 계산</w:t>
      </w:r>
    </w:p>
    <w:tbl>
      <w:tblPr>
        <w:tblStyle w:val="a3"/>
        <w:tblW w:w="9144" w:type="dxa"/>
        <w:jc w:val="center"/>
        <w:tblLayout w:type="fixed"/>
        <w:tblCellMar>
          <w:top w:w="40" w:type="dxa"/>
          <w:left w:w="90" w:type="dxa"/>
          <w:bottom w:w="40" w:type="dxa"/>
          <w:right w:w="90" w:type="dxa"/>
        </w:tblCellMar>
      </w:tblPr>
      <w:tblGrid>
        <w:gridCol w:w="3700"/>
        <w:gridCol w:w="2400"/>
        <w:gridCol w:w="3044"/>
      </w:tblGrid>
      <w:tr>
        <w:trPr>
          <w:cantSplit/>
          <w:tblHeader/>
        </w:trPr>
        <w:tc>
          <w:tcPr>
            <w:tcW w:w="3700" w:type="dxa"/>
            <w:shd w:val="clear" w:color="auto" w:fill="E7EEF6"/>
            <w:vAlign w:val="center"/>
          </w:tcPr>
          <w:p>
            <w:pPr>
              <w:keepNext/>
              <w:spacing w:after="0" w:line="260" w:lineRule="auto"/>
              <w:jc w:val="center"/>
            </w:pPr>
            <w:r>
              <w:rPr>
                <w:b/>
                <w:bCs/>
                <w:sz w:val="19"/>
                <w:szCs w:val="19"/>
              </w:rPr>
              <w:t xml:space="preserve">항목</w:t>
            </w:r>
          </w:p>
        </w:tc>
        <w:tc>
          <w:tcPr>
            <w:tcW w:w="2400" w:type="dxa"/>
            <w:shd w:val="clear" w:color="auto" w:fill="E7EEF6"/>
            <w:vAlign w:val="center"/>
          </w:tcPr>
          <w:p>
            <w:pPr>
              <w:keepNext/>
              <w:spacing w:after="0" w:line="260" w:lineRule="auto"/>
              <w:jc w:val="center"/>
            </w:pPr>
            <w:r>
              <w:rPr>
                <w:b/>
                <w:bCs/>
                <w:sz w:val="19"/>
                <w:szCs w:val="19"/>
              </w:rPr>
              <w:t xml:space="preserve">값</w:t>
            </w:r>
          </w:p>
        </w:tc>
        <w:tc>
          <w:tcPr>
            <w:tcW w:w="3044" w:type="dxa"/>
            <w:shd w:val="clear" w:color="auto" w:fill="E7EEF6"/>
            <w:vAlign w:val="center"/>
          </w:tcPr>
          <w:p>
            <w:pPr>
              <w:keepNext/>
              <w:spacing w:after="0" w:line="260" w:lineRule="auto"/>
              <w:jc w:val="center"/>
            </w:pPr>
            <w:r>
              <w:rPr>
                <w:b/>
                <w:bCs/>
                <w:sz w:val="19"/>
                <w:szCs w:val="19"/>
              </w:rPr>
              <w:t xml:space="preserve">계산</w:t>
            </w:r>
          </w:p>
        </w:tc>
      </w:tr>
      <w:tr>
        <w:trPr>
          <w:cantSplit/>
        </w:trPr>
        <w:tc>
          <w:tcPr>
            <w:tcW w:w="3700" w:type="dxa"/>
            <w:vAlign w:val="center"/>
          </w:tcPr>
          <w:p>
            <w:pPr>
              <w:keepNext/>
              <w:spacing w:after="0" w:line="260" w:lineRule="auto"/>
              <w:jc w:val="center"/>
            </w:pPr>
            <w:r>
              <w:rPr>
                <w:sz w:val="19"/>
                <w:szCs w:val="19"/>
              </w:rPr>
              <w:t xml:space="preserve">경화제 비율 (15 g + 1.5 g)</w:t>
            </w:r>
          </w:p>
        </w:tc>
        <w:tc>
          <w:tcPr>
            <w:tcW w:w="2400" w:type="dxa"/>
            <w:vAlign w:val="center"/>
          </w:tcPr>
          <w:p>
            <w:pPr>
              <w:keepNext/>
              <w:spacing w:after="0" w:line="260" w:lineRule="auto"/>
              <w:jc w:val="left"/>
            </w:pPr>
            <w:r>
              <w:rPr>
                <w:sz w:val="19"/>
                <w:szCs w:val="19"/>
              </w:rPr>
              <w:t xml:space="preserve">9.09 %</w:t>
            </w:r>
          </w:p>
        </w:tc>
        <w:tc>
          <w:tcPr>
            <w:tcW w:w="3044" w:type="dxa"/>
            <w:vAlign w:val="center"/>
          </w:tcPr>
          <w:p>
            <w:pPr>
              <w:keepNext/>
              <w:spacing w:after="0" w:line="260" w:lineRule="auto"/>
              <w:jc w:val="left"/>
            </w:pPr>
            <w:r>
              <w:rPr>
                <w:sz w:val="19"/>
                <w:szCs w:val="19"/>
              </w:rPr>
              <w:t xml:space="preserve">1.5 ÷ 16.5</w:t>
            </w:r>
          </w:p>
        </w:tc>
      </w:tr>
      <w:tr>
        <w:trPr>
          <w:cantSplit/>
        </w:trPr>
        <w:tc>
          <w:tcPr>
            <w:tcW w:w="3700" w:type="dxa"/>
            <w:vAlign w:val="center"/>
          </w:tcPr>
          <w:p>
            <w:pPr>
              <w:keepNext/>
              <w:spacing w:after="0" w:line="260" w:lineRule="auto"/>
              <w:jc w:val="center"/>
            </w:pPr>
            <w:r>
              <w:rPr>
                <w:sz w:val="19"/>
                <w:szCs w:val="19"/>
              </w:rPr>
              <w:t xml:space="preserve">무게비 10 : 1의 부피비</w:t>
            </w:r>
          </w:p>
        </w:tc>
        <w:tc>
          <w:tcPr>
            <w:tcW w:w="2400" w:type="dxa"/>
            <w:vAlign w:val="center"/>
          </w:tcPr>
          <w:p>
            <w:pPr>
              <w:keepNext/>
              <w:spacing w:after="0" w:line="260" w:lineRule="auto"/>
              <w:jc w:val="left"/>
            </w:pPr>
            <w:r>
              <w:rPr>
                <w:sz w:val="19"/>
                <w:szCs w:val="19"/>
              </w:rPr>
              <w:t xml:space="preserve">9.81 : 1</w:t>
            </w:r>
          </w:p>
        </w:tc>
        <w:tc>
          <w:tcPr>
            <w:tcW w:w="3044" w:type="dxa"/>
            <w:vAlign w:val="center"/>
          </w:tcPr>
          <w:p>
            <w:pPr>
              <w:keepNext/>
              <w:spacing w:after="0" w:line="260" w:lineRule="auto"/>
              <w:jc w:val="left"/>
            </w:pPr>
            <w:r>
              <w:rPr>
                <w:sz w:val="19"/>
                <w:szCs w:val="19"/>
              </w:rPr>
              <w:t xml:space="preserve">(10 ÷ 1.05) ÷ (1 ÷ 1.03)</w:t>
            </w:r>
          </w:p>
        </w:tc>
      </w:tr>
      <w:tr>
        <w:trPr>
          <w:cantSplit/>
        </w:trPr>
        <w:tc>
          <w:tcPr>
            <w:tcW w:w="3700" w:type="dxa"/>
            <w:vAlign w:val="center"/>
          </w:tcPr>
          <w:p>
            <w:pPr>
              <w:keepNext/>
              <w:spacing w:after="0" w:line="260" w:lineRule="auto"/>
              <w:jc w:val="center"/>
            </w:pPr>
            <w:r>
              <w:rPr>
                <w:sz w:val="19"/>
                <w:szCs w:val="19"/>
              </w:rPr>
              <w:t xml:space="preserve">베이스와 경화제의 점도비</w:t>
            </w:r>
          </w:p>
        </w:tc>
        <w:tc>
          <w:tcPr>
            <w:tcW w:w="2400" w:type="dxa"/>
            <w:vAlign w:val="center"/>
          </w:tcPr>
          <w:p>
            <w:pPr>
              <w:keepNext/>
              <w:spacing w:after="0" w:line="260" w:lineRule="auto"/>
              <w:jc w:val="left"/>
            </w:pPr>
            <w:r>
              <w:rPr>
                <w:sz w:val="19"/>
                <w:szCs w:val="19"/>
              </w:rPr>
              <w:t xml:space="preserve">약 45배</w:t>
            </w:r>
          </w:p>
        </w:tc>
        <w:tc>
          <w:tcPr>
            <w:tcW w:w="3044" w:type="dxa"/>
            <w:vAlign w:val="center"/>
          </w:tcPr>
          <w:p>
            <w:pPr>
              <w:keepNext/>
              <w:spacing w:after="0" w:line="260" w:lineRule="auto"/>
              <w:jc w:val="left"/>
            </w:pPr>
            <w:r>
              <w:rPr>
                <w:sz w:val="19"/>
                <w:szCs w:val="19"/>
              </w:rPr>
              <w:t xml:space="preserve">5000 cSt ÷ 110 cSt</w:t>
            </w:r>
          </w:p>
        </w:tc>
      </w:tr>
      <w:tr>
        <w:trPr>
          <w:cantSplit/>
        </w:trPr>
        <w:tc>
          <w:tcPr>
            <w:tcW w:w="3700" w:type="dxa"/>
            <w:vAlign w:val="center"/>
          </w:tcPr>
          <w:p>
            <w:pPr>
              <w:keepNext/>
              <w:spacing w:after="0" w:line="260" w:lineRule="auto"/>
              <w:jc w:val="center"/>
            </w:pPr>
            <w:r>
              <w:rPr>
                <w:sz w:val="19"/>
                <w:szCs w:val="19"/>
              </w:rPr>
              <w:t xml:space="preserve">부피 10배일 때 기포 상승 속도</w:t>
            </w:r>
          </w:p>
        </w:tc>
        <w:tc>
          <w:tcPr>
            <w:tcW w:w="2400" w:type="dxa"/>
            <w:vAlign w:val="center"/>
          </w:tcPr>
          <w:p>
            <w:pPr>
              <w:keepNext/>
              <w:spacing w:after="0" w:line="260" w:lineRule="auto"/>
              <w:jc w:val="left"/>
            </w:pPr>
            <w:r>
              <w:rPr>
                <w:sz w:val="19"/>
                <w:szCs w:val="19"/>
              </w:rPr>
              <w:t xml:space="preserve">4.64배</w:t>
            </w:r>
          </w:p>
        </w:tc>
        <w:tc>
          <w:tcPr>
            <w:tcW w:w="3044" w:type="dxa"/>
            <w:vAlign w:val="center"/>
          </w:tcPr>
          <w:p>
            <w:pPr>
              <w:keepNext/>
              <w:spacing w:after="0" w:line="260" w:lineRule="auto"/>
              <w:jc w:val="left"/>
            </w:pPr>
            <w:r>
              <w:rPr>
                <w:sz w:val="19"/>
                <w:szCs w:val="19"/>
              </w:rPr>
              <w:t xml:space="preserve">(∛10)²</w:t>
            </w:r>
          </w:p>
        </w:tc>
      </w:tr>
      <w:tr>
        <w:trPr>
          <w:cantSplit/>
        </w:trPr>
        <w:tc>
          <w:tcPr>
            <w:tcW w:w="3700" w:type="dxa"/>
            <w:vAlign w:val="center"/>
          </w:tcPr>
          <w:p>
            <w:pPr>
              <w:spacing w:after="0" w:line="260" w:lineRule="auto"/>
              <w:jc w:val="center"/>
            </w:pPr>
            <w:r>
              <w:rPr>
                <w:sz w:val="19"/>
                <w:szCs w:val="19"/>
              </w:rPr>
              <w:t xml:space="preserve">경화 온도 25 → 200 °C의 영률 비</w:t>
            </w:r>
          </w:p>
        </w:tc>
        <w:tc>
          <w:tcPr>
            <w:tcW w:w="2400" w:type="dxa"/>
            <w:vAlign w:val="center"/>
          </w:tcPr>
          <w:p>
            <w:pPr>
              <w:spacing w:after="0" w:line="260" w:lineRule="auto"/>
              <w:jc w:val="left"/>
            </w:pPr>
            <w:r>
              <w:rPr>
                <w:sz w:val="19"/>
                <w:szCs w:val="19"/>
              </w:rPr>
              <w:t xml:space="preserve">약 2.25배</w:t>
            </w:r>
          </w:p>
        </w:tc>
        <w:tc>
          <w:tcPr>
            <w:tcW w:w="3044" w:type="dxa"/>
            <w:vAlign w:val="center"/>
          </w:tcPr>
          <w:p>
            <w:pPr>
              <w:spacing w:after="0" w:line="260" w:lineRule="auto"/>
              <w:jc w:val="left"/>
            </w:pPr>
            <w:r>
              <w:rPr>
                <w:sz w:val="19"/>
                <w:szCs w:val="19"/>
              </w:rPr>
              <w:t xml:space="preserve">2.97 ÷ 1.32 MPa</w:t>
            </w:r>
          </w:p>
        </w:tc>
      </w:tr>
    </w:tbl>
    <w:p>
      <w:pPr>
        <w:spacing w:after="60" w:line="240" w:lineRule="auto"/>
      </w:pPr>
    </w:p>
    <w:p>
      <w:pPr>
        <w:pStyle w:val="1"/>
        <w:keepNext/>
        <w:spacing w:before="360" w:after="100"/>
        <w:ind w:left="0" w:firstLine="0"/>
      </w:pPr>
      <w:bookmarkStart w:id="513" w:name="_Toc900513"/>
      <w:r>
        <w:rPr>
          <w:b/>
          <w:bCs/>
          <w:sz w:val="28"/>
          <w:szCs w:val="28"/>
        </w:rPr>
        <w:t xml:space="preserve">5. 고찰</w:t>
      </w:r>
      <w:bookmarkEnd w:id="513"/>
    </w:p>
    <w:p>
      <w:pPr>
        <w:pStyle w:val="NBSLH2"/>
        <w:keepNext/>
        <w:spacing w:before="240" w:after="100"/>
        <w:ind w:left="0" w:firstLine="0"/>
      </w:pPr>
      <w:bookmarkStart w:id="514" w:name="_Toc900514"/>
      <w:r>
        <w:rPr>
          <w:b/>
          <w:bCs/>
          <w:sz w:val="24"/>
          <w:szCs w:val="24"/>
        </w:rPr>
        <w:t xml:space="preserve">5.1 따로 배운 장비가 한 공정으로</w:t>
      </w:r>
      <w:bookmarkEnd w:id="514"/>
    </w:p>
    <w:p>
      <w:pPr>
        <w:spacing w:after="100" w:line="300" w:lineRule="auto"/>
        <w:ind w:firstLine="200"/>
        <w:jc w:val="both"/>
      </w:pPr>
      <w:r>
        <w:rPr/>
        <w:t xml:space="preserve">2회차에 저울, 진공 챔버, 핫플레이트를 각각의 장비로 배웠고 이번 실습에서는 세 장비가 PDMS 한 덩어리를 만드는 한 줄의 공정으로 이어졌다. 저울은 반응에 참여하는 두 성분의 양을 맞추고 진공 챔버는 혼합 과정의 부산물인 기포를 빼며 핫플레이트는 반응 속도를 높인다. 장비 하나하나의 원리를 알면 공정의 각 단계가 무엇을 지키려는 것인지 설명할 수 있었다. 예를 들어 디쉬 무게가 마이너스로 뜨는 사진 한 장으로 저울 밖에서 따라도 되는 이유가 설명된다.</w:t>
      </w:r>
    </w:p>
    <w:p>
      <w:pPr>
        <w:pStyle w:val="NBSLH2"/>
        <w:keepNext/>
        <w:spacing w:before="240" w:after="100"/>
        <w:ind w:left="0" w:firstLine="0"/>
      </w:pPr>
      <w:bookmarkStart w:id="515" w:name="_Toc900515"/>
      <w:r>
        <w:rPr>
          <w:b/>
          <w:bCs/>
          <w:sz w:val="24"/>
          <w:szCs w:val="24"/>
        </w:rPr>
        <w:t xml:space="preserve">5.2 점도가 공정 순서를 정한다</w:t>
      </w:r>
      <w:bookmarkEnd w:id="515"/>
    </w:p>
    <w:p>
      <w:pPr>
        <w:spacing w:after="100" w:line="300" w:lineRule="auto"/>
        <w:ind w:firstLine="200"/>
        <w:jc w:val="both"/>
      </w:pPr>
      <w:r>
        <w:rPr/>
        <w:t xml:space="preserve">이번 공정의 주의사항 대부분은 PDMS가 끈적하다는 한 가지 성질에서 나왔다. 베이스가 경화제보다 45배 끈적하기 때문에 베이스를 먼저 계량했고 끈적한 혼합물에 경화제를 고르게 퍼뜨리려면 수백 번을 저어야 했다. 오래 저으면 공기가 갇히는데 3500 cps의 액체에서는 지름 100 µm 기포가 5 mm를 떠오르는 데만 50분 넘게 걸린다. 그래서 진공으로 기포를 키워야 했다. 탈포 중 거품이 부푸는 것도 기포가 끈적한 액체를 밀고 올라오며 생긴다. 붓고 나서 돌기 틈에 기포가 남는 것 역시 끈적한 액체가 좁은 틈 속 공기를 쉽게 밀어내지 못해서다. 계량부터 붓기까지의 순서는 이 점도를 다루는 방법이었다.</w:t>
      </w:r>
    </w:p>
    <w:p>
      <w:pPr>
        <w:pStyle w:val="NBSLH2"/>
        <w:keepNext/>
        <w:spacing w:before="240" w:after="100"/>
        <w:ind w:left="0" w:firstLine="0"/>
      </w:pPr>
      <w:bookmarkStart w:id="516" w:name="_Toc900516"/>
      <w:r>
        <w:rPr>
          <w:b/>
          <w:bCs/>
          <w:sz w:val="24"/>
          <w:szCs w:val="24"/>
        </w:rPr>
        <w:t xml:space="preserve">5.3 두 경화 방식과 경화 조건</w:t>
      </w:r>
      <w:bookmarkEnd w:id="516"/>
    </w:p>
    <w:p>
      <w:pPr>
        <w:spacing w:after="100" w:line="300" w:lineRule="auto"/>
        <w:ind w:firstLine="200"/>
        <w:jc w:val="both"/>
      </w:pPr>
      <w:r>
        <w:rPr/>
        <w:t xml:space="preserve">4회차의 PUA는 빛을 쬐는 순간부터 몇 분 안에 굳었고 PDMS는 섞는 순간 반응이 시작되어 열로 속도를 높인다. PUA는 빛을 쬐기 전까지 굳지 않아 도포에 시간을 들여도 된다. PDMS는 가사 시간이 2시간이 넘어 [6] 오래 젓고 탈포할 여유가 있는 대신 굳히는 데는 온도에 따라 수십 분에서 이틀이 걸린다. 또 PDMS는 경화 온도에 따라 영률이 두 배 넘게 달라지므로 [9] 경화 조건은 시간을 줄이는 수단이면서 완성품의 성질을 정하는 변수이기도 하다. 세포를 키우는 표면이나 미세 유체 칩처럼 단단함이 결과에 영향을 주는 용도라면 혼합비와 함께 경화 온도도 실험 조건으로 기록해야 한다.</w:t>
      </w:r>
    </w:p>
    <w:p>
      <w:pPr>
        <w:pStyle w:val="NBSLH2"/>
        <w:keepNext/>
        <w:spacing w:before="240" w:after="100"/>
        <w:ind w:left="0" w:firstLine="0"/>
      </w:pPr>
      <w:bookmarkStart w:id="517" w:name="_Toc900517"/>
      <w:r>
        <w:rPr>
          <w:b/>
          <w:bCs/>
          <w:sz w:val="24"/>
          <w:szCs w:val="24"/>
        </w:rPr>
        <w:t xml:space="preserve">5.4 한계와 보완할 점</w:t>
      </w:r>
      <w:bookmarkEnd w:id="517"/>
    </w:p>
    <w:p>
      <w:pPr>
        <w:spacing w:after="100" w:line="300" w:lineRule="auto"/>
        <w:ind w:firstLine="200"/>
        <w:jc w:val="both"/>
      </w:pPr>
      <w:r>
        <w:rPr/>
        <w:t xml:space="preserve">우리 조는 몰드를 핫플레이트에 올린 뒤 굳은 PDMS를 떼어 내지 않아 완성품의 모양, 투명도, 무늬 복제 상태를 관찰하지 못했다. 핫플레이트의 설정 온도와 가열 시간도 기록하지 않아 그림 3-10의 범위 중 어디에 해당하는지 알 수 없다. 수업에서 경화 온도를 언급했지만 녹음이 불분명해 확인하지 못했다. 계량은 목표량 15 g과 1.5 g만 남았고 최종 표시값은 적지 않았으며 탈포 시간과 진공도도 기록하지 않았다. 실습 원료가 SYLGARD 184와 같은 제품인지는 성분 이름으로만 추정했다. 다음 실습에서는 최종 계량값, 탈포 시간, 경화 온도와 시간을 시편 번호와 함께 적고 떼어 낸 PDMS의 무늬를 3회차의 현미경으로 관찰해 이번에 남은 질문을 확인하려 한다.</w:t>
      </w:r>
    </w:p>
    <w:p>
      <w:pPr>
        <w:pStyle w:val="1"/>
        <w:keepNext/>
        <w:spacing w:before="360" w:after="100"/>
        <w:ind w:left="0" w:firstLine="0"/>
      </w:pPr>
      <w:bookmarkStart w:id="518" w:name="_Toc900518"/>
      <w:r>
        <w:rPr>
          <w:b/>
          <w:bCs/>
          <w:sz w:val="28"/>
          <w:szCs w:val="28"/>
        </w:rPr>
        <w:t xml:space="preserve">6. 결론</w:t>
      </w:r>
      <w:bookmarkEnd w:id="518"/>
    </w:p>
    <w:p>
      <w:pPr>
        <w:spacing w:after="100" w:line="300" w:lineRule="auto"/>
        <w:ind w:firstLine="200"/>
        <w:jc w:val="both"/>
      </w:pPr>
      <w:r>
        <w:rPr/>
        <w:t xml:space="preserve">이번 실습에서는 PDMS 베이스 15 g과 경화제 1.5 g을 무게비 10 : 1로 계량해 섞고 진공으로 기포를 뺀 뒤 몰드에 부어 핫플레이트에서 열경화했다. PDMS는 백금 촉매 아래 하이드로실릴화 반응으로 가교하며 열을 가하면 빨리 굳고 경화 온도가 높을수록 단단해진다. 베이스를 먼저 계량하고 오래 섞은 뒤 감압 속도를 조절하며 탈포하고 붓고 나서 기포를 터뜨리는 순서는 모두 PDMS의 높은 점도에서 나온 조치였다. 같은 PDMS를 다시 만들려면 혼합비와 함께 경화 온도와 시간을 기록해야 한다.</w:t>
      </w:r>
    </w:p>
    <w:p>
      <w:pPr>
        <w:pStyle w:val="1"/>
        <w:keepNext/>
        <w:spacing w:before="360" w:after="100"/>
        <w:ind w:left="0" w:firstLine="0"/>
      </w:pPr>
      <w:bookmarkStart w:id="519" w:name="_Toc900519"/>
      <w:r>
        <w:rPr>
          <w:b/>
          <w:bCs/>
          <w:sz w:val="28"/>
          <w:szCs w:val="28"/>
        </w:rPr>
        <w:t xml:space="preserve">7. 참고문헌</w:t>
      </w:r>
      <w:bookmarkEnd w:id="519"/>
    </w:p>
    <w:p>
      <w:pPr>
        <w:tabs>
          <w:tab w:val="left" w:pos="520"/>
        </w:tabs>
        <w:spacing w:after="80" w:line="260" w:lineRule="auto"/>
        <w:ind w:left="520" w:hanging="520"/>
        <w:jc w:val="left"/>
      </w:pPr>
      <w:r>
        <w:rPr>
          <w:sz w:val="19"/>
          <w:szCs w:val="19"/>
        </w:rPr>
        <w:t xml:space="preserve">[1]</w:t>
        <w:tab/>
        <w:t xml:space="preserve">MilliporeSigma, 「SYLGARD 184 Silicone Elastomer Kit (761036)」, https://www.sigmaaldrich.com/product/aldrich/761036, 2026.10.13</w:t>
      </w:r>
    </w:p>
    <w:p>
      <w:pPr>
        <w:tabs>
          <w:tab w:val="left" w:pos="520"/>
        </w:tabs>
        <w:spacing w:after="80" w:line="260" w:lineRule="auto"/>
        <w:ind w:left="520" w:hanging="520"/>
        <w:jc w:val="left"/>
      </w:pPr>
      <w:r>
        <w:rPr>
          <w:sz w:val="19"/>
          <w:szCs w:val="19"/>
        </w:rPr>
        <w:t xml:space="preserve">[2]</w:t>
        <w:tab/>
        <w:t xml:space="preserve">Z. Brounstein, J. Zhao, D. Geller, N. Gupta, A. Labouriau, 「Long-Term Thermal Aging of Modified Sylgard 184 Formulations」, Polymers 13(18), MDPI, 2021, 3125</w:t>
      </w:r>
    </w:p>
    <w:p>
      <w:pPr>
        <w:tabs>
          <w:tab w:val="left" w:pos="520"/>
        </w:tabs>
        <w:spacing w:after="80" w:line="260" w:lineRule="auto"/>
        <w:ind w:left="520" w:hanging="520"/>
        <w:jc w:val="left"/>
      </w:pPr>
      <w:r>
        <w:rPr>
          <w:sz w:val="19"/>
          <w:szCs w:val="19"/>
        </w:rPr>
        <w:t xml:space="preserve">[3]</w:t>
        <w:tab/>
        <w:t xml:space="preserve">Dow Corning, 「SYLGARD 184 Silicone Elastomer Base 물질안전보건자료 (MSDS No. 02680068)」, https://uwaterloo.ca/giga-to-nanoelectronics-centre/sites/default/files/uploads/files/sylgard_184_-_base.pdf, 2026.10.27</w:t>
      </w:r>
    </w:p>
    <w:p>
      <w:pPr>
        <w:tabs>
          <w:tab w:val="left" w:pos="520"/>
        </w:tabs>
        <w:spacing w:after="80" w:line="260" w:lineRule="auto"/>
        <w:ind w:left="520" w:hanging="520"/>
        <w:jc w:val="left"/>
      </w:pPr>
      <w:r>
        <w:rPr>
          <w:sz w:val="19"/>
          <w:szCs w:val="19"/>
        </w:rPr>
        <w:t xml:space="preserve">[4]</w:t>
        <w:tab/>
        <w:t xml:space="preserve">Dow Corning, 「SYLGARD 184 Silicone Elastomer Curing Agent 물질안전보건자료 (MSDS No. 01015311)」, https://uwaterloo.ca/giga-to-nanoelectronics-centre/sites/default/files/uploads/files/sylgard_184_-_curing_agent.pdf, 2026.10.27</w:t>
      </w:r>
    </w:p>
    <w:p>
      <w:pPr>
        <w:tabs>
          <w:tab w:val="left" w:pos="520"/>
        </w:tabs>
        <w:spacing w:after="80" w:line="260" w:lineRule="auto"/>
        <w:ind w:left="520" w:hanging="520"/>
        <w:jc w:val="left"/>
      </w:pPr>
      <w:r>
        <w:rPr>
          <w:sz w:val="19"/>
          <w:szCs w:val="19"/>
        </w:rPr>
        <w:t xml:space="preserve">[5]</w:t>
        <w:tab/>
        <w:t xml:space="preserve">Dow, 「SYLGARD 184 Silicone Elastomer Kit」, https://www.dow.com/en-us/pdp.sylgard-184-silicone-elastomer-kit.01064291z.html, 2026.10.13</w:t>
      </w:r>
    </w:p>
    <w:p>
      <w:pPr>
        <w:tabs>
          <w:tab w:val="left" w:pos="520"/>
        </w:tabs>
        <w:spacing w:after="80" w:line="260" w:lineRule="auto"/>
        <w:ind w:left="520" w:hanging="520"/>
        <w:jc w:val="left"/>
      </w:pPr>
      <w:r>
        <w:rPr>
          <w:sz w:val="19"/>
          <w:szCs w:val="19"/>
        </w:rPr>
        <w:t xml:space="preserve">[6]</w:t>
        <w:tab/>
        <w:t xml:space="preserve">Dow Corning, 「Sylgard 184 Silicone Elastomer 제품 정보 (Form No. 06-1009-01, 2007)」, https://www.cnfusers.cornell.edu/sites/default/files/Equipment-Resources/Sylgard_184_data_sheet.pdf, 2026.10.27</w:t>
      </w:r>
    </w:p>
    <w:p>
      <w:pPr>
        <w:tabs>
          <w:tab w:val="left" w:pos="520"/>
        </w:tabs>
        <w:spacing w:after="80" w:line="260" w:lineRule="auto"/>
        <w:ind w:left="520" w:hanging="520"/>
        <w:jc w:val="left"/>
      </w:pPr>
      <w:r>
        <w:rPr>
          <w:sz w:val="19"/>
          <w:szCs w:val="19"/>
        </w:rPr>
        <w:t xml:space="preserve">[7]</w:t>
        <w:tab/>
        <w:t xml:space="preserve">LACO Technologies, 「Vacuum Degassing: Epoxy &amp; Silicone (Application Note 06-14)」, https://lacotech.com/wp-content/uploads/2025/06/ANLVS-App-06-14_Vacuum-Degassing-Epoxy-and-Silicone-B1.pdf, 2026.10.27</w:t>
      </w:r>
    </w:p>
    <w:p>
      <w:pPr>
        <w:tabs>
          <w:tab w:val="left" w:pos="520"/>
        </w:tabs>
        <w:spacing w:after="80" w:line="260" w:lineRule="auto"/>
        <w:ind w:left="520" w:hanging="520"/>
        <w:jc w:val="left"/>
      </w:pPr>
      <w:r>
        <w:rPr>
          <w:sz w:val="19"/>
          <w:szCs w:val="19"/>
        </w:rPr>
        <w:t xml:space="preserve">[8]</w:t>
        <w:tab/>
        <w:t xml:space="preserve">D. Qin, Y. Xia, G. M. Whitesides, 「Soft lithography for micro- and nanoscale patterning」, Nature Protocols 5(3), Nature Publishing Group, 2010, 491–502</w:t>
      </w:r>
    </w:p>
    <w:p>
      <w:pPr>
        <w:tabs>
          <w:tab w:val="left" w:pos="520"/>
        </w:tabs>
        <w:spacing w:after="80" w:line="260" w:lineRule="auto"/>
        <w:ind w:left="520" w:hanging="520"/>
        <w:jc w:val="left"/>
      </w:pPr>
      <w:r>
        <w:rPr>
          <w:sz w:val="19"/>
          <w:szCs w:val="19"/>
        </w:rPr>
        <w:t xml:space="preserve">[9]</w:t>
        <w:tab/>
        <w:t xml:space="preserve">I. D. Johnston, D. K. McCluskey, C. K. L. Tan, M. C. Tracey, 「Mechanical characterization of bulk Sylgard 184 for microfluidics and microengineering」, Journal of Micromechanics and Microengineering 24(3), IOP Publishing, 2014, 035017</w:t>
      </w:r>
    </w:p>
    <w:sectPr w:rsidR="00974A8E" w:rsidRPr="00974A8E" w:rsidSect="008A1F84">
      <w:headerReference w:type="even" r:id="rId8"/>
      <w:headerReference w:type="default" r:id="rId9"/>
      <w:footerReference w:type="default" r:id="rId10"/>
      <w:headerReference w:type="first" r:id="rId11"/>
      <w:pgSz w:w="11904" w:h="16838"/>
      <w:pgMar w:top="1541" w:right="1380" w:bottom="840" w:left="1380" w:header="170" w:footer="5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C04FA" w:rsidRDefault="00EC04FA" w:rsidP="00380EB5">
      <w:pPr>
        <w:spacing w:after="0" w:line="240" w:lineRule="auto"/>
      </w:pPr>
      <w:r>
        <w:separator/>
      </w:r>
    </w:p>
  </w:endnote>
  <w:endnote w:type="continuationSeparator" w:id="0">
    <w:p w:rsidR="00EC04FA" w:rsidRDefault="00EC04FA" w:rsidP="00380E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 w:name="함초롬바탕">
    <w:panose1 w:val="020B0804000101010101"/>
    <w:charset w:val="81"/>
    <w:family w:val="roma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MingLiU">
    <w:altName w:val="細明體"/>
    <w:panose1 w:val="02010609000101010101"/>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6903224"/>
      <w:docPartObj>
        <w:docPartGallery w:val="Page Numbers (Bottom of Page)"/>
        <w:docPartUnique/>
      </w:docPartObj>
    </w:sdtPr>
    <w:sdtEndPr/>
    <w:sdtContent>
      <w:p w:rsidR="00EE0FA8" w:rsidRDefault="00EE0FA8">
        <w:pPr>
          <w:pStyle w:val="a5"/>
          <w:jc w:val="center"/>
        </w:pPr>
        <w:r>
          <w:fldChar w:fldCharType="begin"/>
        </w:r>
        <w:r>
          <w:instrText>PAGE   \* MERGEFORMAT</w:instrText>
        </w:r>
        <w:r>
          <w:fldChar w:fldCharType="separate"/>
        </w:r>
        <w:r>
          <w:rPr>
            <w:lang w:val="ko-KR"/>
          </w:rPr>
          <w:t>2</w:t>
        </w:r>
        <w:r>
          <w:fldChar w:fldCharType="end"/>
        </w:r>
      </w:p>
    </w:sdtContent>
  </w:sdt>
  <w:p w:rsidR="00EE0FA8" w:rsidRDefault="00EE0FA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C04FA" w:rsidRDefault="00EC04FA" w:rsidP="00380EB5">
      <w:pPr>
        <w:spacing w:after="0" w:line="240" w:lineRule="auto"/>
      </w:pPr>
      <w:r>
        <w:separator/>
      </w:r>
    </w:p>
  </w:footnote>
  <w:footnote w:type="continuationSeparator" w:id="0">
    <w:p w:rsidR="00EC04FA" w:rsidRDefault="00EC04FA" w:rsidP="00380E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D3A7C" w:rsidRDefault="005867CB">
    <w:pPr>
      <w:pStyle w:val="a4"/>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912047" o:spid="_x0000_s2113" type="#_x0000_t75" style="position:absolute;margin-left:0;margin-top:0;width:211.5pt;height:204pt;z-index:-251613184;mso-position-horizontal:center;mso-position-horizontal-relative:margin;mso-position-vertical:center;mso-position-vertical-relative:margin" o:allowincell="f">
          <v:imagedata r:id="rId1" o:title="image01"/>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80EB5" w:rsidRDefault="005867CB" w:rsidP="009D3A7C">
    <w:pPr>
      <w:pStyle w:val="a7"/>
    </w:pPr>
    <w:r w:rsidRPr="005F5ACB">
      <w:rPr>
        <w:noProof/>
      </w:rPr>
      <w:drawing>
        <wp:anchor distT="0" distB="0" distL="114300" distR="114300" simplePos="0" relativeHeight="251701248" behindDoc="0" locked="0" layoutInCell="1" allowOverlap="1" wp14:anchorId="5BFDB69B" wp14:editId="2F532EDA">
          <wp:simplePos x="0" y="0"/>
          <wp:positionH relativeFrom="column">
            <wp:posOffset>4702629</wp:posOffset>
          </wp:positionH>
          <wp:positionV relativeFrom="paragraph">
            <wp:posOffset>582295</wp:posOffset>
          </wp:positionV>
          <wp:extent cx="1105535" cy="238760"/>
          <wp:effectExtent l="0" t="0" r="0" b="8890"/>
          <wp:wrapThrough wrapText="bothSides">
            <wp:wrapPolygon edited="0">
              <wp:start x="0" y="0"/>
              <wp:lineTo x="0" y="20681"/>
              <wp:lineTo x="21215" y="20681"/>
              <wp:lineTo x="21215" y="0"/>
              <wp:lineTo x="0" y="0"/>
            </wp:wrapPolygon>
          </wp:wrapThrough>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308413808" descr="EMB000191987639"/>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105535" cy="23876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F5ACB" w:rsidRPr="005F5ACB" w:rsidRDefault="005867CB" w:rsidP="005F5ACB">
    <w:pPr>
      <w:widowControl w:val="0"/>
      <w:wordWrap w:val="0"/>
      <w:autoSpaceDE w:val="0"/>
      <w:autoSpaceDN w:val="0"/>
      <w:spacing w:after="0" w:line="384" w:lineRule="auto"/>
      <w:jc w:val="both"/>
      <w:textAlignment w:val="baseline"/>
      <w:rPr>
        <w:rFonts w:ascii="함초롬바탕" w:eastAsia="굴림" w:hAnsi="굴림" w:cs="굴림"/>
        <w:color w:val="000000"/>
        <w:sz w:val="20"/>
        <w:szCs w:val="20"/>
      </w:rPr>
    </w:pPr>
    <w:r>
      <w:rPr>
        <w:rFonts w:ascii="함초롬바탕" w:eastAsia="굴림" w:hAnsi="굴림" w:cs="굴림"/>
        <w:noProof/>
        <w:color w:val="000000"/>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912046" o:spid="_x0000_s2112" type="#_x0000_t75" style="position:absolute;left:0;text-align:left;margin-left:0;margin-top:0;width:211.5pt;height:204pt;z-index:-251614208;mso-position-horizontal:center;mso-position-horizontal-relative:margin;mso-position-vertical:center;mso-position-vertical-relative:margin" o:allowincell="f">
          <v:imagedata r:id="rId1" o:title="image01"/>
        </v:shape>
      </w:pict>
    </w:r>
  </w:p>
  <w:p w:rsidR="00EB0196" w:rsidRDefault="005F5ACB">
    <w:pPr>
      <w:pStyle w:val="a4"/>
    </w:pPr>
    <w:r w:rsidRPr="005F5ACB">
      <w:rPr>
        <w:rFonts w:ascii="함초롬바탕" w:eastAsia="굴림" w:hAnsi="굴림" w:cs="굴림"/>
        <w:noProof/>
        <w:color w:val="000000"/>
        <w:sz w:val="20"/>
        <w:szCs w:val="20"/>
      </w:rPr>
      <w:drawing>
        <wp:anchor distT="0" distB="0" distL="114300" distR="114300" simplePos="0" relativeHeight="251686912" behindDoc="0" locked="0" layoutInCell="1" allowOverlap="1" wp14:anchorId="0E51D7D2">
          <wp:simplePos x="0" y="0"/>
          <wp:positionH relativeFrom="column">
            <wp:posOffset>4681220</wp:posOffset>
          </wp:positionH>
          <wp:positionV relativeFrom="paragraph">
            <wp:posOffset>207010</wp:posOffset>
          </wp:positionV>
          <wp:extent cx="1105535" cy="238760"/>
          <wp:effectExtent l="0" t="0" r="0" b="8890"/>
          <wp:wrapThrough wrapText="bothSides">
            <wp:wrapPolygon edited="0">
              <wp:start x="0" y="0"/>
              <wp:lineTo x="0" y="20681"/>
              <wp:lineTo x="21215" y="20681"/>
              <wp:lineTo x="21215" y="0"/>
              <wp:lineTo x="0" y="0"/>
            </wp:wrapPolygon>
          </wp:wrapThrough>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308413808" descr="EMB000191987639"/>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105535" cy="23876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D3F3C"/>
    <w:multiLevelType w:val="hybridMultilevel"/>
    <w:tmpl w:val="254C412C"/>
    <w:lvl w:ilvl="0" w:tplc="04090019">
      <w:start w:val="1"/>
      <w:numFmt w:val="upperLetter"/>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CA4219E"/>
    <w:multiLevelType w:val="hybridMultilevel"/>
    <w:tmpl w:val="91BED36E"/>
    <w:lvl w:ilvl="0" w:tplc="0409000F">
      <w:start w:val="1"/>
      <w:numFmt w:val="decimal"/>
      <w:lvlText w:val="%1."/>
      <w:lvlJc w:val="left"/>
      <w:pPr>
        <w:ind w:left="800" w:hanging="400"/>
      </w:pPr>
    </w:lvl>
    <w:lvl w:ilvl="1" w:tplc="E4A42478">
      <w:start w:val="1"/>
      <w:numFmt w:val="decimal"/>
      <w:lvlText w:val="2.%2."/>
      <w:lvlJc w:val="left"/>
      <w:pPr>
        <w:ind w:left="1200" w:hanging="400"/>
      </w:pPr>
      <w:rPr>
        <w:rFonts w:hint="eastAsia"/>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4CC60413"/>
    <w:multiLevelType w:val="hybridMultilevel"/>
    <w:tmpl w:val="8BA48B26"/>
    <w:lvl w:ilvl="0" w:tplc="47F02B4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5B6505AB"/>
    <w:multiLevelType w:val="hybridMultilevel"/>
    <w:tmpl w:val="336AF200"/>
    <w:lvl w:ilvl="0" w:tplc="0409000F">
      <w:start w:val="1"/>
      <w:numFmt w:val="decimal"/>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4" w15:restartNumberingAfterBreak="0">
    <w:nsid w:val="6DCD147D"/>
    <w:multiLevelType w:val="hybridMultilevel"/>
    <w:tmpl w:val="DDC2DB16"/>
    <w:lvl w:ilvl="0" w:tplc="F6AA5CD6">
      <w:numFmt w:val="bullet"/>
      <w:lvlText w:val="■"/>
      <w:lvlJc w:val="left"/>
      <w:pPr>
        <w:ind w:left="760" w:hanging="360"/>
      </w:pPr>
      <w:rPr>
        <w:rFonts w:ascii="맑은 고딕" w:eastAsia="맑은 고딕" w:hAnsi="맑은 고딕" w:cstheme="minorBidi" w:hint="eastAsia"/>
        <w:b/>
        <w:w w:val="90"/>
        <w:sz w:val="32"/>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753378A6"/>
    <w:multiLevelType w:val="hybridMultilevel"/>
    <w:tmpl w:val="75A0ECBE"/>
    <w:lvl w:ilvl="0" w:tplc="E4A42478">
      <w:start w:val="1"/>
      <w:numFmt w:val="decimal"/>
      <w:lvlText w:val="2.%1."/>
      <w:lvlJc w:val="left"/>
      <w:pPr>
        <w:ind w:left="1200" w:hanging="400"/>
      </w:pPr>
      <w:rPr>
        <w:rFonts w:hint="eastAsia"/>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num w:numId="1">
    <w:abstractNumId w:val="4"/>
  </w:num>
  <w:num w:numId="2">
    <w:abstractNumId w:val="1"/>
  </w:num>
  <w:num w:numId="3">
    <w:abstractNumId w:val="2"/>
  </w:num>
  <w:num w:numId="4">
    <w:abstractNumId w:val="0"/>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isplayBackgroundShape/>
  <w:bordersDoNotSurroundHeader/>
  <w:bordersDoNotSurroundFooter/>
  <w:proofState w:spelling="clean" w:grammar="clean"/>
  <w:defaultTabStop w:val="720"/>
  <w:characterSpacingControl w:val="doNotCompress"/>
  <w:hdrShapeDefaults>
    <o:shapedefaults v:ext="edit" spidmax="2114" style="mso-position-horizontal:center;mso-position-horizontal-relative:margin;mso-position-vertical:center;mso-position-vertical-relative:margin" o:allowincell="f" fill="f" fillcolor="white" stroke="f">
      <v:fill color="white" on="f"/>
      <v:stroke on="f"/>
    </o:shapedefaults>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32E"/>
    <w:rsid w:val="00021D22"/>
    <w:rsid w:val="00034CBA"/>
    <w:rsid w:val="00043C71"/>
    <w:rsid w:val="000A1E32"/>
    <w:rsid w:val="000B6B42"/>
    <w:rsid w:val="000C2A61"/>
    <w:rsid w:val="000E340F"/>
    <w:rsid w:val="001156A1"/>
    <w:rsid w:val="00115979"/>
    <w:rsid w:val="00147AEB"/>
    <w:rsid w:val="00172E4E"/>
    <w:rsid w:val="001763A0"/>
    <w:rsid w:val="0019493F"/>
    <w:rsid w:val="001B6B73"/>
    <w:rsid w:val="001C1B3D"/>
    <w:rsid w:val="001C2D4B"/>
    <w:rsid w:val="001F0535"/>
    <w:rsid w:val="00207E58"/>
    <w:rsid w:val="00213285"/>
    <w:rsid w:val="002613DB"/>
    <w:rsid w:val="00295A56"/>
    <w:rsid w:val="002A24D1"/>
    <w:rsid w:val="002B2FBA"/>
    <w:rsid w:val="0030289C"/>
    <w:rsid w:val="00317CCE"/>
    <w:rsid w:val="00332327"/>
    <w:rsid w:val="0033773E"/>
    <w:rsid w:val="0034588B"/>
    <w:rsid w:val="0035390C"/>
    <w:rsid w:val="00361A9F"/>
    <w:rsid w:val="00362B91"/>
    <w:rsid w:val="00373B95"/>
    <w:rsid w:val="00380EB5"/>
    <w:rsid w:val="00390E02"/>
    <w:rsid w:val="003C3C98"/>
    <w:rsid w:val="003E0EDF"/>
    <w:rsid w:val="003F1A26"/>
    <w:rsid w:val="003F2F73"/>
    <w:rsid w:val="003F3E7E"/>
    <w:rsid w:val="004803BA"/>
    <w:rsid w:val="004A1ADE"/>
    <w:rsid w:val="004C52C6"/>
    <w:rsid w:val="004D2805"/>
    <w:rsid w:val="004E2A6D"/>
    <w:rsid w:val="004F2B69"/>
    <w:rsid w:val="00501CD6"/>
    <w:rsid w:val="0051373B"/>
    <w:rsid w:val="00520691"/>
    <w:rsid w:val="005867CB"/>
    <w:rsid w:val="005A4B1A"/>
    <w:rsid w:val="005B1C06"/>
    <w:rsid w:val="005E6642"/>
    <w:rsid w:val="005F5ACB"/>
    <w:rsid w:val="0060172C"/>
    <w:rsid w:val="00612654"/>
    <w:rsid w:val="006342EE"/>
    <w:rsid w:val="00654404"/>
    <w:rsid w:val="00663855"/>
    <w:rsid w:val="00665039"/>
    <w:rsid w:val="006D5C53"/>
    <w:rsid w:val="006F1A78"/>
    <w:rsid w:val="007033DB"/>
    <w:rsid w:val="00726EC9"/>
    <w:rsid w:val="00750A72"/>
    <w:rsid w:val="007860E3"/>
    <w:rsid w:val="007A4D4D"/>
    <w:rsid w:val="007B5D06"/>
    <w:rsid w:val="007E632C"/>
    <w:rsid w:val="007F4A8D"/>
    <w:rsid w:val="0081589D"/>
    <w:rsid w:val="00833E2F"/>
    <w:rsid w:val="0083437E"/>
    <w:rsid w:val="00834CAC"/>
    <w:rsid w:val="0084709A"/>
    <w:rsid w:val="00863C2A"/>
    <w:rsid w:val="008A0884"/>
    <w:rsid w:val="008A1F84"/>
    <w:rsid w:val="008B4E42"/>
    <w:rsid w:val="008C72EF"/>
    <w:rsid w:val="008E693C"/>
    <w:rsid w:val="0095199D"/>
    <w:rsid w:val="00974A8E"/>
    <w:rsid w:val="00991FCC"/>
    <w:rsid w:val="00994E9B"/>
    <w:rsid w:val="009C6B90"/>
    <w:rsid w:val="009D3A7C"/>
    <w:rsid w:val="009F3CB9"/>
    <w:rsid w:val="00A154B7"/>
    <w:rsid w:val="00A17EE7"/>
    <w:rsid w:val="00A20C39"/>
    <w:rsid w:val="00A36588"/>
    <w:rsid w:val="00A71CF8"/>
    <w:rsid w:val="00A81D0C"/>
    <w:rsid w:val="00AA07CD"/>
    <w:rsid w:val="00AB754A"/>
    <w:rsid w:val="00AE2731"/>
    <w:rsid w:val="00AE5C58"/>
    <w:rsid w:val="00B124A1"/>
    <w:rsid w:val="00B13945"/>
    <w:rsid w:val="00B31A80"/>
    <w:rsid w:val="00B471AE"/>
    <w:rsid w:val="00B55499"/>
    <w:rsid w:val="00B55BA6"/>
    <w:rsid w:val="00B800DE"/>
    <w:rsid w:val="00B94265"/>
    <w:rsid w:val="00BA39D8"/>
    <w:rsid w:val="00BC0305"/>
    <w:rsid w:val="00BD3A5E"/>
    <w:rsid w:val="00BE21AE"/>
    <w:rsid w:val="00BE7786"/>
    <w:rsid w:val="00BF1AC1"/>
    <w:rsid w:val="00C517EE"/>
    <w:rsid w:val="00C5337B"/>
    <w:rsid w:val="00C53E33"/>
    <w:rsid w:val="00C70E4D"/>
    <w:rsid w:val="00C75137"/>
    <w:rsid w:val="00C85687"/>
    <w:rsid w:val="00C902DA"/>
    <w:rsid w:val="00CA3491"/>
    <w:rsid w:val="00CC48FB"/>
    <w:rsid w:val="00CD261C"/>
    <w:rsid w:val="00CE3AE4"/>
    <w:rsid w:val="00CF1B16"/>
    <w:rsid w:val="00CF3FE8"/>
    <w:rsid w:val="00D2488B"/>
    <w:rsid w:val="00D61AE7"/>
    <w:rsid w:val="00DB38DC"/>
    <w:rsid w:val="00DB7E84"/>
    <w:rsid w:val="00DC4726"/>
    <w:rsid w:val="00DE6B61"/>
    <w:rsid w:val="00DF1332"/>
    <w:rsid w:val="00E04F24"/>
    <w:rsid w:val="00E12A1A"/>
    <w:rsid w:val="00E30A80"/>
    <w:rsid w:val="00E43248"/>
    <w:rsid w:val="00E43469"/>
    <w:rsid w:val="00E96783"/>
    <w:rsid w:val="00EB0196"/>
    <w:rsid w:val="00EB79B8"/>
    <w:rsid w:val="00EC04FA"/>
    <w:rsid w:val="00EE0FA8"/>
    <w:rsid w:val="00EF4749"/>
    <w:rsid w:val="00F0347D"/>
    <w:rsid w:val="00F0632E"/>
    <w:rsid w:val="00F0713E"/>
    <w:rsid w:val="00F22111"/>
    <w:rsid w:val="00F75298"/>
    <w:rsid w:val="00F76C88"/>
    <w:rsid w:val="00F84BB2"/>
    <w:rsid w:val="00F971BB"/>
    <w:rsid w:val="00FB66FC"/>
    <w:rsid w:val="00FC6C8C"/>
    <w:rsid w:val="00FC72C4"/>
    <w:rsid w:val="00FD08C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114" style="mso-position-horizontal:center;mso-position-horizontal-relative:margin;mso-position-vertical:center;mso-position-vertical-relative:margin" o:allowincell="f" fill="f" fillcolor="white" stroke="f">
      <v:fill color="white" on="f"/>
      <v:stroke on="f"/>
    </o:shapedefaults>
    <o:shapelayout v:ext="edit">
      <o:idmap v:ext="edit" data="1"/>
    </o:shapelayout>
  </w:shapeDefaults>
  <w:decimalSymbol w:val="."/>
  <w:listSeparator w:val=","/>
  <w15:docId w15:val="{CDEBB2D8-5554-4FF9-99DE-D4561FC38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link w:val="1Char"/>
    <w:uiPriority w:val="9"/>
    <w:qFormat/>
    <w:rsid w:val="00DB7E84"/>
    <w:pPr>
      <w:keepNext/>
      <w:outlineLvl w:val="0"/>
    </w:pPr>
    <w:rPr>
      <w:rFonts w:asciiTheme="majorHAnsi" w:eastAsiaTheme="majorEastAsia" w:hAnsiTheme="majorHAnsi" w:cstheme="majorBidi"/>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F0632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header"/>
    <w:basedOn w:val="a"/>
    <w:link w:val="Char"/>
    <w:uiPriority w:val="99"/>
    <w:unhideWhenUsed/>
    <w:rsid w:val="00380EB5"/>
    <w:pPr>
      <w:tabs>
        <w:tab w:val="center" w:pos="4513"/>
        <w:tab w:val="right" w:pos="9026"/>
      </w:tabs>
      <w:snapToGrid w:val="0"/>
    </w:pPr>
  </w:style>
  <w:style w:type="character" w:customStyle="1" w:styleId="Char">
    <w:name w:val="머리글 Char"/>
    <w:basedOn w:val="a0"/>
    <w:link w:val="a4"/>
    <w:uiPriority w:val="99"/>
    <w:rsid w:val="00380EB5"/>
  </w:style>
  <w:style w:type="paragraph" w:styleId="a5">
    <w:name w:val="footer"/>
    <w:basedOn w:val="a"/>
    <w:link w:val="Char0"/>
    <w:uiPriority w:val="99"/>
    <w:unhideWhenUsed/>
    <w:rsid w:val="00380EB5"/>
    <w:pPr>
      <w:tabs>
        <w:tab w:val="center" w:pos="4513"/>
        <w:tab w:val="right" w:pos="9026"/>
      </w:tabs>
      <w:snapToGrid w:val="0"/>
    </w:pPr>
  </w:style>
  <w:style w:type="character" w:customStyle="1" w:styleId="Char0">
    <w:name w:val="바닥글 Char"/>
    <w:basedOn w:val="a0"/>
    <w:link w:val="a5"/>
    <w:uiPriority w:val="99"/>
    <w:rsid w:val="00380EB5"/>
  </w:style>
  <w:style w:type="paragraph" w:styleId="a6">
    <w:name w:val="List Paragraph"/>
    <w:basedOn w:val="a"/>
    <w:uiPriority w:val="34"/>
    <w:qFormat/>
    <w:rsid w:val="001C1B3D"/>
    <w:pPr>
      <w:ind w:leftChars="400" w:left="800"/>
    </w:pPr>
  </w:style>
  <w:style w:type="paragraph" w:customStyle="1" w:styleId="a7">
    <w:name w:val="바탕글"/>
    <w:basedOn w:val="a"/>
    <w:rsid w:val="004A1ADE"/>
    <w:pPr>
      <w:widowControl w:val="0"/>
      <w:wordWrap w:val="0"/>
      <w:autoSpaceDE w:val="0"/>
      <w:autoSpaceDN w:val="0"/>
      <w:spacing w:after="0" w:line="384" w:lineRule="auto"/>
      <w:jc w:val="both"/>
      <w:textAlignment w:val="baseline"/>
    </w:pPr>
    <w:rPr>
      <w:rFonts w:ascii="함초롬바탕" w:eastAsia="굴림" w:hAnsi="굴림" w:cs="굴림"/>
      <w:color w:val="000000"/>
      <w:sz w:val="20"/>
      <w:szCs w:val="20"/>
    </w:rPr>
  </w:style>
  <w:style w:type="character" w:customStyle="1" w:styleId="1Char">
    <w:name w:val="제목 1 Char"/>
    <w:basedOn w:val="a0"/>
    <w:link w:val="1"/>
    <w:uiPriority w:val="9"/>
    <w:rsid w:val="00DB7E84"/>
    <w:rPr>
      <w:rFonts w:asciiTheme="majorHAnsi" w:eastAsiaTheme="majorEastAsia" w:hAnsiTheme="majorHAnsi" w:cstheme="majorBidi"/>
      <w:sz w:val="28"/>
      <w:szCs w:val="28"/>
    </w:rPr>
  </w:style>
  <w:style w:type="paragraph" w:styleId="TOC">
    <w:name w:val="TOC Heading"/>
    <w:basedOn w:val="1"/>
    <w:next w:val="a"/>
    <w:uiPriority w:val="39"/>
    <w:unhideWhenUsed/>
    <w:qFormat/>
    <w:rsid w:val="00DB7E84"/>
    <w:pPr>
      <w:keepLines/>
      <w:spacing w:before="240" w:after="0" w:line="259" w:lineRule="auto"/>
      <w:outlineLvl w:val="9"/>
    </w:pPr>
    <w:rPr>
      <w:color w:val="365F91" w:themeColor="accent1" w:themeShade="BF"/>
      <w:sz w:val="32"/>
      <w:szCs w:val="32"/>
    </w:rPr>
  </w:style>
  <w:style w:type="paragraph" w:styleId="10">
    <w:name w:val="toc 1"/>
    <w:basedOn w:val="a"/>
    <w:next w:val="a"/>
    <w:autoRedefine/>
    <w:uiPriority w:val="39"/>
    <w:unhideWhenUsed/>
    <w:rsid w:val="00DB7E84"/>
  </w:style>
  <w:style w:type="character" w:styleId="a8">
    <w:name w:val="Hyperlink"/>
    <w:basedOn w:val="a0"/>
    <w:uiPriority w:val="99"/>
    <w:unhideWhenUsed/>
    <w:rsid w:val="00DB7E84"/>
    <w:rPr>
      <w:color w:val="0000FF" w:themeColor="hyperlink"/>
      <w:u w:val="single"/>
    </w:rPr>
  </w:style>
  <w:style w:type="paragraph" w:styleId="2">
    <w:name w:val="toc 2"/>
    <w:basedOn w:val="a"/>
    <w:next w:val="a"/>
    <w:autoRedefine/>
    <w:uiPriority w:val="39"/>
    <w:unhideWhenUsed/>
    <w:rsid w:val="00DB7E84"/>
    <w:pPr>
      <w:spacing w:after="100" w:line="259" w:lineRule="auto"/>
      <w:ind w:left="220"/>
    </w:pPr>
    <w:rPr>
      <w:rFonts w:cs="Times New Roman"/>
    </w:rPr>
  </w:style>
  <w:style w:type="paragraph" w:styleId="3">
    <w:name w:val="toc 3"/>
    <w:basedOn w:val="a"/>
    <w:next w:val="a"/>
    <w:autoRedefine/>
    <w:uiPriority w:val="39"/>
    <w:unhideWhenUsed/>
    <w:rsid w:val="00DB7E84"/>
    <w:pPr>
      <w:spacing w:after="100" w:line="259" w:lineRule="auto"/>
      <w:ind w:left="440"/>
    </w:pPr>
    <w:rPr>
      <w:rFonts w:cs="Times New Roman"/>
    </w:rPr>
  </w:style>
  <w:style w:type="paragraph" w:styleId="a9">
    <w:name w:val="Balloon Text"/>
    <w:basedOn w:val="a"/>
    <w:link w:val="Char1"/>
    <w:uiPriority w:val="99"/>
    <w:semiHidden/>
    <w:unhideWhenUsed/>
    <w:rsid w:val="004D2805"/>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9"/>
    <w:uiPriority w:val="99"/>
    <w:semiHidden/>
    <w:rsid w:val="004D2805"/>
    <w:rPr>
      <w:rFonts w:asciiTheme="majorHAnsi" w:eastAsiaTheme="majorEastAsia" w:hAnsiTheme="majorHAnsi" w:cstheme="majorBidi"/>
      <w:sz w:val="18"/>
      <w:szCs w:val="18"/>
    </w:rPr>
  </w:style>
  <w:style w:type="paragraph" w:styleId="NBSLH2">
    <w:name w:val="heading 2"/>
    <w:basedOn w:val="a"/>
    <w:next w:val="a"/>
    <w:uiPriority w:val="9"/>
    <w:unhideWhenUsed/>
    <w:qFormat/>
    <w:pPr>
      <w:keepNext/>
      <w:outlineLvl w:val="1"/>
    </w:pPr>
    <w:rPr>
      <w:rFonts w:asciiTheme="majorHAnsi" w:eastAsiaTheme="majorEastAsia" w:hAnsiTheme="majorHAnsi"/>
      <w:b/>
      <w:sz w:val="24"/>
      <w:szCs w:val="24"/>
    </w:rPr>
  </w:style>
  <w:style w:type="paragraph" w:styleId="NBSLH3">
    <w:name w:val="heading 3"/>
    <w:basedOn w:val="a"/>
    <w:next w:val="a"/>
    <w:uiPriority w:val="9"/>
    <w:unhideWhenUsed/>
    <w:qFormat/>
    <w:pPr>
      <w:keepNext/>
      <w:outlineLvl w:val="2"/>
    </w:pPr>
    <w:rPr>
      <w:rFonts w:asciiTheme="majorHAnsi" w:eastAsiaTheme="majorEastAsia" w:hAnsiTheme="majorHAnsi"/>
      <w:b/>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4652932">
      <w:bodyDiv w:val="1"/>
      <w:marLeft w:val="0"/>
      <w:marRight w:val="0"/>
      <w:marTop w:val="0"/>
      <w:marBottom w:val="0"/>
      <w:divBdr>
        <w:top w:val="none" w:sz="0" w:space="0" w:color="auto"/>
        <w:left w:val="none" w:sz="0" w:space="0" w:color="auto"/>
        <w:bottom w:val="none" w:sz="0" w:space="0" w:color="auto"/>
        <w:right w:val="none" w:sz="0" w:space="0" w:color="auto"/>
      </w:divBdr>
    </w:div>
    <w:div w:id="592014253">
      <w:bodyDiv w:val="1"/>
      <w:marLeft w:val="0"/>
      <w:marRight w:val="0"/>
      <w:marTop w:val="0"/>
      <w:marBottom w:val="0"/>
      <w:divBdr>
        <w:top w:val="none" w:sz="0" w:space="0" w:color="auto"/>
        <w:left w:val="none" w:sz="0" w:space="0" w:color="auto"/>
        <w:bottom w:val="none" w:sz="0" w:space="0" w:color="auto"/>
        <w:right w:val="none" w:sz="0" w:space="0" w:color="auto"/>
      </w:divBdr>
    </w:div>
    <w:div w:id="833029734">
      <w:bodyDiv w:val="1"/>
      <w:marLeft w:val="0"/>
      <w:marRight w:val="0"/>
      <w:marTop w:val="0"/>
      <w:marBottom w:val="0"/>
      <w:divBdr>
        <w:top w:val="none" w:sz="0" w:space="0" w:color="auto"/>
        <w:left w:val="none" w:sz="0" w:space="0" w:color="auto"/>
        <w:bottom w:val="none" w:sz="0" w:space="0" w:color="auto"/>
        <w:right w:val="none" w:sz="0" w:space="0" w:color="auto"/>
      </w:divBdr>
    </w:div>
    <w:div w:id="1046566108">
      <w:bodyDiv w:val="1"/>
      <w:marLeft w:val="0"/>
      <w:marRight w:val="0"/>
      <w:marTop w:val="0"/>
      <w:marBottom w:val="0"/>
      <w:divBdr>
        <w:top w:val="none" w:sz="0" w:space="0" w:color="auto"/>
        <w:left w:val="none" w:sz="0" w:space="0" w:color="auto"/>
        <w:bottom w:val="none" w:sz="0" w:space="0" w:color="auto"/>
        <w:right w:val="none" w:sz="0" w:space="0" w:color="auto"/>
      </w:divBdr>
    </w:div>
    <w:div w:id="1361739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15" Type="http://schemas.openxmlformats.org/officeDocument/2006/relationships/image" Target="media/image4.jpg"/><Relationship Id="rId16" Type="http://schemas.openxmlformats.org/officeDocument/2006/relationships/image" Target="media/image5.png"/><Relationship Id="rId17" Type="http://schemas.openxmlformats.org/officeDocument/2006/relationships/image" Target="media/image6.jpg"/><Relationship Id="rId18" Type="http://schemas.openxmlformats.org/officeDocument/2006/relationships/image" Target="media/image7.jpg"/><Relationship Id="rId19" Type="http://schemas.openxmlformats.org/officeDocument/2006/relationships/image" Target="media/image8.jpg"/><Relationship Id="rId20" Type="http://schemas.openxmlformats.org/officeDocument/2006/relationships/image" Target="media/image9.jpg"/><Relationship Id="rId21" Type="http://schemas.openxmlformats.org/officeDocument/2006/relationships/image" Target="media/image10.jpg"/><Relationship Id="rId22" Type="http://schemas.openxmlformats.org/officeDocument/2006/relationships/image" Target="media/image11.jpg"/><Relationship Id="rId23" Type="http://schemas.openxmlformats.org/officeDocument/2006/relationships/image" Target="media/image12.png"/><Relationship Id="rId24" Type="http://schemas.openxmlformats.org/officeDocument/2006/relationships/image" Target="media/image13.jpg"/><Relationship Id="rId25" Type="http://schemas.openxmlformats.org/officeDocument/2006/relationships/image" Target="media/image14.jpg"/><Relationship Id="rId26" Type="http://schemas.openxmlformats.org/officeDocument/2006/relationships/image" Target="media/image15.jpg"/><Relationship Id="rId27" Type="http://schemas.openxmlformats.org/officeDocument/2006/relationships/image" Target="media/image16.png"/><Relationship Id="rId28" Type="http://schemas.openxmlformats.org/officeDocument/2006/relationships/image" Target="media/image17.jpg"/><Relationship Id="rId29" Type="http://schemas.openxmlformats.org/officeDocument/2006/relationships/image" Target="media/image18.jpg"/><Relationship Id="rId30" Type="http://schemas.openxmlformats.org/officeDocument/2006/relationships/image" Target="media/image19.png"/><Relationship Id="rId31" Type="http://schemas.openxmlformats.org/officeDocument/2006/relationships/image" Target="media/image20.jp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7233A7-CB61-4792-A31E-C3095B605C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TotalTime>
  <Pages>6</Pages>
  <Words>251</Words>
  <Characters>1436</Characters>
  <Application>Microsoft Office Word</Application>
  <DocSecurity>0</DocSecurity>
  <Lines>11</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PDMS 계량·혼합과 열경화 성형</dc:title>
  <dc:subject/>
  <dc:creator/>
  <cp:keywords/>
  <dc:description/>
  <cp:lastModifiedBy/>
  <cp:revision>39</cp:revision>
  <dcterms:created xsi:type="dcterms:W3CDTF">2022-06-19T09:08:00Z</dcterms:created>
  <dcterms:modified xsi:type="dcterms:W3CDTF">2023-06-28T02:58:00Z</dcterms:modified>
</cp:coreProperties>
</file>