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CD6" w:rsidRPr="00833E2F" w:rsidRDefault="00665039" w:rsidP="00034CBA">
      <w:pPr>
        <w:spacing w:after="0" w:line="480" w:lineRule="auto"/>
        <w:ind w:leftChars="50" w:left="110"/>
        <w:rPr>
          <w:rFonts w:ascii="Times New Roman" w:eastAsia="MingLiU" w:hAnsi="Times New Roman" w:cs="Times New Roman"/>
          <w:sz w:val="24"/>
          <w:szCs w:val="24"/>
        </w:rPr>
      </w:pPr>
      <w:r w:rsidRPr="00833E2F">
        <w:rPr>
          <w:rFonts w:ascii="Times New Roman" w:eastAsia="MingLiU" w:hAnsi="Times New Roman" w:cs="Times New Roman"/>
          <w:noProof/>
          <w:sz w:val="56"/>
          <w:szCs w:val="24"/>
        </w:rPr>
        <mc:AlternateContent>
          <mc:Choice Requires="wps">
            <w:drawing>
              <wp:anchor distT="0" distB="0" distL="114300" distR="114300" simplePos="0" relativeHeight="251657215" behindDoc="0" locked="0" layoutInCell="1" allowOverlap="1">
                <wp:simplePos x="0" y="0"/>
                <wp:positionH relativeFrom="margin">
                  <wp:align>right</wp:align>
                </wp:positionH>
                <wp:positionV relativeFrom="paragraph">
                  <wp:posOffset>4104</wp:posOffset>
                </wp:positionV>
                <wp:extent cx="5773003" cy="9144000"/>
                <wp:effectExtent l="0" t="0" r="1841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3003" cy="9144000"/>
                        </a:xfrm>
                        <a:prstGeom prst="rect">
                          <a:avLst/>
                        </a:prstGeom>
                        <a:noFill/>
                        <a:ln w="19050" cmpd="sng">
                          <a:solidFill>
                            <a:schemeClr val="bg1">
                              <a:lumMod val="65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9EC6" id="Rectangle 8" o:spid="_x0000_s1026" style="position:absolute;left:0;text-align:left;margin-left:403.35pt;margin-top:.3pt;width:454.55pt;height:10in;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" filled="f" strokecolor="#a5a5a5 [2092]" strokeweight="1.5pt">
                <w10:wrap anchorx="margin"/>
              </v:rect>
            </w:pict>
          </mc:Fallback>
        </mc:AlternateContent>
      </w:r>
    </w:p>
    <w:p w:rsidR="00F0632E" w:rsidRDefault="00F0632E" w:rsidP="00E96783">
      <w:pPr>
        <w:spacing w:after="0" w:line="480" w:lineRule="auto"/>
        <w:rPr>
          <w:sz w:val="24"/>
          <w:szCs w:val="24"/>
        </w:rPr>
      </w:pPr>
    </w:p>
    <w:p w:rsidR="00501CD6" w:rsidRPr="00EB79B8" w:rsidRDefault="00EB79B8" w:rsidP="00EB79B8">
      <w:pPr>
        <w:spacing w:after="0" w:line="480" w:lineRule="auto"/>
        <w:jc w:val="center"/>
        <w:rPr>
          <w:b/>
          <w:sz w:val="32"/>
          <w:szCs w:val="24"/>
        </w:rPr>
      </w:pP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E</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P</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O</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T</w:t>
      </w:r>
    </w:p>
    <w:p w:rsidR="00F0632E" w:rsidRDefault="00665039" w:rsidP="00E96783">
      <w:pPr>
        <w:spacing w:after="0" w:line="480" w:lineRule="auto"/>
        <w:rPr>
          <w:sz w:val="24"/>
          <w:szCs w:val="24"/>
        </w:rPr>
      </w:pPr>
      <w:r>
        <w:rPr>
          <w:noProof/>
        </w:rPr>
        <mc:AlternateContent>
          <mc:Choice Requires="wps">
            <w:drawing>
              <wp:anchor distT="0" distB="0" distL="114300" distR="114300" simplePos="0" relativeHeight="251658240" behindDoc="1" locked="0" layoutInCell="1" allowOverlap="1">
                <wp:simplePos x="0" y="0"/>
                <wp:positionH relativeFrom="margin">
                  <wp:align>right</wp:align>
                </wp:positionH>
                <wp:positionV relativeFrom="page">
                  <wp:posOffset>2647666</wp:posOffset>
                </wp:positionV>
                <wp:extent cx="5759137" cy="558800"/>
                <wp:effectExtent l="0" t="0" r="13335" b="1270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13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분석·공정 장비의 원리와 사용법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402.3pt;margin-top:208.5pt;width:453.5pt;height:4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" filled="f" stroked="f">
                <v:textbox inset="0,0,0,0">
                  <w:txbxContent>
                    <w:p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분석·공정 장비의 원리와 사용법</w:t>
                      </w:r>
                    </w:p>
                  </w:txbxContent>
                </v:textbox>
                <w10:wrap anchorx="margin" anchory="page"/>
              </v:rect>
            </w:pict>
          </mc:Fallback>
        </mc:AlternateContent>
      </w:r>
    </w:p>
    <w:p w:rsidR="00F0632E" w:rsidRDefault="00F0632E">
      <w:pPr>
        <w:spacing w:after="0" w:line="240" w:lineRule="exact"/>
        <w:rPr>
          <w:sz w:val="24"/>
          <w:szCs w:val="24"/>
        </w:rPr>
      </w:pPr>
    </w:p>
    <w:p w:rsidR="00612654" w:rsidRDefault="00612654">
      <w:pPr>
        <w:spacing w:after="0" w:line="240" w:lineRule="exact"/>
        <w:rPr>
          <w:sz w:val="24"/>
          <w:szCs w:val="24"/>
        </w:rPr>
      </w:pPr>
    </w:p>
    <w:p w:rsidR="00F0632E" w:rsidRDefault="00F0632E">
      <w:pPr>
        <w:spacing w:after="0" w:line="240" w:lineRule="exact"/>
        <w:rPr>
          <w:sz w:val="24"/>
          <w:szCs w:val="24"/>
        </w:rPr>
      </w:pPr>
    </w:p>
    <w:p w:rsidR="007860E3" w:rsidRDefault="007860E3">
      <w:pPr>
        <w:spacing w:after="0" w:line="240" w:lineRule="exact"/>
        <w:rPr>
          <w:sz w:val="24"/>
          <w:szCs w:val="24"/>
        </w:rPr>
      </w:pPr>
    </w:p>
    <w:p w:rsidR="00EB0196" w:rsidRDefault="00EB0196">
      <w:pPr>
        <w:spacing w:after="0" w:line="240" w:lineRule="exact"/>
        <w:rPr>
          <w:sz w:val="24"/>
          <w:szCs w:val="24"/>
        </w:rPr>
      </w:pPr>
    </w:p>
    <w:p w:rsidR="00F971BB" w:rsidRDefault="00F971BB">
      <w:pPr>
        <w:spacing w:after="0" w:line="240" w:lineRule="exact"/>
        <w:rPr>
          <w:sz w:val="24"/>
          <w:szCs w:val="24"/>
        </w:rPr>
      </w:pPr>
    </w:p>
    <w:p w:rsidR="00E96783" w:rsidRDefault="00E96783">
      <w:pPr>
        <w:spacing w:after="0" w:line="240" w:lineRule="exact"/>
        <w:rPr>
          <w:sz w:val="24"/>
          <w:szCs w:val="24"/>
        </w:rPr>
      </w:pPr>
    </w:p>
    <w:p w:rsidR="007860E3" w:rsidRDefault="007860E3">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7B5D06" w:rsidP="007B5D06">
      <w:pPr>
        <w:tabs>
          <w:tab w:val="left" w:pos="6296"/>
        </w:tabs>
        <w:spacing w:after="0" w:line="240" w:lineRule="exact"/>
        <w:rPr>
          <w:sz w:val="24"/>
          <w:szCs w:val="24"/>
        </w:rPr>
      </w:pPr>
      <w:r>
        <w:rPr>
          <w:sz w:val="24"/>
          <w:szCs w:val="24"/>
        </w:rPr>
        <w:tab/>
      </w:r>
    </w:p>
    <w:p w:rsidR="009D3A7C" w:rsidRDefault="003F2F73" w:rsidP="003F2F73">
      <w:pPr>
        <w:tabs>
          <w:tab w:val="left" w:pos="3946"/>
        </w:tabs>
        <w:spacing w:after="0" w:line="240" w:lineRule="exact"/>
        <w:rPr>
          <w:sz w:val="24"/>
          <w:szCs w:val="24"/>
        </w:rPr>
      </w:pPr>
      <w:r>
        <w:rPr>
          <w:sz w:val="24"/>
          <w:szCs w:val="24"/>
        </w:rPr>
        <w:tab/>
      </w: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7860E3" w:rsidRDefault="007860E3">
      <w:pPr>
        <w:spacing w:after="0" w:line="240" w:lineRule="exact"/>
        <w:rPr>
          <w:sz w:val="24"/>
          <w:szCs w:val="24"/>
        </w:rPr>
      </w:pPr>
    </w:p>
    <w:p w:rsidR="007860E3" w:rsidRDefault="007860E3">
      <w:pPr>
        <w:spacing w:after="0" w:line="240" w:lineRule="exact"/>
        <w:rPr>
          <w:sz w:val="24"/>
          <w:szCs w:val="24"/>
        </w:rPr>
      </w:pPr>
    </w:p>
    <w:p w:rsidR="00EB79B8" w:rsidRDefault="00EB79B8">
      <w:pPr>
        <w:spacing w:after="0" w:line="240" w:lineRule="exact"/>
        <w:rPr>
          <w:sz w:val="24"/>
          <w:szCs w:val="24"/>
        </w:rPr>
      </w:pPr>
    </w:p>
    <w:tbl>
      <w:tblPr>
        <w:tblStyle w:val="a3"/>
        <w:tblpPr w:leftFromText="142" w:rightFromText="142" w:vertAnchor="text" w:horzAnchor="margin" w:tblpXSpec="center" w:tblpY="-34"/>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835"/>
        <w:gridCol w:w="2360"/>
      </w:tblGrid>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과 목 명:</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담당교수:</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제 출 일:</w:t>
            </w:r>
          </w:p>
        </w:tc>
        <w:tc>
          <w:tcPr>
            <w:tcW w:w="2360" w:type="dxa"/>
            <w:shd w:val="clear" w:color="auto" w:fill="auto"/>
            <w:vAlign w:val="center"/>
          </w:tcPr>
          <w:p w:rsidR="00EB79B8" w:rsidRPr="00295A56" w:rsidRDefault="00EB79B8" w:rsidP="00EB79B8">
            <w:pPr>
              <w:jc w:val="left"/>
              <w:rPr>
                <w:sz w:val="28"/>
                <w:szCs w:val="24"/>
              </w:rPr>
            </w:pPr>
            <w:r>
              <w:rPr>
                <w:rFonts w:ascii="맑은 고딕" w:eastAsia="맑은 고딕" w:hAnsi="맑은 고딕"/>
                <w:sz w:val="26"/>
                <w:szCs w:val="26"/>
              </w:rPr>
              <w:t xml:space="preserve"> 2026. 10. 8.</w:t>
            </w: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학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과:</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tcBorders>
              <w:bottom w:val="single" w:sz="8" w:space="0" w:color="auto"/>
            </w:tcBorders>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 학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번 :</w:t>
            </w:r>
          </w:p>
        </w:tc>
        <w:tc>
          <w:tcPr>
            <w:tcW w:w="2360" w:type="dxa"/>
            <w:tcBorders>
              <w:bottom w:val="single" w:sz="8" w:space="0" w:color="auto"/>
            </w:tcBorders>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성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명:</w:t>
            </w:r>
          </w:p>
        </w:tc>
        <w:tc>
          <w:tcPr>
            <w:tcW w:w="2360"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p>
        </w:tc>
      </w:tr>
    </w:tbl>
    <w:p w:rsidR="00E96783" w:rsidRDefault="00E96783">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DB7E84" w:rsidRDefault="00EB79B8" w:rsidP="00EB0196">
      <w:pPr>
        <w:rPr>
          <w:sz w:val="24"/>
          <w:szCs w:val="24"/>
        </w:rPr>
      </w:pPr>
      <w:r>
        <w:rPr>
          <w:sz w:val="24"/>
          <w:szCs w:val="24"/>
        </w:rPr>
        <w:br w:type="page"/>
      </w:r>
    </w:p>
    <w:sdt>
      <w:sdtPr>
        <w:rPr>
          <w:rFonts w:asciiTheme="minorHAnsi" w:eastAsiaTheme="minorEastAsia" w:hAnsiTheme="minorHAnsi" w:cstheme="minorBidi"/>
          <w:color w:val="auto"/>
          <w:sz w:val="22"/>
          <w:szCs w:val="22"/>
          <w:lang w:val="ko-KR"/>
        </w:rPr>
        <w:id w:val="1031840340"/>
        <w:docPartObj>
          <w:docPartGallery w:val="Table of Contents"/>
          <w:docPartUnique/>
        </w:docPartObj>
      </w:sdtPr>
      <w:sdtEndPr>
        <w:rPr>
          <w:b/>
          <w:bCs/>
        </w:rPr>
      </w:sdtEndPr>
      <w:sdtContent>
        <w:p w:rsidR="00DB7E84" w:rsidRPr="00A81D0C" w:rsidRDefault="00DB7E84" w:rsidP="00DB7E84">
          <w:pPr>
            <w:pStyle w:val="TOC"/>
            <w:jc w:val="center"/>
            <w:rPr>
              <w:b/>
              <w:sz w:val="36"/>
            </w:rPr>
          </w:pPr>
          <w:r w:rsidRPr="00A81D0C">
            <w:rPr>
              <w:rFonts w:hint="eastAsia"/>
              <w:b/>
              <w:sz w:val="36"/>
              <w:lang w:val="ko-KR"/>
            </w:rPr>
            <w:t>목</w:t>
          </w:r>
          <w:r w:rsidR="004D2805" w:rsidRPr="00A81D0C">
            <w:rPr>
              <w:rFonts w:hint="eastAsia"/>
              <w:b/>
              <w:sz w:val="36"/>
              <w:lang w:val="ko-KR"/>
            </w:rPr>
            <w:t xml:space="preserve"> </w:t>
          </w:r>
          <w:r w:rsidR="004D2805" w:rsidRPr="00A81D0C">
            <w:rPr>
              <w:b/>
              <w:sz w:val="36"/>
              <w:lang w:val="ko-KR"/>
            </w:rPr>
            <w:t xml:space="preserve">     </w:t>
          </w:r>
          <w:r w:rsidRPr="00A81D0C">
            <w:rPr>
              <w:rFonts w:hint="eastAsia"/>
              <w:b/>
              <w:sz w:val="36"/>
              <w:lang w:val="ko-KR"/>
            </w:rPr>
            <w:t>차</w:t>
          </w:r>
        </w:p>
        <w:p>
          <w:pPr>
            <w:pStyle w:val="10"/>
            <w:tabs>
              <w:tab w:val="left" w:pos="520"/>
              <w:tab w:val="right" w:pos="9100" w:leader="dot"/>
            </w:tabs>
            <w:spacing w:before="240" w:after="60"/>
          </w:pPr>
          <w:r>
            <w:rPr/>
            <w:fldChar w:fldCharType="begin"/>
          </w:r>
          <w:r>
            <w:rPr/>
            <w:instrText xml:space="preserve"> TOC \o "1-2" \h \z \u </w:instrText>
          </w:r>
          <w:r>
            <w:rPr/>
            <w:fldChar w:fldCharType="separate"/>
          </w:r>
          <w:hyperlink w:anchor="_Toc900501" w:history="1">
            <w:r>
              <w:rPr>
                <w:b/>
                <w:bCs/>
                <w:sz w:val="24"/>
                <w:szCs w:val="24"/>
              </w:rPr>
              <w:t xml:space="preserve">1.</w:t>
              <w:tab/>
              <w:t xml:space="preserve">서론</w:t>
              <w:tab/>
              <w:t xml:space="preserve"/>
            </w:r>
            <w:r>
              <w:rPr/>
              <w:fldChar w:fldCharType="begin"/>
            </w:r>
            <w:r>
              <w:rPr/>
              <w:instrText xml:space="preserve"> PAGEREF _Toc900501 \h </w:instrText>
            </w:r>
            <w:r>
              <w:rPr/>
              <w:fldChar w:fldCharType="separate"/>
            </w:r>
            <w:r>
              <w:rPr>
                <w:b/>
                <w:bCs/>
                <w:sz w:val="24"/>
                <w:szCs w:val="24"/>
              </w:rPr>
              <w:t xml:space="preserve">2</w:t>
            </w:r>
            <w:r>
              <w:rPr/>
              <w:fldChar w:fldCharType="end"/>
            </w:r>
          </w:hyperlink>
        </w:p>
        <w:p>
          <w:pPr>
            <w:pStyle w:val="2"/>
            <w:tabs>
              <w:tab w:val="left" w:pos="1000"/>
              <w:tab w:val="right" w:pos="9100" w:leader="dot"/>
            </w:tabs>
            <w:spacing w:before="0" w:after="40"/>
            <w:ind w:left="300"/>
          </w:pPr>
          <w:hyperlink w:anchor="_Toc900502" w:history="1">
            <w:r>
              <w:rPr>
                <w:sz w:val="22"/>
                <w:szCs w:val="22"/>
              </w:rPr>
              <w:t xml:space="preserve">1.1</w:t>
              <w:tab/>
              <w:t xml:space="preserve">실습 목적</w:t>
              <w:tab/>
              <w:t xml:space="preserve"/>
            </w:r>
            <w:r>
              <w:rPr/>
              <w:fldChar w:fldCharType="begin"/>
            </w:r>
            <w:r>
              <w:rPr/>
              <w:instrText xml:space="preserve"> PAGEREF _Toc900502 \h </w:instrText>
            </w:r>
            <w:r>
              <w:rPr/>
              <w:fldChar w:fldCharType="separate"/>
            </w:r>
            <w:r>
              <w:rPr>
                <w:sz w:val="22"/>
                <w:szCs w:val="22"/>
              </w:rPr>
              <w:t xml:space="preserve">2</w:t>
            </w:r>
            <w:r>
              <w:rPr/>
              <w:fldChar w:fldCharType="end"/>
            </w:r>
          </w:hyperlink>
        </w:p>
        <w:p>
          <w:pPr>
            <w:pStyle w:val="2"/>
            <w:tabs>
              <w:tab w:val="left" w:pos="1000"/>
              <w:tab w:val="right" w:pos="9100" w:leader="dot"/>
            </w:tabs>
            <w:spacing w:before="0" w:after="40"/>
            <w:ind w:left="300"/>
          </w:pPr>
          <w:hyperlink w:anchor="_Toc900503" w:history="1">
            <w:r>
              <w:rPr>
                <w:sz w:val="22"/>
                <w:szCs w:val="22"/>
              </w:rPr>
              <w:t xml:space="preserve">1.2</w:t>
              <w:tab/>
              <w:t xml:space="preserve">장비 구성과 흐름</w:t>
              <w:tab/>
              <w:t xml:space="preserve"/>
            </w:r>
            <w:r>
              <w:rPr/>
              <w:fldChar w:fldCharType="begin"/>
            </w:r>
            <w:r>
              <w:rPr/>
              <w:instrText xml:space="preserve"> PAGEREF _Toc900503 \h </w:instrText>
            </w:r>
            <w:r>
              <w:rPr/>
              <w:fldChar w:fldCharType="separate"/>
            </w:r>
            <w:r>
              <w:rPr>
                <w:sz w:val="22"/>
                <w:szCs w:val="22"/>
              </w:rPr>
              <w:t xml:space="preserve">2</w:t>
            </w:r>
            <w:r>
              <w:rPr/>
              <w:fldChar w:fldCharType="end"/>
            </w:r>
          </w:hyperlink>
        </w:p>
        <w:p>
          <w:pPr>
            <w:pStyle w:val="10"/>
            <w:tabs>
              <w:tab w:val="left" w:pos="520"/>
              <w:tab w:val="right" w:pos="9100" w:leader="dot"/>
            </w:tabs>
            <w:spacing w:before="160" w:after="60"/>
          </w:pPr>
          <w:hyperlink w:anchor="_Toc900504" w:history="1">
            <w:r>
              <w:rPr>
                <w:b/>
                <w:bCs/>
                <w:sz w:val="24"/>
                <w:szCs w:val="24"/>
              </w:rPr>
              <w:t xml:space="preserve">2.</w:t>
              <w:tab/>
              <w:t xml:space="preserve">공통 안전 수칙과 무균 관리</w:t>
              <w:tab/>
              <w:t xml:space="preserve"/>
            </w:r>
            <w:r>
              <w:rPr/>
              <w:fldChar w:fldCharType="begin"/>
            </w:r>
            <w:r>
              <w:rPr/>
              <w:instrText xml:space="preserve"> PAGEREF _Toc900504 \h </w:instrText>
            </w:r>
            <w:r>
              <w:rPr/>
              <w:fldChar w:fldCharType="separate"/>
            </w:r>
            <w:r>
              <w:rPr>
                <w:b/>
                <w:bCs/>
                <w:sz w:val="24"/>
                <w:szCs w:val="24"/>
              </w:rPr>
              <w:t xml:space="preserve">2</w:t>
            </w:r>
            <w:r>
              <w:rPr/>
              <w:fldChar w:fldCharType="end"/>
            </w:r>
          </w:hyperlink>
        </w:p>
        <w:p>
          <w:pPr>
            <w:pStyle w:val="10"/>
            <w:tabs>
              <w:tab w:val="left" w:pos="520"/>
              <w:tab w:val="right" w:pos="9100" w:leader="dot"/>
            </w:tabs>
            <w:spacing w:before="160" w:after="60"/>
          </w:pPr>
          <w:hyperlink w:anchor="_Toc900505" w:history="1">
            <w:r>
              <w:rPr>
                <w:b/>
                <w:bCs/>
                <w:sz w:val="24"/>
                <w:szCs w:val="24"/>
              </w:rPr>
              <w:t xml:space="preserve">3.</w:t>
              <w:tab/>
              <w:t xml:space="preserve">장비별 원리와 사용법</w:t>
              <w:tab/>
              <w:t xml:space="preserve"/>
            </w:r>
            <w:r>
              <w:rPr/>
              <w:fldChar w:fldCharType="begin"/>
            </w:r>
            <w:r>
              <w:rPr/>
              <w:instrText xml:space="preserve"> PAGEREF _Toc900505 \h </w:instrText>
            </w:r>
            <w:r>
              <w:rPr/>
              <w:fldChar w:fldCharType="separate"/>
            </w:r>
            <w:r>
              <w:rPr>
                <w:b/>
                <w:bCs/>
                <w:sz w:val="24"/>
                <w:szCs w:val="24"/>
              </w:rPr>
              <w:t xml:space="preserve">3</w:t>
            </w:r>
            <w:r>
              <w:rPr/>
              <w:fldChar w:fldCharType="end"/>
            </w:r>
          </w:hyperlink>
        </w:p>
        <w:p>
          <w:pPr>
            <w:pStyle w:val="2"/>
            <w:tabs>
              <w:tab w:val="left" w:pos="1000"/>
              <w:tab w:val="right" w:pos="9100" w:leader="dot"/>
            </w:tabs>
            <w:spacing w:before="0" w:after="40"/>
            <w:ind w:left="300"/>
          </w:pPr>
          <w:hyperlink w:anchor="_Toc900506" w:history="1">
            <w:r>
              <w:rPr>
                <w:sz w:val="22"/>
                <w:szCs w:val="22"/>
              </w:rPr>
              <w:t xml:space="preserve">3.1</w:t>
              <w:tab/>
              <w:t xml:space="preserve">도립 현미경</w:t>
              <w:tab/>
              <w:t xml:space="preserve"/>
            </w:r>
            <w:r>
              <w:rPr/>
              <w:fldChar w:fldCharType="begin"/>
            </w:r>
            <w:r>
              <w:rPr/>
              <w:instrText xml:space="preserve"> PAGEREF _Toc900506 \h </w:instrText>
            </w:r>
            <w:r>
              <w:rPr/>
              <w:fldChar w:fldCharType="separate"/>
            </w:r>
            <w:r>
              <w:rPr>
                <w:sz w:val="22"/>
                <w:szCs w:val="22"/>
              </w:rPr>
              <w:t xml:space="preserve">3</w:t>
            </w:r>
            <w:r>
              <w:rPr/>
              <w:fldChar w:fldCharType="end"/>
            </w:r>
          </w:hyperlink>
        </w:p>
        <w:p>
          <w:pPr>
            <w:pStyle w:val="2"/>
            <w:tabs>
              <w:tab w:val="left" w:pos="1000"/>
              <w:tab w:val="right" w:pos="9100" w:leader="dot"/>
            </w:tabs>
            <w:spacing w:before="0" w:after="40"/>
            <w:ind w:left="300"/>
          </w:pPr>
          <w:hyperlink w:anchor="_Toc900507" w:history="1">
            <w:r>
              <w:rPr>
                <w:sz w:val="22"/>
                <w:szCs w:val="22"/>
              </w:rPr>
              <w:t xml:space="preserve">3.2</w:t>
              <w:tab/>
              <w:t xml:space="preserve">인장 시험기</w:t>
              <w:tab/>
              <w:t xml:space="preserve"/>
            </w:r>
            <w:r>
              <w:rPr/>
              <w:fldChar w:fldCharType="begin"/>
            </w:r>
            <w:r>
              <w:rPr/>
              <w:instrText xml:space="preserve"> PAGEREF _Toc900507 \h </w:instrText>
            </w:r>
            <w:r>
              <w:rPr/>
              <w:fldChar w:fldCharType="separate"/>
            </w:r>
            <w:r>
              <w:rPr>
                <w:sz w:val="22"/>
                <w:szCs w:val="22"/>
              </w:rPr>
              <w:t xml:space="preserve">5</w:t>
            </w:r>
            <w:r>
              <w:rPr/>
              <w:fldChar w:fldCharType="end"/>
            </w:r>
          </w:hyperlink>
        </w:p>
        <w:p>
          <w:pPr>
            <w:pStyle w:val="2"/>
            <w:tabs>
              <w:tab w:val="left" w:pos="1000"/>
              <w:tab w:val="right" w:pos="9100" w:leader="dot"/>
            </w:tabs>
            <w:spacing w:before="0" w:after="40"/>
            <w:ind w:left="300"/>
          </w:pPr>
          <w:hyperlink w:anchor="_Toc900508" w:history="1">
            <w:r>
              <w:rPr>
                <w:sz w:val="22"/>
                <w:szCs w:val="22"/>
              </w:rPr>
              <w:t xml:space="preserve">3.3</w:t>
              <w:tab/>
              <w:t xml:space="preserve">스핀 코터</w:t>
              <w:tab/>
              <w:t xml:space="preserve"/>
            </w:r>
            <w:r>
              <w:rPr/>
              <w:fldChar w:fldCharType="begin"/>
            </w:r>
            <w:r>
              <w:rPr/>
              <w:instrText xml:space="preserve"> PAGEREF _Toc900508 \h </w:instrText>
            </w:r>
            <w:r>
              <w:rPr/>
              <w:fldChar w:fldCharType="separate"/>
            </w:r>
            <w:r>
              <w:rPr>
                <w:sz w:val="22"/>
                <w:szCs w:val="22"/>
              </w:rPr>
              <w:t xml:space="preserve">7</w:t>
            </w:r>
            <w:r>
              <w:rPr/>
              <w:fldChar w:fldCharType="end"/>
            </w:r>
          </w:hyperlink>
        </w:p>
        <w:p>
          <w:pPr>
            <w:pStyle w:val="2"/>
            <w:tabs>
              <w:tab w:val="left" w:pos="1000"/>
              <w:tab w:val="right" w:pos="9100" w:leader="dot"/>
            </w:tabs>
            <w:spacing w:before="0" w:after="40"/>
            <w:ind w:left="300"/>
          </w:pPr>
          <w:hyperlink w:anchor="_Toc900509" w:history="1">
            <w:r>
              <w:rPr>
                <w:sz w:val="22"/>
                <w:szCs w:val="22"/>
              </w:rPr>
              <w:t xml:space="preserve">3.4</w:t>
              <w:tab/>
              <w:t xml:space="preserve">UV 경화 챔버</w:t>
              <w:tab/>
              <w:t xml:space="preserve"/>
            </w:r>
            <w:r>
              <w:rPr/>
              <w:fldChar w:fldCharType="begin"/>
            </w:r>
            <w:r>
              <w:rPr/>
              <w:instrText xml:space="preserve"> PAGEREF _Toc900509 \h </w:instrText>
            </w:r>
            <w:r>
              <w:rPr/>
              <w:fldChar w:fldCharType="separate"/>
            </w:r>
            <w:r>
              <w:rPr>
                <w:sz w:val="22"/>
                <w:szCs w:val="22"/>
              </w:rPr>
              <w:t xml:space="preserve">9</w:t>
            </w:r>
            <w:r>
              <w:rPr/>
              <w:fldChar w:fldCharType="end"/>
            </w:r>
          </w:hyperlink>
        </w:p>
        <w:p>
          <w:pPr>
            <w:pStyle w:val="2"/>
            <w:tabs>
              <w:tab w:val="left" w:pos="1000"/>
              <w:tab w:val="right" w:pos="9100" w:leader="dot"/>
            </w:tabs>
            <w:spacing w:before="0" w:after="40"/>
            <w:ind w:left="300"/>
          </w:pPr>
          <w:hyperlink w:anchor="_Toc900510" w:history="1">
            <w:r>
              <w:rPr>
                <w:sz w:val="22"/>
                <w:szCs w:val="22"/>
              </w:rPr>
              <w:t xml:space="preserve">3.5</w:t>
              <w:tab/>
              <w:t xml:space="preserve">생물안전작업대와 클린벤치</w:t>
              <w:tab/>
              <w:t xml:space="preserve"/>
            </w:r>
            <w:r>
              <w:rPr/>
              <w:fldChar w:fldCharType="begin"/>
            </w:r>
            <w:r>
              <w:rPr/>
              <w:instrText xml:space="preserve"> PAGEREF _Toc900510 \h </w:instrText>
            </w:r>
            <w:r>
              <w:rPr/>
              <w:fldChar w:fldCharType="separate"/>
            </w:r>
            <w:r>
              <w:rPr>
                <w:sz w:val="22"/>
                <w:szCs w:val="22"/>
              </w:rPr>
              <w:t xml:space="preserve">10</w:t>
            </w:r>
            <w:r>
              <w:rPr/>
              <w:fldChar w:fldCharType="end"/>
            </w:r>
          </w:hyperlink>
        </w:p>
        <w:p>
          <w:pPr>
            <w:pStyle w:val="2"/>
            <w:tabs>
              <w:tab w:val="left" w:pos="1000"/>
              <w:tab w:val="right" w:pos="9100" w:leader="dot"/>
            </w:tabs>
            <w:spacing w:before="0" w:after="40"/>
            <w:ind w:left="300"/>
          </w:pPr>
          <w:hyperlink w:anchor="_Toc900511" w:history="1">
            <w:r>
              <w:rPr>
                <w:sz w:val="22"/>
                <w:szCs w:val="22"/>
              </w:rPr>
              <w:t xml:space="preserve">3.6</w:t>
              <w:tab/>
              <w:t xml:space="preserve">오토클레이브</w:t>
              <w:tab/>
              <w:t xml:space="preserve"/>
            </w:r>
            <w:r>
              <w:rPr/>
              <w:fldChar w:fldCharType="begin"/>
            </w:r>
            <w:r>
              <w:rPr/>
              <w:instrText xml:space="preserve"> PAGEREF _Toc900511 \h </w:instrText>
            </w:r>
            <w:r>
              <w:rPr/>
              <w:fldChar w:fldCharType="separate"/>
            </w:r>
            <w:r>
              <w:rPr>
                <w:sz w:val="22"/>
                <w:szCs w:val="22"/>
              </w:rPr>
              <w:t xml:space="preserve">12</w:t>
            </w:r>
            <w:r>
              <w:rPr/>
              <w:fldChar w:fldCharType="end"/>
            </w:r>
          </w:hyperlink>
        </w:p>
        <w:p>
          <w:pPr>
            <w:pStyle w:val="10"/>
            <w:tabs>
              <w:tab w:val="left" w:pos="520"/>
              <w:tab w:val="right" w:pos="9100" w:leader="dot"/>
            </w:tabs>
            <w:spacing w:before="160" w:after="60"/>
          </w:pPr>
          <w:hyperlink w:anchor="_Toc900512" w:history="1">
            <w:r>
              <w:rPr>
                <w:b/>
                <w:bCs/>
                <w:sz w:val="24"/>
                <w:szCs w:val="24"/>
              </w:rPr>
              <w:t xml:space="preserve">4.</w:t>
              <w:tab/>
              <w:t xml:space="preserve">결과</w:t>
              <w:tab/>
              <w:t xml:space="preserve"/>
            </w:r>
            <w:r>
              <w:rPr/>
              <w:fldChar w:fldCharType="begin"/>
            </w:r>
            <w:r>
              <w:rPr/>
              <w:instrText xml:space="preserve"> PAGEREF _Toc900512 \h </w:instrText>
            </w:r>
            <w:r>
              <w:rPr/>
              <w:fldChar w:fldCharType="separate"/>
            </w:r>
            <w:r>
              <w:rPr>
                <w:b/>
                <w:bCs/>
                <w:sz w:val="24"/>
                <w:szCs w:val="24"/>
              </w:rPr>
              <w:t xml:space="preserve">14</w:t>
            </w:r>
            <w:r>
              <w:rPr/>
              <w:fldChar w:fldCharType="end"/>
            </w:r>
          </w:hyperlink>
        </w:p>
        <w:p>
          <w:pPr>
            <w:pStyle w:val="10"/>
            <w:tabs>
              <w:tab w:val="left" w:pos="520"/>
              <w:tab w:val="right" w:pos="9100" w:leader="dot"/>
            </w:tabs>
            <w:spacing w:before="160" w:after="60"/>
          </w:pPr>
          <w:hyperlink w:anchor="_Toc900513" w:history="1">
            <w:r>
              <w:rPr>
                <w:b/>
                <w:bCs/>
                <w:sz w:val="24"/>
                <w:szCs w:val="24"/>
              </w:rPr>
              <w:t xml:space="preserve">5.</w:t>
              <w:tab/>
              <w:t xml:space="preserve">고찰</w:t>
              <w:tab/>
              <w:t xml:space="preserve"/>
            </w:r>
            <w:r>
              <w:rPr/>
              <w:fldChar w:fldCharType="begin"/>
            </w:r>
            <w:r>
              <w:rPr/>
              <w:instrText xml:space="preserve"> PAGEREF _Toc900513 \h </w:instrText>
            </w:r>
            <w:r>
              <w:rPr/>
              <w:fldChar w:fldCharType="separate"/>
            </w:r>
            <w:r>
              <w:rPr>
                <w:b/>
                <w:bCs/>
                <w:sz w:val="24"/>
                <w:szCs w:val="24"/>
              </w:rPr>
              <w:t xml:space="preserve">14</w:t>
            </w:r>
            <w:r>
              <w:rPr/>
              <w:fldChar w:fldCharType="end"/>
            </w:r>
          </w:hyperlink>
        </w:p>
        <w:p>
          <w:pPr>
            <w:pStyle w:val="2"/>
            <w:tabs>
              <w:tab w:val="left" w:pos="1000"/>
              <w:tab w:val="right" w:pos="9100" w:leader="dot"/>
            </w:tabs>
            <w:spacing w:before="0" w:after="40"/>
            <w:ind w:left="300"/>
          </w:pPr>
          <w:hyperlink w:anchor="_Toc900514" w:history="1">
            <w:r>
              <w:rPr>
                <w:sz w:val="22"/>
                <w:szCs w:val="22"/>
              </w:rPr>
              <w:t xml:space="preserve">5.1</w:t>
              <w:tab/>
              <w:t xml:space="preserve">기준을 맞추고 반복하는 이유</w:t>
              <w:tab/>
              <w:t xml:space="preserve"/>
            </w:r>
            <w:r>
              <w:rPr/>
              <w:fldChar w:fldCharType="begin"/>
            </w:r>
            <w:r>
              <w:rPr/>
              <w:instrText xml:space="preserve"> PAGEREF _Toc900514 \h </w:instrText>
            </w:r>
            <w:r>
              <w:rPr/>
              <w:fldChar w:fldCharType="separate"/>
            </w:r>
            <w:r>
              <w:rPr>
                <w:sz w:val="22"/>
                <w:szCs w:val="22"/>
              </w:rPr>
              <w:t xml:space="preserve">14</w:t>
            </w:r>
            <w:r>
              <w:rPr/>
              <w:fldChar w:fldCharType="end"/>
            </w:r>
          </w:hyperlink>
        </w:p>
        <w:p>
          <w:pPr>
            <w:pStyle w:val="2"/>
            <w:tabs>
              <w:tab w:val="left" w:pos="1000"/>
              <w:tab w:val="right" w:pos="9100" w:leader="dot"/>
            </w:tabs>
            <w:spacing w:before="0" w:after="40"/>
            <w:ind w:left="300"/>
          </w:pPr>
          <w:hyperlink w:anchor="_Toc900515" w:history="1">
            <w:r>
              <w:rPr>
                <w:sz w:val="22"/>
                <w:szCs w:val="22"/>
              </w:rPr>
              <w:t xml:space="preserve">5.2</w:t>
              <w:tab/>
              <w:t xml:space="preserve">보이지 않는 패턴과 빛</w:t>
              <w:tab/>
              <w:t xml:space="preserve"/>
            </w:r>
            <w:r>
              <w:rPr/>
              <w:fldChar w:fldCharType="begin"/>
            </w:r>
            <w:r>
              <w:rPr/>
              <w:instrText xml:space="preserve"> PAGEREF _Toc900515 \h </w:instrText>
            </w:r>
            <w:r>
              <w:rPr/>
              <w:fldChar w:fldCharType="separate"/>
            </w:r>
            <w:r>
              <w:rPr>
                <w:sz w:val="22"/>
                <w:szCs w:val="22"/>
              </w:rPr>
              <w:t xml:space="preserve">15</w:t>
            </w:r>
            <w:r>
              <w:rPr/>
              <w:fldChar w:fldCharType="end"/>
            </w:r>
          </w:hyperlink>
        </w:p>
        <w:p>
          <w:pPr>
            <w:pStyle w:val="2"/>
            <w:tabs>
              <w:tab w:val="left" w:pos="1000"/>
              <w:tab w:val="right" w:pos="9100" w:leader="dot"/>
            </w:tabs>
            <w:spacing w:before="0" w:after="40"/>
            <w:ind w:left="300"/>
          </w:pPr>
          <w:hyperlink w:anchor="_Toc900516" w:history="1">
            <w:r>
              <w:rPr>
                <w:sz w:val="22"/>
                <w:szCs w:val="22"/>
              </w:rPr>
              <w:t xml:space="preserve">5.3</w:t>
              <w:tab/>
              <w:t xml:space="preserve">멸균과 무균 유지의 차이</w:t>
              <w:tab/>
              <w:t xml:space="preserve"/>
            </w:r>
            <w:r>
              <w:rPr/>
              <w:fldChar w:fldCharType="begin"/>
            </w:r>
            <w:r>
              <w:rPr/>
              <w:instrText xml:space="preserve"> PAGEREF _Toc900516 \h </w:instrText>
            </w:r>
            <w:r>
              <w:rPr/>
              <w:fldChar w:fldCharType="separate"/>
            </w:r>
            <w:r>
              <w:rPr>
                <w:sz w:val="22"/>
                <w:szCs w:val="22"/>
              </w:rPr>
              <w:t xml:space="preserve">15</w:t>
            </w:r>
            <w:r>
              <w:rPr/>
              <w:fldChar w:fldCharType="end"/>
            </w:r>
          </w:hyperlink>
        </w:p>
        <w:p>
          <w:pPr>
            <w:pStyle w:val="2"/>
            <w:tabs>
              <w:tab w:val="left" w:pos="1000"/>
              <w:tab w:val="right" w:pos="9100" w:leader="dot"/>
            </w:tabs>
            <w:spacing w:before="0" w:after="40"/>
            <w:ind w:left="300"/>
          </w:pPr>
          <w:hyperlink w:anchor="_Toc900517" w:history="1">
            <w:r>
              <w:rPr>
                <w:sz w:val="22"/>
                <w:szCs w:val="22"/>
              </w:rPr>
              <w:t xml:space="preserve">5.4</w:t>
              <w:tab/>
              <w:t xml:space="preserve">한계와 보완할 점</w:t>
              <w:tab/>
              <w:t xml:space="preserve"/>
            </w:r>
            <w:r>
              <w:rPr/>
              <w:fldChar w:fldCharType="begin"/>
            </w:r>
            <w:r>
              <w:rPr/>
              <w:instrText xml:space="preserve"> PAGEREF _Toc900517 \h </w:instrText>
            </w:r>
            <w:r>
              <w:rPr/>
              <w:fldChar w:fldCharType="separate"/>
            </w:r>
            <w:r>
              <w:rPr>
                <w:sz w:val="22"/>
                <w:szCs w:val="22"/>
              </w:rPr>
              <w:t xml:space="preserve">15</w:t>
            </w:r>
            <w:r>
              <w:rPr/>
              <w:fldChar w:fldCharType="end"/>
            </w:r>
          </w:hyperlink>
        </w:p>
        <w:p>
          <w:pPr>
            <w:pStyle w:val="10"/>
            <w:tabs>
              <w:tab w:val="left" w:pos="520"/>
              <w:tab w:val="right" w:pos="9100" w:leader="dot"/>
            </w:tabs>
            <w:spacing w:before="160" w:after="60"/>
          </w:pPr>
          <w:hyperlink w:anchor="_Toc900518" w:history="1">
            <w:r>
              <w:rPr>
                <w:b/>
                <w:bCs/>
                <w:sz w:val="24"/>
                <w:szCs w:val="24"/>
              </w:rPr>
              <w:t xml:space="preserve">6.</w:t>
              <w:tab/>
              <w:t xml:space="preserve">결론</w:t>
              <w:tab/>
              <w:t xml:space="preserve"/>
            </w:r>
            <w:r>
              <w:rPr/>
              <w:fldChar w:fldCharType="begin"/>
            </w:r>
            <w:r>
              <w:rPr/>
              <w:instrText xml:space="preserve"> PAGEREF _Toc900518 \h </w:instrText>
            </w:r>
            <w:r>
              <w:rPr/>
              <w:fldChar w:fldCharType="separate"/>
            </w:r>
            <w:r>
              <w:rPr>
                <w:b/>
                <w:bCs/>
                <w:sz w:val="24"/>
                <w:szCs w:val="24"/>
              </w:rPr>
              <w:t xml:space="preserve">16</w:t>
            </w:r>
            <w:r>
              <w:rPr/>
              <w:fldChar w:fldCharType="end"/>
            </w:r>
          </w:hyperlink>
        </w:p>
        <w:p>
          <w:pPr>
            <w:pStyle w:val="10"/>
            <w:tabs>
              <w:tab w:val="left" w:pos="520"/>
              <w:tab w:val="right" w:pos="9100" w:leader="dot"/>
            </w:tabs>
            <w:spacing w:before="160" w:after="60"/>
          </w:pPr>
          <w:hyperlink w:anchor="_Toc900519" w:history="1">
            <w:r>
              <w:rPr>
                <w:b/>
                <w:bCs/>
                <w:sz w:val="24"/>
                <w:szCs w:val="24"/>
              </w:rPr>
              <w:t xml:space="preserve">7.</w:t>
              <w:tab/>
              <w:t xml:space="preserve">참고문헌</w:t>
              <w:tab/>
              <w:t xml:space="preserve"/>
            </w:r>
            <w:r>
              <w:rPr/>
              <w:fldChar w:fldCharType="begin"/>
            </w:r>
            <w:r>
              <w:rPr/>
              <w:instrText xml:space="preserve"> PAGEREF _Toc900519 \h </w:instrText>
            </w:r>
            <w:r>
              <w:rPr/>
              <w:fldChar w:fldCharType="separate"/>
            </w:r>
            <w:r>
              <w:rPr>
                <w:b/>
                <w:bCs/>
                <w:sz w:val="24"/>
                <w:szCs w:val="24"/>
              </w:rPr>
              <w:t xml:space="preserve">16</w:t>
            </w:r>
            <w:r>
              <w:rPr/>
              <w:fldChar w:fldCharType="end"/>
            </w:r>
          </w:hyperlink>
        </w:p>
        <w:p>
          <w:pPr>
            <w:spacing w:after="0"/>
          </w:pPr>
          <w:r>
            <w:rPr/>
            <w:fldChar w:fldCharType="end"/>
          </w:r>
        </w:p>
      </w:sdtContent>
    </w:sdt>
    <w:p>
      <w:pPr>
        <w:pStyle w:val="1"/>
        <w:keepNext/>
        <w:pageBreakBefore/>
        <w:spacing w:before="360" w:after="100"/>
        <w:ind w:left="0" w:firstLine="0"/>
      </w:pPr>
      <w:bookmarkStart w:id="501" w:name="_Toc900501"/>
      <w:r>
        <w:rPr>
          <w:b/>
          <w:bCs/>
          <w:sz w:val="28"/>
          <w:szCs w:val="28"/>
        </w:rPr>
        <w:t xml:space="preserve">1. 서론</w:t>
      </w:r>
      <w:bookmarkEnd w:id="501"/>
    </w:p>
    <w:p>
      <w:pPr>
        <w:pStyle w:val="NBSLH2"/>
        <w:keepNext/>
        <w:spacing w:before="240" w:after="100"/>
        <w:ind w:left="0" w:firstLine="0"/>
      </w:pPr>
      <w:bookmarkStart w:id="502" w:name="_Toc900502"/>
      <w:r>
        <w:rPr>
          <w:b/>
          <w:bCs/>
          <w:sz w:val="24"/>
          <w:szCs w:val="24"/>
        </w:rPr>
        <w:t xml:space="preserve">1.1 실습 목적</w:t>
      </w:r>
      <w:bookmarkEnd w:id="502"/>
    </w:p>
    <w:p>
      <w:pPr>
        <w:spacing w:after="100" w:line="300" w:lineRule="auto"/>
        <w:ind w:firstLine="200"/>
        <w:jc w:val="both"/>
      </w:pPr>
      <w:r>
        <w:rPr/>
        <w:t xml:space="preserve">2026년 10월 1일 실습에서는 연구실의 분석·공정 장비 여섯 가지를 다뤘다. 도립 현미경, 인장 시험기, 스핀 코터, UV 경화 챔버, 생물안전작업대(클린벤치), 오토클레이브다. 2회차에 익힌 피펫·저울·pH 미터가 재료의 양과 조건을 맞추는 도구였다면 이번 장비들은 시료에 구조를 입히고 그 형태와 강도를 확인하며 세포를 다룰 무균 환경을 갖추는 데 쓴다.</w:t>
      </w:r>
    </w:p>
    <w:p>
      <w:pPr>
        <w:spacing w:after="100" w:line="300" w:lineRule="auto"/>
        <w:ind w:firstLine="200"/>
        <w:jc w:val="both"/>
      </w:pPr>
      <w:r>
        <w:rPr/>
        <w:t xml:space="preserve">원래 한 시간 분량의 실습을 이번에는 두 시간으로 늘려 장비마다 시연과 질의응답을 거쳤다. 이 보고서는 장비마다 작동 원리를 먼저 정리하고 사용 순서와 주의점이 그 원리에서 어떻게 나오는지 설명한다. 사진은 실습 중에 찍은 사진과 영상 캡처에서 골랐다.</w:t>
      </w:r>
    </w:p>
    <w:p>
      <w:pPr>
        <w:pStyle w:val="NBSLH2"/>
        <w:keepNext/>
        <w:spacing w:before="240" w:after="100"/>
        <w:ind w:left="0" w:firstLine="0"/>
      </w:pPr>
      <w:bookmarkStart w:id="503" w:name="_Toc900503"/>
      <w:r>
        <w:rPr>
          <w:b/>
          <w:bCs/>
          <w:sz w:val="24"/>
          <w:szCs w:val="24"/>
        </w:rPr>
        <w:t xml:space="preserve">1.2 장비 구성과 흐름</w:t>
      </w:r>
      <w:bookmarkEnd w:id="503"/>
    </w:p>
    <w:p>
      <w:pPr>
        <w:keepNext/>
        <w:spacing w:after="100" w:line="300" w:lineRule="auto"/>
        <w:ind w:firstLine="200"/>
        <w:jc w:val="both"/>
      </w:pPr>
      <w:r>
        <w:rPr/>
        <w:t xml:space="preserve">이 보고서는 여섯 장비를 쓰임새에 따라 세 묶음으로 정리했다(수업에서 나눈 분류는 아니다). UV 경화 챔버와 스핀 코터는 패턴과 코팅을 만드는 장비이고 현미경과 인장 시험기는 만든 시료의 형태와 기계적 강도를 확인하는 장비다. 오토클레이브와 생물안전작업대는 세포 실험에 앞서 기구를 멸균하고 작업 중 오염을 막는다. 장비별 모델과 핵심 원리는 표 1-1에 정리했다.</w:t>
      </w:r>
    </w:p>
    <w:p>
      <w:pPr>
        <w:keepNext/>
        <w:spacing w:before="160" w:after="80"/>
        <w:jc w:val="center"/>
      </w:pPr>
      <w:r>
        <w:rPr>
          <w:sz w:val="19"/>
          <w:szCs w:val="19"/>
        </w:rPr>
        <w:t xml:space="preserve">표 1-1. 실습 장비의 용도와 핵심 원리</w:t>
      </w:r>
    </w:p>
    <w:tbl>
      <w:tblPr>
        <w:tblStyle w:val="a3"/>
        <w:tblW w:w="9144" w:type="dxa"/>
        <w:jc w:val="center"/>
        <w:tblLayout w:type="fixed"/>
        <w:tblCellMar>
          <w:top w:w="40" w:type="dxa"/>
          <w:left w:w="90" w:type="dxa"/>
          <w:bottom w:w="40" w:type="dxa"/>
          <w:right w:w="90" w:type="dxa"/>
        </w:tblCellMar>
      </w:tblPr>
      <w:tblGrid>
        <w:gridCol w:w="2150"/>
        <w:gridCol w:w="2450"/>
        <w:gridCol w:w="4544"/>
      </w:tblGrid>
      <w:tr>
        <w:trPr>
          <w:cantSplit/>
          <w:tblHeader/>
        </w:trPr>
        <w:tc>
          <w:tcPr>
            <w:tcW w:w="2150" w:type="dxa"/>
            <w:shd w:val="clear" w:color="auto" w:fill="E7EEF6"/>
            <w:vAlign w:val="center"/>
          </w:tcPr>
          <w:p>
            <w:pPr>
              <w:keepNext/>
              <w:spacing w:after="0" w:line="260" w:lineRule="auto"/>
              <w:jc w:val="center"/>
            </w:pPr>
            <w:r>
              <w:rPr>
                <w:b/>
                <w:bCs/>
                <w:sz w:val="19"/>
                <w:szCs w:val="19"/>
              </w:rPr>
              <w:t xml:space="preserve">장비 (모델)</w:t>
            </w:r>
          </w:p>
        </w:tc>
        <w:tc>
          <w:tcPr>
            <w:tcW w:w="2450" w:type="dxa"/>
            <w:shd w:val="clear" w:color="auto" w:fill="E7EEF6"/>
            <w:vAlign w:val="center"/>
          </w:tcPr>
          <w:p>
            <w:pPr>
              <w:keepNext/>
              <w:spacing w:after="0" w:line="260" w:lineRule="auto"/>
              <w:jc w:val="center"/>
            </w:pPr>
            <w:r>
              <w:rPr>
                <w:b/>
                <w:bCs/>
                <w:sz w:val="19"/>
                <w:szCs w:val="19"/>
              </w:rPr>
              <w:t xml:space="preserve">용도</w:t>
            </w:r>
          </w:p>
        </w:tc>
        <w:tc>
          <w:tcPr>
            <w:tcW w:w="4544" w:type="dxa"/>
            <w:shd w:val="clear" w:color="auto" w:fill="E7EEF6"/>
            <w:vAlign w:val="center"/>
          </w:tcPr>
          <w:p>
            <w:pPr>
              <w:keepNext/>
              <w:spacing w:after="0" w:line="260" w:lineRule="auto"/>
              <w:jc w:val="center"/>
            </w:pPr>
            <w:r>
              <w:rPr>
                <w:b/>
                <w:bCs/>
                <w:sz w:val="19"/>
                <w:szCs w:val="19"/>
              </w:rPr>
              <w:t xml:space="preserve">핵심 원리</w:t>
            </w:r>
          </w:p>
        </w:tc>
      </w:tr>
      <w:tr>
        <w:trPr>
          <w:cantSplit/>
        </w:trPr>
        <w:tc>
          <w:tcPr>
            <w:tcW w:w="2150" w:type="dxa"/>
            <w:vAlign w:val="center"/>
          </w:tcPr>
          <w:p>
            <w:pPr>
              <w:keepNext/>
              <w:spacing w:after="0" w:line="260" w:lineRule="auto"/>
              <w:jc w:val="center"/>
            </w:pPr>
            <w:r>
              <w:rPr>
                <w:sz w:val="19"/>
                <w:szCs w:val="19"/>
              </w:rPr>
              <w:t xml:space="preserve">도립 현미경 (ZEISS Axio Vert.A1)</w:t>
            </w:r>
          </w:p>
        </w:tc>
        <w:tc>
          <w:tcPr>
            <w:tcW w:w="2450" w:type="dxa"/>
            <w:vAlign w:val="center"/>
          </w:tcPr>
          <w:p>
            <w:pPr>
              <w:keepNext/>
              <w:spacing w:after="0" w:line="260" w:lineRule="auto"/>
              <w:jc w:val="left"/>
            </w:pPr>
            <w:r>
              <w:rPr>
                <w:sz w:val="19"/>
                <w:szCs w:val="19"/>
              </w:rPr>
              <w:t xml:space="preserve">배양 용기 속 세포·패턴 관찰과 촬영</w:t>
            </w:r>
          </w:p>
        </w:tc>
        <w:tc>
          <w:tcPr>
            <w:tcW w:w="4544" w:type="dxa"/>
            <w:vAlign w:val="center"/>
          </w:tcPr>
          <w:p>
            <w:pPr>
              <w:keepNext/>
              <w:spacing w:after="0" w:line="260" w:lineRule="auto"/>
              <w:jc w:val="left"/>
            </w:pPr>
            <w:r>
              <w:rPr>
                <w:sz w:val="19"/>
                <w:szCs w:val="19"/>
              </w:rPr>
              <w:t xml:space="preserve">대물렌즈가 재물대 아래에 있어 용기 바닥의 시료를 본다. 분해능은 빛의 파장과 개구수(NA)로 정해진다</w:t>
            </w:r>
          </w:p>
        </w:tc>
      </w:tr>
      <w:tr>
        <w:trPr>
          <w:cantSplit/>
        </w:trPr>
        <w:tc>
          <w:tcPr>
            <w:tcW w:w="2150" w:type="dxa"/>
            <w:vAlign w:val="center"/>
          </w:tcPr>
          <w:p>
            <w:pPr>
              <w:keepNext/>
              <w:spacing w:after="0" w:line="260" w:lineRule="auto"/>
              <w:jc w:val="center"/>
            </w:pPr>
            <w:r>
              <w:rPr>
                <w:sz w:val="19"/>
                <w:szCs w:val="19"/>
              </w:rPr>
              <w:t xml:space="preserve">인장 시험기 (A&amp;D MCT-1150)</w:t>
            </w:r>
          </w:p>
        </w:tc>
        <w:tc>
          <w:tcPr>
            <w:tcW w:w="2450" w:type="dxa"/>
            <w:vAlign w:val="center"/>
          </w:tcPr>
          <w:p>
            <w:pPr>
              <w:keepNext/>
              <w:spacing w:after="0" w:line="260" w:lineRule="auto"/>
              <w:jc w:val="left"/>
            </w:pPr>
            <w:r>
              <w:rPr>
                <w:sz w:val="19"/>
                <w:szCs w:val="19"/>
              </w:rPr>
              <w:t xml:space="preserve">시료의 인장 강도 측정</w:t>
            </w:r>
          </w:p>
        </w:tc>
        <w:tc>
          <w:tcPr>
            <w:tcW w:w="4544" w:type="dxa"/>
            <w:vAlign w:val="center"/>
          </w:tcPr>
          <w:p>
            <w:pPr>
              <w:keepNext/>
              <w:spacing w:after="0" w:line="260" w:lineRule="auto"/>
              <w:jc w:val="left"/>
            </w:pPr>
            <w:r>
              <w:rPr>
                <w:sz w:val="19"/>
                <w:szCs w:val="19"/>
              </w:rPr>
              <w:t xml:space="preserve">일정 속도로 당기며 하중과 늘어난 길이를 기록한다. 응력 = 하중 ÷ 처음 단면적</w:t>
            </w:r>
          </w:p>
        </w:tc>
      </w:tr>
      <w:tr>
        <w:trPr>
          <w:cantSplit/>
        </w:trPr>
        <w:tc>
          <w:tcPr>
            <w:tcW w:w="2150" w:type="dxa"/>
            <w:vAlign w:val="center"/>
          </w:tcPr>
          <w:p>
            <w:pPr>
              <w:keepNext/>
              <w:spacing w:after="0" w:line="260" w:lineRule="auto"/>
              <w:jc w:val="center"/>
            </w:pPr>
            <w:r>
              <w:rPr>
                <w:sz w:val="19"/>
                <w:szCs w:val="19"/>
              </w:rPr>
              <w:t xml:space="preserve">스핀 코터 (ACE-200)</w:t>
            </w:r>
          </w:p>
        </w:tc>
        <w:tc>
          <w:tcPr>
            <w:tcW w:w="2450" w:type="dxa"/>
            <w:vAlign w:val="center"/>
          </w:tcPr>
          <w:p>
            <w:pPr>
              <w:keepNext/>
              <w:spacing w:after="0" w:line="260" w:lineRule="auto"/>
              <w:jc w:val="left"/>
            </w:pPr>
            <w:r>
              <w:rPr>
                <w:sz w:val="19"/>
                <w:szCs w:val="19"/>
              </w:rPr>
              <w:t xml:space="preserve">패치 위 얇고 고른 코팅</w:t>
            </w:r>
          </w:p>
        </w:tc>
        <w:tc>
          <w:tcPr>
            <w:tcW w:w="4544" w:type="dxa"/>
            <w:vAlign w:val="center"/>
          </w:tcPr>
          <w:p>
            <w:pPr>
              <w:keepNext/>
              <w:spacing w:after="0" w:line="260" w:lineRule="auto"/>
              <w:jc w:val="left"/>
            </w:pPr>
            <w:r>
              <w:rPr>
                <w:sz w:val="19"/>
                <w:szCs w:val="19"/>
              </w:rPr>
              <w:t xml:space="preserve">회전으로 용액이 퍼지고 남는 용액이 날아간 뒤 용매가 증발한다. 두께는 회전 속도의 제곱근에 반비례</w:t>
            </w:r>
          </w:p>
        </w:tc>
      </w:tr>
      <w:tr>
        <w:trPr>
          <w:cantSplit/>
        </w:trPr>
        <w:tc>
          <w:tcPr>
            <w:tcW w:w="2150" w:type="dxa"/>
            <w:vAlign w:val="center"/>
          </w:tcPr>
          <w:p>
            <w:pPr>
              <w:keepNext/>
              <w:spacing w:after="0" w:line="260" w:lineRule="auto"/>
              <w:jc w:val="center"/>
            </w:pPr>
            <w:r>
              <w:rPr>
                <w:sz w:val="19"/>
                <w:szCs w:val="19"/>
              </w:rPr>
              <w:t xml:space="preserve">UV 경화 챔버 (UV-A Curing Chamber)</w:t>
            </w:r>
          </w:p>
        </w:tc>
        <w:tc>
          <w:tcPr>
            <w:tcW w:w="2450" w:type="dxa"/>
            <w:vAlign w:val="center"/>
          </w:tcPr>
          <w:p>
            <w:pPr>
              <w:keepNext/>
              <w:spacing w:after="0" w:line="260" w:lineRule="auto"/>
              <w:jc w:val="left"/>
            </w:pPr>
            <w:r>
              <w:rPr>
                <w:sz w:val="19"/>
                <w:szCs w:val="19"/>
              </w:rPr>
              <w:t xml:space="preserve">UV 경화성 수지를 굳혀 패턴 고정</w:t>
            </w:r>
          </w:p>
        </w:tc>
        <w:tc>
          <w:tcPr>
            <w:tcW w:w="4544" w:type="dxa"/>
            <w:vAlign w:val="center"/>
          </w:tcPr>
          <w:p>
            <w:pPr>
              <w:keepNext/>
              <w:spacing w:after="0" w:line="260" w:lineRule="auto"/>
              <w:jc w:val="left"/>
            </w:pPr>
            <w:r>
              <w:rPr>
                <w:sz w:val="19"/>
                <w:szCs w:val="19"/>
              </w:rPr>
              <w:t xml:space="preserve">광개시제가 UV를 흡수해 반응성 물질을 만들고 단량체가 중합·가교해 굳는다</w:t>
            </w:r>
          </w:p>
        </w:tc>
      </w:tr>
      <w:tr>
        <w:trPr>
          <w:cantSplit/>
        </w:trPr>
        <w:tc>
          <w:tcPr>
            <w:tcW w:w="2150" w:type="dxa"/>
            <w:vAlign w:val="center"/>
          </w:tcPr>
          <w:p>
            <w:pPr>
              <w:keepNext/>
              <w:spacing w:after="0" w:line="260" w:lineRule="auto"/>
              <w:jc w:val="center"/>
            </w:pPr>
            <w:r>
              <w:rPr>
                <w:sz w:val="19"/>
                <w:szCs w:val="19"/>
              </w:rPr>
              <w:t xml:space="preserve">생물안전작업대 (BSC Class II Type A2)</w:t>
            </w:r>
          </w:p>
        </w:tc>
        <w:tc>
          <w:tcPr>
            <w:tcW w:w="2450" w:type="dxa"/>
            <w:vAlign w:val="center"/>
          </w:tcPr>
          <w:p>
            <w:pPr>
              <w:keepNext/>
              <w:spacing w:after="0" w:line="260" w:lineRule="auto"/>
              <w:jc w:val="left"/>
            </w:pPr>
            <w:r>
              <w:rPr>
                <w:sz w:val="19"/>
                <w:szCs w:val="19"/>
              </w:rPr>
              <w:t xml:space="preserve">세포 실험용 무균 작업 공간</w:t>
            </w:r>
          </w:p>
        </w:tc>
        <w:tc>
          <w:tcPr>
            <w:tcW w:w="4544" w:type="dxa"/>
            <w:vAlign w:val="center"/>
          </w:tcPr>
          <w:p>
            <w:pPr>
              <w:keepNext/>
              <w:spacing w:after="0" w:line="260" w:lineRule="auto"/>
              <w:jc w:val="left"/>
            </w:pPr>
            <w:r>
              <w:rPr>
                <w:sz w:val="19"/>
                <w:szCs w:val="19"/>
              </w:rPr>
              <w:t xml:space="preserve">HEPA로 거른 공기 흐름으로 오염을 막는다. 클린벤치는 시료만, BSC는 시료·작업자·환경을 보호</w:t>
            </w:r>
          </w:p>
        </w:tc>
      </w:tr>
      <w:tr>
        <w:trPr>
          <w:cantSplit/>
        </w:trPr>
        <w:tc>
          <w:tcPr>
            <w:tcW w:w="2150" w:type="dxa"/>
            <w:vAlign w:val="center"/>
          </w:tcPr>
          <w:p>
            <w:pPr>
              <w:spacing w:after="0" w:line="260" w:lineRule="auto"/>
              <w:jc w:val="center"/>
            </w:pPr>
            <w:r>
              <w:rPr>
                <w:sz w:val="19"/>
                <w:szCs w:val="19"/>
              </w:rPr>
              <w:t xml:space="preserve">오토클레이브 (DAIHAN Scientific)</w:t>
            </w:r>
          </w:p>
        </w:tc>
        <w:tc>
          <w:tcPr>
            <w:tcW w:w="2450" w:type="dxa"/>
            <w:vAlign w:val="center"/>
          </w:tcPr>
          <w:p>
            <w:pPr>
              <w:spacing w:after="0" w:line="260" w:lineRule="auto"/>
              <w:jc w:val="left"/>
            </w:pPr>
            <w:r>
              <w:rPr>
                <w:sz w:val="19"/>
                <w:szCs w:val="19"/>
              </w:rPr>
              <w:t xml:space="preserve">기구·용액 멸균</w:t>
            </w:r>
          </w:p>
        </w:tc>
        <w:tc>
          <w:tcPr>
            <w:tcW w:w="4544" w:type="dxa"/>
            <w:vAlign w:val="center"/>
          </w:tcPr>
          <w:p>
            <w:pPr>
              <w:spacing w:after="0" w:line="260" w:lineRule="auto"/>
              <w:jc w:val="left"/>
            </w:pPr>
            <w:r>
              <w:rPr>
                <w:sz w:val="19"/>
                <w:szCs w:val="19"/>
              </w:rPr>
              <w:t xml:space="preserve">압력으로 끓는점을 올린 포화 증기(121 °C)가 미생물 단백질을 응고·변성시킨다</w:t>
            </w:r>
          </w:p>
        </w:tc>
      </w:tr>
    </w:tbl>
    <w:p>
      <w:pPr>
        <w:spacing w:after="60" w:line="240" w:lineRule="auto"/>
      </w:pPr>
    </w:p>
    <w:p>
      <w:pPr>
        <w:pStyle w:val="1"/>
        <w:keepNext/>
        <w:spacing w:before="360" w:after="100"/>
        <w:ind w:left="0" w:firstLine="0"/>
      </w:pPr>
      <w:bookmarkStart w:id="504" w:name="_Toc900504"/>
      <w:r>
        <w:rPr>
          <w:b/>
          <w:bCs/>
          <w:sz w:val="28"/>
          <w:szCs w:val="28"/>
        </w:rPr>
        <w:t xml:space="preserve">2. 공통 안전 수칙과 무균 관리</w:t>
      </w:r>
      <w:bookmarkEnd w:id="504"/>
    </w:p>
    <w:p>
      <w:pPr>
        <w:spacing w:after="100" w:line="300" w:lineRule="auto"/>
        <w:ind w:firstLine="200"/>
        <w:jc w:val="both"/>
      </w:pPr>
      <w:r>
        <w:rPr/>
        <w:t xml:space="preserve">수업에서 모든 장비에 공통으로 강조한 순서는 장비 전원을 먼저 켜고 그다음 제어 프로그램을 실행하는 것이다. 인장 시험기와 현미경 카메라처럼 PC 프로그램으로 다루는 장비는 장비가 먼저 켜져 있어야 프로그램이 장비를 인식하기 때문으로 보인다.</w:t>
      </w:r>
    </w:p>
    <w:p>
      <w:pPr>
        <w:spacing w:after="100" w:line="300" w:lineRule="auto"/>
        <w:ind w:firstLine="200"/>
        <w:jc w:val="both"/>
      </w:pPr>
      <w:r>
        <w:rPr/>
        <w:t xml:space="preserve">세포 실험은 항상 무균 상태에서 한다. 다른 세포나 미생물, 먼지가 섞이면 관찰한 변화가 실험한 세포의 반응인지 오염 때문인지 구분할 수 없다. 실습한 세포 실험실에는 생물안전작업대와 인큐베이터, CO₂ 가스통, 의료폐기물 전용 용기가 따로 갖춰져 있었다.</w:t>
      </w:r>
    </w:p>
    <w:p>
      <w:pPr>
        <w:spacing w:after="100" w:line="300" w:lineRule="auto"/>
        <w:ind w:firstLine="200"/>
        <w:jc w:val="both"/>
      </w:pPr>
      <w:r>
        <w:rPr/>
        <w:t xml:space="preserve">UV 경화 챔버와 작업대의 살균 램프처럼 UV를 쓰는 장비는 늘 조심해서 다룬다. UV는 피부 깊은 층까지 들어가 손상을 일으킬 수 있고 [1] 작업대의 UV 램프는 켠 채로 작업하지 않는다 [2].</w:t>
      </w:r>
    </w:p>
    <w:p>
      <w:pPr>
        <w:pStyle w:val="1"/>
        <w:keepNext/>
        <w:spacing w:before="360" w:after="100"/>
        <w:ind w:left="0" w:firstLine="0"/>
      </w:pPr>
      <w:bookmarkStart w:id="505" w:name="_Toc900505"/>
      <w:r>
        <w:rPr>
          <w:b/>
          <w:bCs/>
          <w:sz w:val="28"/>
          <w:szCs w:val="28"/>
        </w:rPr>
        <w:t xml:space="preserve">3. 장비별 원리와 사용법</w:t>
      </w:r>
      <w:bookmarkEnd w:id="505"/>
    </w:p>
    <w:p>
      <w:pPr>
        <w:pStyle w:val="NBSLH2"/>
        <w:keepNext/>
        <w:spacing w:before="240" w:after="100"/>
        <w:ind w:left="0" w:firstLine="0"/>
      </w:pPr>
      <w:bookmarkStart w:id="506" w:name="_Toc900506"/>
      <w:r>
        <w:rPr>
          <w:b/>
          <w:bCs/>
          <w:sz w:val="24"/>
          <w:szCs w:val="24"/>
        </w:rPr>
        <w:t xml:space="preserve">3.1 도립 현미경</w:t>
      </w:r>
      <w:bookmarkEnd w:id="506"/>
    </w:p>
    <w:p>
      <w:pPr>
        <w:pStyle w:val="NBSLH3"/>
        <w:keepNext/>
        <w:spacing w:before="160" w:after="60"/>
        <w:ind w:left="0" w:firstLine="0"/>
      </w:pPr>
      <w:r>
        <w:rPr>
          <w:b/>
          <w:bCs/>
          <w:sz w:val="22"/>
          <w:szCs w:val="22"/>
        </w:rPr>
        <w:t xml:space="preserve">3.1.1 원리</w:t>
      </w:r>
    </w:p>
    <w:p>
      <w:pPr>
        <w:spacing w:after="100" w:line="300" w:lineRule="auto"/>
        <w:ind w:firstLine="200"/>
        <w:jc w:val="both"/>
      </w:pPr>
      <w:r>
        <w:rPr/>
        <w:t xml:space="preserve">실습에 쓴 ZEISS Axio Vert.A1은 대물렌즈가 재물대 아래에 있고 조명이 위에서 내려오는 도립(inverted) 현미경이다. 제조사 매뉴얼은 이 장비를 배양병, 페트리 접시, 마이크로플레이트에 담긴 세포와 조직을 보기 위한 현미경으로 설명한다 [3]. 세포는 배양 용기 바닥에 붙어 자라므로 렌즈가 아래에 있으면 세포를 꺼내지 않고 용기째 올려놓고 관찰할 수 있다(그림 3-1 (a)). 세포 실험실 가까이에 도립 현미경을 두는 것도 이 때문으로 보인다.</w:t>
      </w:r>
    </w:p>
    <w:p>
      <w:pPr>
        <w:keepNext/>
        <w:spacing w:before="120" w:after="40"/>
        <w:jc w:val="center"/>
      </w:pPr>
      <w:r>
        <w:drawing>
          <wp:inline xmlns:a="http://schemas.openxmlformats.org/drawingml/2006/main" xmlns:pic="http://schemas.openxmlformats.org/drawingml/2006/picture">
            <wp:extent cx="5715000" cy="2558142"/>
            <wp:docPr id="101" name="Picture 101"/>
            <wp:cNvGraphicFramePr>
              <a:graphicFrameLocks noChangeAspect="1"/>
            </wp:cNvGraphicFramePr>
            <a:graphic>
              <a:graphicData uri="http://schemas.openxmlformats.org/drawingml/2006/picture">
                <pic:pic>
                  <pic:nvPicPr>
                    <pic:cNvPr id="0" name="f_micro.png"/>
                    <pic:cNvPicPr/>
                  </pic:nvPicPr>
                  <pic:blipFill>
                    <a:blip r:embed="rId14"/>
                    <a:stretch>
                      <a:fillRect/>
                    </a:stretch>
                  </pic:blipFill>
                  <pic:spPr>
                    <a:xfrm>
                      <a:off x="0" y="0"/>
                      <a:ext cx="5715000" cy="2558142"/>
                    </a:xfrm>
                    <a:prstGeom prst="rect"/>
                  </pic:spPr>
                </pic:pic>
              </a:graphicData>
            </a:graphic>
          </wp:inline>
        </w:drawing>
      </w:r>
    </w:p>
    <w:p>
      <w:pPr>
        <w:keepLines/>
        <w:spacing w:after="200"/>
        <w:jc w:val="center"/>
      </w:pPr>
      <w:r>
        <w:rPr>
          <w:sz w:val="19"/>
          <w:szCs w:val="19"/>
        </w:rPr>
        <w:t xml:space="preserve">그림 3-1. 도립 현미경의 광 경로와 개구수에 따른 분해능 (개념도, λ = 550 nm 계산값)</w:t>
      </w:r>
    </w:p>
    <w:p>
      <w:pPr>
        <w:spacing w:after="100" w:line="300" w:lineRule="auto"/>
        <w:ind w:firstLine="200"/>
        <w:jc w:val="both"/>
      </w:pPr>
      <w:r>
        <w:rPr/>
        <w:t xml:space="preserve">현미경이 두 점을 따로 구분할 수 있는 가장 짧은 거리를 분해능이라고 한다. 분해능은 배율이 아니라 빛의 파장 λ와 대물렌즈의 개구수 NA로 정해지며 r = 0.61λ/NA로 나타낸다 [4]. 초록빛(550 nm)과 개구수가 가장 큰 렌즈(NA 1.40)를 써도 r은 약 0.24 µm여서 가시광 현미경의 한계는 0.2 µm 수준이다 [4]. 실습 렌즈의 개구수는 확인하지 못했으나 저배율 렌즈의 예로 NA 0.25를 넣으면 r은 약 1.3 µm로 커진다(그림 3-1 (b)). 배율을 높이면 상은 커지지만 분해능보다 작은 구조는 흐린 점으로 합쳐질 뿐 형태가 드러나지 않는다. 수업에서 나노 패턴은 이 현미경으로 잘 보이지 않는다고 한 설명이 이 한계에서 나온다.</w:t>
      </w:r>
    </w:p>
    <w:p>
      <w:pPr>
        <w:pStyle w:val="NBSLH3"/>
        <w:keepNext/>
        <w:spacing w:before="160" w:after="60"/>
        <w:ind w:left="0" w:firstLine="0"/>
      </w:pPr>
      <w:r>
        <w:rPr>
          <w:b/>
          <w:bCs/>
          <w:sz w:val="22"/>
          <w:szCs w:val="22"/>
        </w:rPr>
        <w:t xml:space="preserve">3.1.2 구성과 사용 순서</w:t>
      </w:r>
    </w:p>
    <w:p>
      <w:pPr>
        <w:spacing w:after="100" w:line="300" w:lineRule="auto"/>
        <w:ind w:firstLine="200"/>
        <w:jc w:val="both"/>
      </w:pPr>
      <w:r>
        <w:rPr/>
        <w:t xml:space="preserve">대물렌즈는 재물대 아래의 회전판에 여러 개가 달려 있다. 수업에서는 빨간 띠가 있는 저배율(×5)부터 ×10, ×20, ×40 순으로 소개했고 이번 관찰은 ×10에서 했다. 렌즈 몸통의 색 띠로 배율을 표시하는 관례가 있어 Nikon의 경우 4×는 빨강, 10×는 노랑, 20×는 초록, 40×는 하늘색이다 [5]. 본체 오른쪽에는 카메라가 달려 있고 케이블로 PC와 이어져 프로그램에서 상을 촬영한다(그림 3-2).</w:t>
      </w:r>
    </w:p>
    <w:p>
      <w:pPr>
        <w:tabs>
          <w:tab w:val="left" w:pos="600"/>
        </w:tabs>
        <w:spacing w:after="30" w:line="290" w:lineRule="auto"/>
        <w:ind w:left="600" w:hanging="340"/>
        <w:jc w:val="both"/>
      </w:pPr>
      <w:r>
        <w:rPr/>
        <w:t xml:space="preserve">1.</w:t>
        <w:tab/>
        <w:t xml:space="preserve">장비 전원을 켜고 카메라 프로그램을 실행한다.</w:t>
      </w:r>
    </w:p>
    <w:p>
      <w:pPr>
        <w:tabs>
          <w:tab w:val="left" w:pos="600"/>
        </w:tabs>
        <w:spacing w:after="30" w:line="290" w:lineRule="auto"/>
        <w:ind w:left="600" w:hanging="340"/>
        <w:jc w:val="both"/>
      </w:pPr>
      <w:r>
        <w:rPr/>
        <w:t xml:space="preserve">2.</w:t>
        <w:tab/>
        <w:t xml:space="preserve">관찰할 시료를 담은 플레이트나 슬라이드를 재물대에 올린다.</w:t>
      </w:r>
    </w:p>
    <w:p>
      <w:pPr>
        <w:tabs>
          <w:tab w:val="left" w:pos="600"/>
        </w:tabs>
        <w:spacing w:after="30" w:line="290" w:lineRule="auto"/>
        <w:ind w:left="600" w:hanging="340"/>
        <w:jc w:val="both"/>
      </w:pPr>
      <w:r>
        <w:rPr/>
        <w:t xml:space="preserve">3.</w:t>
        <w:tab/>
        <w:t xml:space="preserve">회전판을 돌려 대물렌즈 배율을 고른다.</w:t>
      </w:r>
    </w:p>
    <w:p>
      <w:pPr>
        <w:tabs>
          <w:tab w:val="left" w:pos="600"/>
        </w:tabs>
        <w:spacing w:after="30" w:line="290" w:lineRule="auto"/>
        <w:ind w:left="600" w:hanging="340"/>
        <w:jc w:val="both"/>
      </w:pPr>
      <w:r>
        <w:rPr/>
        <w:t xml:space="preserve">4.</w:t>
        <w:tab/>
        <w:t xml:space="preserve">조동나사로 상을 대략 찾고 미동나사로 초점을 정확히 맞춘다.</w:t>
      </w:r>
    </w:p>
    <w:p>
      <w:pPr>
        <w:tabs>
          <w:tab w:val="left" w:pos="600"/>
        </w:tabs>
        <w:spacing w:after="30" w:line="290" w:lineRule="auto"/>
        <w:ind w:left="600" w:hanging="340"/>
        <w:jc w:val="both"/>
      </w:pPr>
      <w:r>
        <w:rPr/>
        <w:t xml:space="preserve">5.</w:t>
        <w:tab/>
        <w:t xml:space="preserve">광량 조절 손잡이로 빛의 세기를 맞춘다.</w:t>
      </w:r>
    </w:p>
    <w:p>
      <w:pPr>
        <w:tabs>
          <w:tab w:val="left" w:pos="600"/>
        </w:tabs>
        <w:spacing w:after="120" w:line="290" w:lineRule="auto"/>
        <w:ind w:left="600" w:hanging="340"/>
        <w:jc w:val="both"/>
      </w:pPr>
      <w:r>
        <w:rPr/>
        <w:t xml:space="preserve">6.</w:t>
        <w:tab/>
        <w:t xml:space="preserve">프로그램에서 상을 촬영해 저장한다.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4066" w:type="dxa"/>
              <w:jc w:val="center"/>
              <w:tblBorders>
                <w:top w:val="nil"/>
                <w:left w:val="nil"/>
                <w:bottom w:val="nil"/>
                <w:right w:val="nil"/>
                <w:insideH w:val="nil"/>
                <w:insideV w:val="nil"/>
              </w:tblBorders>
              <w:tblLayout w:type="fixed"/>
              <w:tblCellMar>
                <w:left w:w="60" w:type="dxa"/>
                <w:right w:w="60" w:type="dxa"/>
              </w:tblCellMar>
            </w:tblPr>
            <w:tblGrid>
              <w:gridCol w:w="2033"/>
              <w:gridCol w:w="2033"/>
            </w:tblGrid>
            <w:tr>
              <w:trPr>
                <w:cantSplit/>
              </w:trPr>
              <w:tc>
                <w:tcPr>
                  <w:tcW w:w="2033" w:type="dxa"/>
                  <w:vAlign w:val="bottom"/>
                </w:tcPr>
                <w:p>
                  <w:pPr>
                    <w:spacing w:after="20" w:line="240" w:lineRule="auto"/>
                    <w:jc w:val="center"/>
                  </w:pPr>
                  <w:r>
                    <w:drawing>
                      <wp:inline xmlns:a="http://schemas.openxmlformats.org/drawingml/2006/main" xmlns:pic="http://schemas.openxmlformats.org/drawingml/2006/picture">
                        <wp:extent cx="1215000" cy="2160000"/>
                        <wp:docPr id="102" name="Picture 102"/>
                        <wp:cNvGraphicFramePr>
                          <a:graphicFrameLocks noChangeAspect="1"/>
                        </wp:cNvGraphicFramePr>
                        <a:graphic>
                          <a:graphicData uri="http://schemas.openxmlformats.org/drawingml/2006/picture">
                            <pic:pic>
                              <pic:nvPicPr>
                                <pic:cNvPr id="0" name="02_microscope_full.jpg"/>
                                <pic:cNvPicPr/>
                              </pic:nvPicPr>
                              <pic:blipFill>
                                <a:blip r:embed="rId15"/>
                                <a:stretch>
                                  <a:fillRect/>
                                </a:stretch>
                              </pic:blipFill>
                              <pic:spPr>
                                <a:xfrm>
                                  <a:off x="0" y="0"/>
                                  <a:ext cx="1215000" cy="2160000"/>
                                </a:xfrm>
                                <a:prstGeom prst="rect"/>
                              </pic:spPr>
                            </pic:pic>
                          </a:graphicData>
                        </a:graphic>
                      </wp:inline>
                    </w:drawing>
                  </w:r>
                </w:p>
                <w:p>
                  <w:pPr>
                    <w:spacing w:after="0" w:line="240" w:lineRule="auto"/>
                    <w:jc w:val="center"/>
                  </w:pPr>
                  <w:r>
                    <w:rPr>
                      <w:sz w:val="17"/>
                      <w:szCs w:val="17"/>
                    </w:rPr>
                    <w:t xml:space="preserve">(a) 현미경과 카메라</w:t>
                  </w:r>
                </w:p>
              </w:tc>
              <w:tc>
                <w:tcPr>
                  <w:tcW w:w="2033" w:type="dxa"/>
                  <w:vAlign w:val="bottom"/>
                </w:tcPr>
                <w:p>
                  <w:pPr>
                    <w:spacing w:after="20" w:line="240" w:lineRule="auto"/>
                    <w:jc w:val="center"/>
                  </w:pPr>
                  <w:r>
                    <w:drawing>
                      <wp:inline xmlns:a="http://schemas.openxmlformats.org/drawingml/2006/main" xmlns:pic="http://schemas.openxmlformats.org/drawingml/2006/picture">
                        <wp:extent cx="1215000" cy="2160000"/>
                        <wp:docPr id="103" name="Picture 103"/>
                        <wp:cNvGraphicFramePr>
                          <a:graphicFrameLocks noChangeAspect="1"/>
                        </wp:cNvGraphicFramePr>
                        <a:graphic>
                          <a:graphicData uri="http://schemas.openxmlformats.org/drawingml/2006/picture">
                            <pic:pic>
                              <pic:nvPicPr>
                                <pic:cNvPr id="0" name="02_microscope_objective.jpg"/>
                                <pic:cNvPicPr/>
                              </pic:nvPicPr>
                              <pic:blipFill>
                                <a:blip r:embed="rId16"/>
                                <a:stretch>
                                  <a:fillRect/>
                                </a:stretch>
                              </pic:blipFill>
                              <pic:spPr>
                                <a:xfrm>
                                  <a:off x="0" y="0"/>
                                  <a:ext cx="1215000" cy="2160000"/>
                                </a:xfrm>
                                <a:prstGeom prst="rect"/>
                              </pic:spPr>
                            </pic:pic>
                          </a:graphicData>
                        </a:graphic>
                      </wp:inline>
                    </w:drawing>
                  </w:r>
                </w:p>
                <w:p>
                  <w:pPr>
                    <w:spacing w:after="0" w:line="240" w:lineRule="auto"/>
                    <w:jc w:val="center"/>
                  </w:pPr>
                  <w:r>
                    <w:rPr>
                      <w:sz w:val="17"/>
                      <w:szCs w:val="17"/>
                    </w:rPr>
                    <w:t xml:space="preserve">(b) 재물대 아래 대물렌즈</w:t>
                  </w:r>
                </w:p>
              </w:tc>
            </w:tr>
          </w:tbl>
          <w:p>
            <w:pPr>
              <w:spacing w:before="60" w:after="0"/>
              <w:jc w:val="center"/>
            </w:pPr>
            <w:r>
              <w:rPr>
                <w:sz w:val="19"/>
                <w:szCs w:val="19"/>
              </w:rPr>
              <w:t xml:space="preserve">그림 3-2. ZEISS Axio Vert.A1</w:t>
            </w:r>
          </w:p>
        </w:tc>
      </w:tr>
    </w:tbl>
    <w:p>
      <w:pPr>
        <w:spacing w:after="120" w:line="240" w:lineRule="auto"/>
      </w:pPr>
    </w:p>
    <w:p>
      <w:pPr>
        <w:pStyle w:val="NBSLH3"/>
        <w:keepNext/>
        <w:spacing w:before="160" w:after="60"/>
        <w:ind w:left="0" w:firstLine="0"/>
      </w:pPr>
      <w:r>
        <w:rPr>
          <w:b/>
          <w:bCs/>
          <w:sz w:val="22"/>
          <w:szCs w:val="22"/>
        </w:rPr>
        <w:t xml:space="preserve">3.1.3 주의점과 이유</w:t>
      </w:r>
    </w:p>
    <w:p>
      <w:pPr>
        <w:spacing w:after="100" w:line="300" w:lineRule="auto"/>
        <w:ind w:firstLine="200"/>
        <w:jc w:val="both"/>
      </w:pPr>
      <w:r>
        <w:rPr/>
        <w:t xml:space="preserve">초점은 큰 나사로 먼저 찾고 작은 나사로 다듬는다. 매뉴얼 기준으로 조동나사는 한 바퀴에 4 mm, 미동나사는 0.4 mm를 움직여 미동나사가 10배 세밀하다 [3]. 처음부터 미동나사만 돌리면 초점 근처까지 가는 데 오래 걸리고 조동나사만 쓰면 초점을 지나쳐 버리기 쉽다.</w:t>
      </w:r>
    </w:p>
    <w:p>
      <w:pPr>
        <w:spacing w:after="100" w:line="300" w:lineRule="auto"/>
        <w:ind w:firstLine="200"/>
        <w:jc w:val="both"/>
      </w:pPr>
      <w:r>
        <w:rPr/>
        <w:t xml:space="preserve">교수님은 상을 깔끔하게 찍어야 논문에 쓸 수 있는 데이터가 된다고 강조했다. 초점과 광량은 사진의 선명도를 정하므로 촬영 직전에 두 가지를 다시 확인한다.</w:t>
      </w:r>
    </w:p>
    <w:p>
      <w:pPr>
        <w:pStyle w:val="NBSLH3"/>
        <w:keepNext/>
        <w:spacing w:before="160" w:after="60"/>
        <w:ind w:left="0" w:firstLine="0"/>
      </w:pPr>
      <w:r>
        <w:rPr>
          <w:b/>
          <w:bCs/>
          <w:sz w:val="22"/>
          <w:szCs w:val="22"/>
        </w:rPr>
        <w:t xml:space="preserve">3.1.4 관찰한 시료</w:t>
      </w:r>
    </w:p>
    <w:p>
      <w:pPr>
        <w:spacing w:after="100" w:line="300" w:lineRule="auto"/>
        <w:ind w:firstLine="200"/>
        <w:jc w:val="both"/>
      </w:pPr>
      <w:r>
        <w:rPr/>
        <w:t xml:space="preserve">실습에서는 나노 패턴을 입힌 PET 필름, 미리 찍어 둔 식물 조직 사진, 탈세포화한 조직(dECM으로 보인다) 위에 한 방향으로 정렬시킨 나노 패턴을 보여 주었다. 교수님은 패턴이 정렬돼 있어야 세포가 잘 자란다고 설명했다. 세포는 나노 크기의 홈과 돌기를 따라 길게 늘어나며 정렬하는데 이를 접촉 유도(contact guidance)라고 한다. 몸속 콜라겐 섬유의 굵기도 20–200 nm 수준이어서 세포는 이 정도 크기의 구조를 감지한다 [6].</w:t>
      </w:r>
    </w:p>
    <w:p>
      <w:pPr>
        <w:pStyle w:val="NBSLH2"/>
        <w:keepNext/>
        <w:spacing w:before="240" w:after="100"/>
        <w:ind w:left="0" w:firstLine="0"/>
      </w:pPr>
      <w:bookmarkStart w:id="507" w:name="_Toc900507"/>
      <w:r>
        <w:rPr>
          <w:b/>
          <w:bCs/>
          <w:sz w:val="24"/>
          <w:szCs w:val="24"/>
        </w:rPr>
        <w:t xml:space="preserve">3.2 인장 시험기</w:t>
      </w:r>
      <w:bookmarkEnd w:id="507"/>
    </w:p>
    <w:p>
      <w:pPr>
        <w:pStyle w:val="NBSLH3"/>
        <w:keepNext/>
        <w:spacing w:before="160" w:after="60"/>
        <w:ind w:left="0" w:firstLine="0"/>
      </w:pPr>
      <w:r>
        <w:rPr>
          <w:b/>
          <w:bCs/>
          <w:sz w:val="22"/>
          <w:szCs w:val="22"/>
        </w:rPr>
        <w:t xml:space="preserve">3.2.1 원리</w:t>
      </w:r>
    </w:p>
    <w:p>
      <w:pPr>
        <w:spacing w:after="100" w:line="300" w:lineRule="auto"/>
        <w:ind w:firstLine="200"/>
        <w:jc w:val="both"/>
      </w:pPr>
      <w:r>
        <w:rPr/>
        <w:t xml:space="preserve">인장 시험은 시료를 일정한 속도로 당기면서 걸린 하중과 늘어난 길이를 함께 기록하는 시험이다. 수업에서는 장기처럼 계속 힘을 받는 조직에 쓸 재료라면 기계적 성질이 약할 때 금방 끊어지므로 재료가 얼마나 버티는지 미리 시험해야 한다고 설명했다.</w:t>
      </w:r>
    </w:p>
    <w:p>
      <w:pPr>
        <w:spacing w:after="100" w:line="300" w:lineRule="auto"/>
        <w:ind w:firstLine="200"/>
        <w:jc w:val="both"/>
      </w:pPr>
      <w:r>
        <w:rPr/>
        <w:t xml:space="preserve">같은 재료라도 굵은 시료는 더 큰 하중을 견디므로 재료끼리 비교할 때는 하중을 응력으로, 늘어난 길이를 변형률로 바꿔 쓴다. 공칭 응력은 하중 P를 처음 단면적 A₀로 나눈 값(σ = P/A₀)이고 공칭 변형률은 늘어난 길이를 처음 기준 길이 L₀로 나눈 값(ε = ΔL/L₀)이다 [7]. 응력–변형률 곡선의 처음 직선 구간은 힘을 빼면 원래대로 돌아가는 탄성 구간이며 그 기울기가 탄성 계수(영률)다. 곡선의 가장 높은 점이 인장 강도이고 시료가 끊어진 점이 파단점이다 [7](그림 3-3).</w:t>
      </w:r>
    </w:p>
    <w:p>
      <w:pPr>
        <w:keepNext/>
        <w:spacing w:before="120" w:after="40"/>
        <w:jc w:val="center"/>
      </w:pPr>
      <w:r>
        <w:drawing>
          <wp:inline xmlns:a="http://schemas.openxmlformats.org/drawingml/2006/main" xmlns:pic="http://schemas.openxmlformats.org/drawingml/2006/picture">
            <wp:extent cx="5715000" cy="2712624"/>
            <wp:docPr id="104" name="Picture 104"/>
            <wp:cNvGraphicFramePr>
              <a:graphicFrameLocks noChangeAspect="1"/>
            </wp:cNvGraphicFramePr>
            <a:graphic>
              <a:graphicData uri="http://schemas.openxmlformats.org/drawingml/2006/picture">
                <pic:pic>
                  <pic:nvPicPr>
                    <pic:cNvPr id="0" name="f_tensile.png"/>
                    <pic:cNvPicPr/>
                  </pic:nvPicPr>
                  <pic:blipFill>
                    <a:blip r:embed="rId17"/>
                    <a:stretch>
                      <a:fillRect/>
                    </a:stretch>
                  </pic:blipFill>
                  <pic:spPr>
                    <a:xfrm>
                      <a:off x="0" y="0"/>
                      <a:ext cx="5715000" cy="2712624"/>
                    </a:xfrm>
                    <a:prstGeom prst="rect"/>
                  </pic:spPr>
                </pic:pic>
              </a:graphicData>
            </a:graphic>
          </wp:inline>
        </w:drawing>
      </w:r>
    </w:p>
    <w:p>
      <w:pPr>
        <w:keepLines/>
        <w:spacing w:after="200"/>
        <w:jc w:val="center"/>
      </w:pPr>
      <w:r>
        <w:rPr>
          <w:sz w:val="19"/>
          <w:szCs w:val="19"/>
        </w:rPr>
        <w:t xml:space="preserve">그림 3-3. 인장 시험의 시료 치수와 응력–변형률 곡선 (이론 개형)</w:t>
      </w:r>
    </w:p>
    <w:p>
      <w:pPr>
        <w:spacing w:after="100" w:line="300" w:lineRule="auto"/>
        <w:ind w:firstLine="200"/>
        <w:jc w:val="both"/>
      </w:pPr>
      <w:r>
        <w:rPr/>
        <w:t xml:space="preserve">프로그램 그래프의 x축은 늘어난 길이(이를 기준 길이로 나누면 변형률)이고 y축은 하중이다. 실습 화면은 하중을 단면적으로 나눈 응력(Stress, MPa)을 y축으로 그렸다. 하중과 응력은 단면적이라는 상수만큼만 다르므로 곡선 모양은 같다. 얇은 플라스틱 필름의 인장 시험법인 ASTM D882는 두께 1 mm 미만의 시트에 적용하며 얇은 시료를 미끄러지지 않으면서도 찢어지지 않게 잡는 것을 믿을 만한 데이터를 얻는 데 가장 어려운 점으로 꼽는다 [8].</w:t>
      </w:r>
    </w:p>
    <w:p>
      <w:pPr>
        <w:pStyle w:val="NBSLH3"/>
        <w:keepNext/>
        <w:spacing w:before="160" w:after="60"/>
        <w:ind w:left="0" w:firstLine="0"/>
      </w:pPr>
      <w:r>
        <w:rPr>
          <w:b/>
          <w:bCs/>
          <w:sz w:val="22"/>
          <w:szCs w:val="22"/>
        </w:rPr>
        <w:t xml:space="preserve">3.2.2 구성</w:t>
      </w:r>
    </w:p>
    <w:p>
      <w:pPr>
        <w:spacing w:after="100" w:line="300" w:lineRule="auto"/>
        <w:ind w:firstLine="200"/>
        <w:jc w:val="both"/>
      </w:pPr>
      <w:r>
        <w:rPr/>
        <w:t xml:space="preserve">실습 장비는 A&amp;D MCT-1150이다. 기둥 위쪽에 하중 센서(로드셀)가 있고 위아래 그립 사이에 시료를 문다(그림 3-4). 제조사 정보에 따르면 최대 용량은 500 N이고 시험 속도는 10–300 mm/min 범위에서 1 mm/min 단위로 정하며 시험 프로그램 MSAT-Lite가 함께 제공된다 [9]. 같은 자료는 별도 지그를 달면 압축 시험도 할 수 있다고 안내한다 [9]. 이번 실습에서는 인장 시험을 수행했으며 압축 시험은 수행하지 않았다.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6062" w:type="dxa"/>
              <w:jc w:val="center"/>
              <w:tblBorders>
                <w:top w:val="nil"/>
                <w:left w:val="nil"/>
                <w:bottom w:val="nil"/>
                <w:right w:val="nil"/>
                <w:insideH w:val="nil"/>
                <w:insideV w:val="nil"/>
              </w:tblBorders>
              <w:tblLayout w:type="fixed"/>
              <w:tblCellMar>
                <w:left w:w="60" w:type="dxa"/>
                <w:right w:w="60" w:type="dxa"/>
              </w:tblCellMar>
            </w:tblPr>
            <w:tblGrid>
              <w:gridCol w:w="2033"/>
              <w:gridCol w:w="2060"/>
              <w:gridCol w:w="1969"/>
            </w:tblGrid>
            <w:tr>
              <w:trPr>
                <w:cantSplit/>
              </w:trPr>
              <w:tc>
                <w:tcPr>
                  <w:tcW w:w="2033" w:type="dxa"/>
                  <w:vAlign w:val="bottom"/>
                </w:tcPr>
                <w:p>
                  <w:pPr>
                    <w:spacing w:after="20" w:line="240" w:lineRule="auto"/>
                    <w:jc w:val="center"/>
                  </w:pPr>
                  <w:r>
                    <w:drawing>
                      <wp:inline xmlns:a="http://schemas.openxmlformats.org/drawingml/2006/main" xmlns:pic="http://schemas.openxmlformats.org/drawingml/2006/picture">
                        <wp:extent cx="1215000" cy="2160000"/>
                        <wp:docPr id="105" name="Picture 105"/>
                        <wp:cNvGraphicFramePr>
                          <a:graphicFrameLocks noChangeAspect="1"/>
                        </wp:cNvGraphicFramePr>
                        <a:graphic>
                          <a:graphicData uri="http://schemas.openxmlformats.org/drawingml/2006/picture">
                            <pic:pic>
                              <pic:nvPicPr>
                                <pic:cNvPr id="0" name="03_tensile_machine.jpg"/>
                                <pic:cNvPicPr/>
                              </pic:nvPicPr>
                              <pic:blipFill>
                                <a:blip r:embed="rId18"/>
                                <a:stretch>
                                  <a:fillRect/>
                                </a:stretch>
                              </pic:blipFill>
                              <pic:spPr>
                                <a:xfrm>
                                  <a:off x="0" y="0"/>
                                  <a:ext cx="1215000" cy="2160000"/>
                                </a:xfrm>
                                <a:prstGeom prst="rect"/>
                              </pic:spPr>
                            </pic:pic>
                          </a:graphicData>
                        </a:graphic>
                      </wp:inline>
                    </w:drawing>
                  </w:r>
                </w:p>
                <w:p>
                  <w:pPr>
                    <w:spacing w:after="0" w:line="240" w:lineRule="auto"/>
                    <w:jc w:val="center"/>
                  </w:pPr>
                  <w:r>
                    <w:rPr>
                      <w:sz w:val="17"/>
                      <w:szCs w:val="17"/>
                    </w:rPr>
                    <w:t xml:space="preserve">(a) 시험기 전체</w:t>
                  </w:r>
                </w:p>
              </w:tc>
              <w:tc>
                <w:tcPr>
                  <w:tcW w:w="2060" w:type="dxa"/>
                  <w:vAlign w:val="bottom"/>
                </w:tcPr>
                <w:p>
                  <w:pPr>
                    <w:spacing w:after="20" w:line="240" w:lineRule="auto"/>
                    <w:jc w:val="center"/>
                  </w:pPr>
                  <w:r>
                    <w:drawing>
                      <wp:inline xmlns:a="http://schemas.openxmlformats.org/drawingml/2006/main" xmlns:pic="http://schemas.openxmlformats.org/drawingml/2006/picture">
                        <wp:extent cx="1231875" cy="2160000"/>
                        <wp:docPr id="106" name="Picture 106"/>
                        <wp:cNvGraphicFramePr>
                          <a:graphicFrameLocks noChangeAspect="1"/>
                        </wp:cNvGraphicFramePr>
                        <a:graphic>
                          <a:graphicData uri="http://schemas.openxmlformats.org/drawingml/2006/picture">
                            <pic:pic>
                              <pic:nvPicPr>
                                <pic:cNvPr id="0" name="03_tensile_grip-closeup.jpg"/>
                                <pic:cNvPicPr/>
                              </pic:nvPicPr>
                              <pic:blipFill>
                                <a:blip r:embed="rId19"/>
                                <a:stretch>
                                  <a:fillRect/>
                                </a:stretch>
                              </pic:blipFill>
                              <pic:spPr>
                                <a:xfrm>
                                  <a:off x="0" y="0"/>
                                  <a:ext cx="1231875" cy="2160000"/>
                                </a:xfrm>
                                <a:prstGeom prst="rect"/>
                              </pic:spPr>
                            </pic:pic>
                          </a:graphicData>
                        </a:graphic>
                      </wp:inline>
                    </w:drawing>
                  </w:r>
                </w:p>
                <w:p>
                  <w:pPr>
                    <w:spacing w:after="0" w:line="240" w:lineRule="auto"/>
                    <w:jc w:val="center"/>
                  </w:pPr>
                  <w:r>
                    <w:rPr>
                      <w:sz w:val="17"/>
                      <w:szCs w:val="17"/>
                    </w:rPr>
                    <w:t xml:space="preserve">(b) 그립에 물린 시료</w:t>
                  </w:r>
                </w:p>
              </w:tc>
              <w:tc>
                <w:tcPr>
                  <w:tcW w:w="1969" w:type="dxa"/>
                  <w:vAlign w:val="bottom"/>
                </w:tcPr>
                <w:p>
                  <w:pPr>
                    <w:spacing w:after="20" w:line="240" w:lineRule="auto"/>
                    <w:jc w:val="center"/>
                  </w:pPr>
                  <w:r>
                    <w:drawing>
                      <wp:inline xmlns:a="http://schemas.openxmlformats.org/drawingml/2006/main" xmlns:pic="http://schemas.openxmlformats.org/drawingml/2006/picture">
                        <wp:extent cx="1174500" cy="2160000"/>
                        <wp:docPr id="107" name="Picture 107"/>
                        <wp:cNvGraphicFramePr>
                          <a:graphicFrameLocks noChangeAspect="1"/>
                        </wp:cNvGraphicFramePr>
                        <a:graphic>
                          <a:graphicData uri="http://schemas.openxmlformats.org/drawingml/2006/picture">
                            <pic:pic>
                              <pic:nvPicPr>
                                <pic:cNvPr id="0" name="03_tensile_break.jpg"/>
                                <pic:cNvPicPr/>
                              </pic:nvPicPr>
                              <pic:blipFill>
                                <a:blip r:embed="rId20"/>
                                <a:stretch>
                                  <a:fillRect/>
                                </a:stretch>
                              </pic:blipFill>
                              <pic:spPr>
                                <a:xfrm>
                                  <a:off x="0" y="0"/>
                                  <a:ext cx="1174500" cy="2160000"/>
                                </a:xfrm>
                                <a:prstGeom prst="rect"/>
                              </pic:spPr>
                            </pic:pic>
                          </a:graphicData>
                        </a:graphic>
                      </wp:inline>
                    </w:drawing>
                  </w:r>
                </w:p>
                <w:p>
                  <w:pPr>
                    <w:spacing w:after="0" w:line="240" w:lineRule="auto"/>
                    <w:jc w:val="center"/>
                  </w:pPr>
                  <w:r>
                    <w:rPr>
                      <w:sz w:val="17"/>
                      <w:szCs w:val="17"/>
                    </w:rPr>
                    <w:t xml:space="preserve">(c) 늘어나다 끊어진 시료</w:t>
                  </w:r>
                </w:p>
              </w:tc>
            </w:tr>
          </w:tbl>
          <w:p>
            <w:pPr>
              <w:spacing w:before="60" w:after="0"/>
              <w:jc w:val="center"/>
            </w:pPr>
            <w:r>
              <w:rPr>
                <w:sz w:val="19"/>
                <w:szCs w:val="19"/>
              </w:rPr>
              <w:t xml:space="preserve">그림 3-4. A&amp;D MCT-1150 인장 시험기</w:t>
            </w:r>
          </w:p>
        </w:tc>
      </w:tr>
    </w:tbl>
    <w:p>
      <w:pPr>
        <w:spacing w:after="120" w:line="240" w:lineRule="auto"/>
      </w:pPr>
    </w:p>
    <w:p>
      <w:pPr>
        <w:pStyle w:val="NBSLH3"/>
        <w:keepNext/>
        <w:spacing w:before="160" w:after="60"/>
        <w:ind w:left="0" w:firstLine="0"/>
      </w:pPr>
      <w:r>
        <w:rPr>
          <w:b/>
          <w:bCs/>
          <w:sz w:val="22"/>
          <w:szCs w:val="22"/>
        </w:rPr>
        <w:t xml:space="preserve">3.2.3 사용 순서</w:t>
      </w:r>
    </w:p>
    <w:p>
      <w:pPr>
        <w:tabs>
          <w:tab w:val="left" w:pos="600"/>
        </w:tabs>
        <w:spacing w:after="30" w:line="290" w:lineRule="auto"/>
        <w:ind w:left="600" w:hanging="340"/>
        <w:jc w:val="both"/>
      </w:pPr>
      <w:r>
        <w:rPr/>
        <w:t xml:space="preserve">1.</w:t>
        <w:tab/>
        <w:t xml:space="preserve">선을 연결하고 장비 전원을 켠 뒤 시험 프로그램을 실행한다.</w:t>
      </w:r>
    </w:p>
    <w:p>
      <w:pPr>
        <w:tabs>
          <w:tab w:val="left" w:pos="600"/>
        </w:tabs>
        <w:spacing w:after="30" w:line="290" w:lineRule="auto"/>
        <w:ind w:left="600" w:hanging="340"/>
        <w:jc w:val="both"/>
      </w:pPr>
      <w:r>
        <w:rPr/>
        <w:t xml:space="preserve">2.</w:t>
        <w:tab/>
        <w:t xml:space="preserve">시료 정보를 입력한다. 시료 형태는 rod와 plate 중 plate로 정하고 시험 횟수와 너비·두께·길이를 넣는다.</w:t>
      </w:r>
    </w:p>
    <w:p>
      <w:pPr>
        <w:tabs>
          <w:tab w:val="left" w:pos="600"/>
        </w:tabs>
        <w:spacing w:after="30" w:line="290" w:lineRule="auto"/>
        <w:ind w:left="600" w:hanging="340"/>
        <w:jc w:val="both"/>
      </w:pPr>
      <w:r>
        <w:rPr/>
        <w:t xml:space="preserve">3.</w:t>
        <w:tab/>
        <w:t xml:space="preserve">시료를 위아래 그립에 물리고 시험 중 밀리지 않도록 단단히 조인다. 그립 위치는 프로그램이나 본체 버튼으로 조절한다.</w:t>
      </w:r>
    </w:p>
    <w:p>
      <w:pPr>
        <w:tabs>
          <w:tab w:val="left" w:pos="600"/>
        </w:tabs>
        <w:spacing w:after="30" w:line="290" w:lineRule="auto"/>
        <w:ind w:left="600" w:hanging="340"/>
        <w:jc w:val="both"/>
      </w:pPr>
      <w:r>
        <w:rPr/>
        <w:t xml:space="preserve">4.</w:t>
        <w:tab/>
        <w:t xml:space="preserve">위 그립과 아래 그립의 중심이 일직선에 오는지, 양쪽에서 잡는 길이가 같은지 확인한다.</w:t>
      </w:r>
    </w:p>
    <w:p>
      <w:pPr>
        <w:tabs>
          <w:tab w:val="left" w:pos="600"/>
        </w:tabs>
        <w:spacing w:after="30" w:line="290" w:lineRule="auto"/>
        <w:ind w:left="600" w:hanging="340"/>
        <w:jc w:val="both"/>
      </w:pPr>
      <w:r>
        <w:rPr/>
        <w:t xml:space="preserve">5.</w:t>
        <w:tab/>
        <w:t xml:space="preserve">Clear extension으로 늘어난 길이를, Force ReZERO로 하중을 0.0으로 맞춘다.</w:t>
      </w:r>
    </w:p>
    <w:p>
      <w:pPr>
        <w:tabs>
          <w:tab w:val="left" w:pos="600"/>
        </w:tabs>
        <w:spacing w:after="30" w:line="290" w:lineRule="auto"/>
        <w:ind w:left="600" w:hanging="340"/>
        <w:jc w:val="both"/>
      </w:pPr>
      <w:r>
        <w:rPr/>
        <w:t xml:space="preserve">6.</w:t>
        <w:tab/>
        <w:t xml:space="preserve">시험 속도를 정하고 START를 누른다. 시료가 늘어나다 끊어지면 시험이 끝난다.</w:t>
      </w:r>
    </w:p>
    <w:p>
      <w:pPr>
        <w:tabs>
          <w:tab w:val="left" w:pos="600"/>
        </w:tabs>
        <w:spacing w:after="120" w:line="290" w:lineRule="auto"/>
        <w:ind w:left="600" w:hanging="340"/>
        <w:jc w:val="both"/>
      </w:pPr>
      <w:r>
        <w:rPr/>
        <w:t xml:space="preserve">7.</w:t>
        <w:tab/>
        <w:t xml:space="preserve">끊어진 시료를 빼고 그립에 남은 파편을 완전히 없앤 뒤 다음 시료를 끼우고 5단계부터 다시 한다.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8303" w:type="dxa"/>
              <w:jc w:val="center"/>
              <w:tblBorders>
                <w:top w:val="nil"/>
                <w:left w:val="nil"/>
                <w:bottom w:val="nil"/>
                <w:right w:val="nil"/>
                <w:insideH w:val="nil"/>
                <w:insideV w:val="nil"/>
              </w:tblBorders>
              <w:tblLayout w:type="fixed"/>
              <w:tblCellMar>
                <w:left w:w="60" w:type="dxa"/>
                <w:right w:w="60" w:type="dxa"/>
              </w:tblCellMar>
            </w:tblPr>
            <w:tblGrid>
              <w:gridCol w:w="1430"/>
              <w:gridCol w:w="1866"/>
              <w:gridCol w:w="2216"/>
              <w:gridCol w:w="2791"/>
            </w:tblGrid>
            <w:tr>
              <w:trPr>
                <w:cantSplit/>
              </w:trPr>
              <w:tc>
                <w:tcPr>
                  <w:tcW w:w="1430" w:type="dxa"/>
                  <w:vAlign w:val="bottom"/>
                </w:tcPr>
                <w:p>
                  <w:pPr>
                    <w:spacing w:after="20" w:line="240" w:lineRule="auto"/>
                    <w:jc w:val="center"/>
                  </w:pPr>
                  <w:r>
                    <w:drawing>
                      <wp:inline xmlns:a="http://schemas.openxmlformats.org/drawingml/2006/main" xmlns:pic="http://schemas.openxmlformats.org/drawingml/2006/picture">
                        <wp:extent cx="832162" cy="1872000"/>
                        <wp:docPr id="108" name="Picture 108"/>
                        <wp:cNvGraphicFramePr>
                          <a:graphicFrameLocks noChangeAspect="1"/>
                        </wp:cNvGraphicFramePr>
                        <a:graphic>
                          <a:graphicData uri="http://schemas.openxmlformats.org/drawingml/2006/picture">
                            <pic:pic>
                              <pic:nvPicPr>
                                <pic:cNvPr id="0" name="03_tensile_setup-zero.jpg"/>
                                <pic:cNvPicPr/>
                              </pic:nvPicPr>
                              <pic:blipFill>
                                <a:blip r:embed="rId21"/>
                                <a:stretch>
                                  <a:fillRect/>
                                </a:stretch>
                              </pic:blipFill>
                              <pic:spPr>
                                <a:xfrm>
                                  <a:off x="0" y="0"/>
                                  <a:ext cx="832162" cy="1872000"/>
                                </a:xfrm>
                                <a:prstGeom prst="rect"/>
                              </pic:spPr>
                            </pic:pic>
                          </a:graphicData>
                        </a:graphic>
                      </wp:inline>
                    </w:drawing>
                  </w:r>
                </w:p>
                <w:p>
                  <w:pPr>
                    <w:spacing w:after="0" w:line="240" w:lineRule="auto"/>
                    <w:jc w:val="center"/>
                  </w:pPr>
                  <w:r>
                    <w:rPr>
                      <w:sz w:val="17"/>
                      <w:szCs w:val="17"/>
                    </w:rPr>
                    <w:t xml:space="preserve">(a) 시험 전 0.0</w:t>
                  </w:r>
                </w:p>
              </w:tc>
              <w:tc>
                <w:tcPr>
                  <w:tcW w:w="1866" w:type="dxa"/>
                  <w:vAlign w:val="bottom"/>
                </w:tcPr>
                <w:p>
                  <w:pPr>
                    <w:spacing w:after="20" w:line="240" w:lineRule="auto"/>
                    <w:jc w:val="center"/>
                  </w:pPr>
                  <w:r>
                    <w:drawing>
                      <wp:inline xmlns:a="http://schemas.openxmlformats.org/drawingml/2006/main" xmlns:pic="http://schemas.openxmlformats.org/drawingml/2006/picture">
                        <wp:extent cx="1108575" cy="1872000"/>
                        <wp:docPr id="109" name="Picture 109"/>
                        <wp:cNvGraphicFramePr>
                          <a:graphicFrameLocks noChangeAspect="1"/>
                        </wp:cNvGraphicFramePr>
                        <a:graphic>
                          <a:graphicData uri="http://schemas.openxmlformats.org/drawingml/2006/picture">
                            <pic:pic>
                              <pic:nvPicPr>
                                <pic:cNvPr id="0" name="03_tensile_result-ok.jpg"/>
                                <pic:cNvPicPr/>
                              </pic:nvPicPr>
                              <pic:blipFill>
                                <a:blip r:embed="rId22"/>
                                <a:stretch>
                                  <a:fillRect/>
                                </a:stretch>
                              </pic:blipFill>
                              <pic:spPr>
                                <a:xfrm>
                                  <a:off x="0" y="0"/>
                                  <a:ext cx="1108575" cy="1872000"/>
                                </a:xfrm>
                                <a:prstGeom prst="rect"/>
                              </pic:spPr>
                            </pic:pic>
                          </a:graphicData>
                        </a:graphic>
                      </wp:inline>
                    </w:drawing>
                  </w:r>
                </w:p>
                <w:p>
                  <w:pPr>
                    <w:spacing w:after="0" w:line="240" w:lineRule="auto"/>
                    <w:jc w:val="center"/>
                  </w:pPr>
                  <w:r>
                    <w:rPr>
                      <w:sz w:val="17"/>
                      <w:szCs w:val="17"/>
                    </w:rPr>
                    <w:t xml:space="preserve">(b) 결과 곡선과 표</w:t>
                  </w:r>
                </w:p>
              </w:tc>
              <w:tc>
                <w:tcPr>
                  <w:tcW w:w="2216" w:type="dxa"/>
                  <w:vAlign w:val="bottom"/>
                </w:tcPr>
                <w:p>
                  <w:pPr>
                    <w:spacing w:after="20" w:line="240" w:lineRule="auto"/>
                    <w:jc w:val="center"/>
                  </w:pPr>
                  <w:r>
                    <w:drawing>
                      <wp:inline xmlns:a="http://schemas.openxmlformats.org/drawingml/2006/main" xmlns:pic="http://schemas.openxmlformats.org/drawingml/2006/picture">
                        <wp:extent cx="1330875" cy="1872000"/>
                        <wp:docPr id="110" name="Picture 110"/>
                        <wp:cNvGraphicFramePr>
                          <a:graphicFrameLocks noChangeAspect="1"/>
                        </wp:cNvGraphicFramePr>
                        <a:graphic>
                          <a:graphicData uri="http://schemas.openxmlformats.org/drawingml/2006/picture">
                            <pic:pic>
                              <pic:nvPicPr>
                                <pic:cNvPr id="0" name="03_tensile_result-fail-graph.jpg"/>
                                <pic:cNvPicPr/>
                              </pic:nvPicPr>
                              <pic:blipFill>
                                <a:blip r:embed="rId23"/>
                                <a:stretch>
                                  <a:fillRect/>
                                </a:stretch>
                              </pic:blipFill>
                              <pic:spPr>
                                <a:xfrm>
                                  <a:off x="0" y="0"/>
                                  <a:ext cx="1330875" cy="1872000"/>
                                </a:xfrm>
                                <a:prstGeom prst="rect"/>
                              </pic:spPr>
                            </pic:pic>
                          </a:graphicData>
                        </a:graphic>
                      </wp:inline>
                    </w:drawing>
                  </w:r>
                </w:p>
                <w:p>
                  <w:pPr>
                    <w:spacing w:after="0" w:line="240" w:lineRule="auto"/>
                    <w:jc w:val="center"/>
                  </w:pPr>
                  <w:r>
                    <w:rPr>
                      <w:sz w:val="17"/>
                      <w:szCs w:val="17"/>
                    </w:rPr>
                    <w:t xml:space="preserve">(c) 실패한 시험</w:t>
                  </w:r>
                </w:p>
              </w:tc>
              <w:tc>
                <w:tcPr>
                  <w:tcW w:w="2791" w:type="dxa"/>
                  <w:vAlign w:val="bottom"/>
                </w:tcPr>
                <w:p>
                  <w:pPr>
                    <w:spacing w:after="20" w:line="240" w:lineRule="auto"/>
                    <w:jc w:val="center"/>
                  </w:pPr>
                  <w:r>
                    <w:drawing>
                      <wp:inline xmlns:a="http://schemas.openxmlformats.org/drawingml/2006/main" xmlns:pic="http://schemas.openxmlformats.org/drawingml/2006/picture">
                        <wp:extent cx="1696500" cy="1872000"/>
                        <wp:docPr id="111" name="Picture 111"/>
                        <wp:cNvGraphicFramePr>
                          <a:graphicFrameLocks noChangeAspect="1"/>
                        </wp:cNvGraphicFramePr>
                        <a:graphic>
                          <a:graphicData uri="http://schemas.openxmlformats.org/drawingml/2006/picture">
                            <pic:pic>
                              <pic:nvPicPr>
                                <pic:cNvPr id="0" name="03_tensile_database.jpg"/>
                                <pic:cNvPicPr/>
                              </pic:nvPicPr>
                              <pic:blipFill>
                                <a:blip r:embed="rId24"/>
                                <a:stretch>
                                  <a:fillRect/>
                                </a:stretch>
                              </pic:blipFill>
                              <pic:spPr>
                                <a:xfrm>
                                  <a:off x="0" y="0"/>
                                  <a:ext cx="1696500" cy="1872000"/>
                                </a:xfrm>
                                <a:prstGeom prst="rect"/>
                              </pic:spPr>
                            </pic:pic>
                          </a:graphicData>
                        </a:graphic>
                      </wp:inline>
                    </w:drawing>
                  </w:r>
                </w:p>
                <w:p>
                  <w:pPr>
                    <w:spacing w:after="0" w:line="240" w:lineRule="auto"/>
                    <w:jc w:val="center"/>
                  </w:pPr>
                  <w:r>
                    <w:rPr>
                      <w:sz w:val="17"/>
                      <w:szCs w:val="17"/>
                    </w:rPr>
                    <w:t xml:space="preserve">(d) 지난 시험 검색 창</w:t>
                  </w:r>
                </w:p>
              </w:tc>
            </w:tr>
          </w:tbl>
          <w:p>
            <w:pPr>
              <w:spacing w:before="60" w:after="0"/>
              <w:jc w:val="center"/>
            </w:pPr>
            <w:r>
              <w:rPr>
                <w:sz w:val="19"/>
                <w:szCs w:val="19"/>
              </w:rPr>
              <w:t xml:space="preserve">그림 3-5. 인장 시험 프로그램 화면</w:t>
            </w:r>
          </w:p>
        </w:tc>
      </w:tr>
    </w:tbl>
    <w:p>
      <w:pPr>
        <w:spacing w:after="120" w:line="240" w:lineRule="auto"/>
      </w:pPr>
    </w:p>
    <w:p>
      <w:pPr>
        <w:pStyle w:val="NBSLH3"/>
        <w:keepNext/>
        <w:spacing w:before="160" w:after="60"/>
        <w:ind w:left="0" w:firstLine="0"/>
      </w:pPr>
      <w:r>
        <w:rPr>
          <w:b/>
          <w:bCs/>
          <w:sz w:val="22"/>
          <w:szCs w:val="22"/>
        </w:rPr>
        <w:t xml:space="preserve">3.2.4 주의점과 이유</w:t>
      </w:r>
    </w:p>
    <w:p>
      <w:pPr>
        <w:spacing w:after="100" w:line="300" w:lineRule="auto"/>
        <w:ind w:firstLine="200"/>
        <w:jc w:val="both"/>
      </w:pPr>
      <w:r>
        <w:rPr/>
        <w:t xml:space="preserve">시험은 매번 같은 자리, 곧 늘어난 길이와 하중이 모두 0.0인 상태에서 시작한다(그림 3-5 (a)). x축의 늘어난 길이는 시작 위치를 기준으로 재므로 시작 위치가 시료마다 다르면 같은 재료라도 늘어난 길이와 변형률이 다르게 기록된다. 시료를 끼우면서 생긴 작은 힘이 하중에 남아 있으면 곡선 전체가 그만큼 위로 치우친다. 0.0에서 시작해야 그래프가 원점에서 출발하고 시료 사이의 편차가 줄어든다. 수업에서도 항상 같은 위치에서 시작해야 편차가 없다고 강조했다.</w:t>
      </w:r>
    </w:p>
    <w:p>
      <w:pPr>
        <w:spacing w:after="100" w:line="300" w:lineRule="auto"/>
        <w:ind w:firstLine="200"/>
        <w:jc w:val="both"/>
      </w:pPr>
      <w:r>
        <w:rPr/>
        <w:t xml:space="preserve">그립은 꽉 조이고 위아래 중심을 맞춘다. 실습 중 한 시험에서는 최대 하중이 0.0166 N에 그치고 곡선이 물결 모양으로 오르내렸다(그림 3-5 (c)). 하중이 거의 걸리지 않았으므로 시료가 제대로 물리지 않았거나 그립에서 미끄러진 것으로 보인다. 중심이 어긋나도 시료 한쪽에 힘이 몰려 단면 전체에 고르게 걸리지 않는다.</w:t>
      </w:r>
    </w:p>
    <w:p>
      <w:pPr>
        <w:spacing w:after="100" w:line="300" w:lineRule="auto"/>
        <w:ind w:firstLine="200"/>
        <w:jc w:val="both"/>
      </w:pPr>
      <w:r>
        <w:rPr/>
        <w:t xml:space="preserve">끊어진 시료의 파편은 그립 안쪽에 남아 쉽게 빠지지 않았다. 파편이 남은 채로 다음 시료를 물리면 그립 면이 시료에 고르게 닿지 않아 미끄러지거나 중심이 어긋날 수 있다. 그래서 다음 시료를 끼우기 전에 파편이 완전히 제거됐는지 확인하고 시험한다.</w:t>
      </w:r>
    </w:p>
    <w:p>
      <w:pPr>
        <w:spacing w:after="100" w:line="300" w:lineRule="auto"/>
        <w:ind w:firstLine="200"/>
        <w:jc w:val="both"/>
      </w:pPr>
      <w:r>
        <w:rPr/>
        <w:t xml:space="preserve">시험 속도는 처음에 느리게 시작해 알맞은 값을 찾고 보통 시험 규격에 맞춰 정한다. 같은 시료를 5–10개 만들어 반복 시험하고 평균을 내야 결과를 믿을 수 있다. 한 번만 시험하면 그 값이 재료의 성질인지 우연히 나온 값인지 구분하기 어렵다.</w:t>
      </w:r>
    </w:p>
    <w:p>
      <w:pPr>
        <w:pStyle w:val="NBSLH3"/>
        <w:keepNext/>
        <w:spacing w:before="160" w:after="60"/>
        <w:ind w:left="0" w:firstLine="0"/>
      </w:pPr>
      <w:r>
        <w:rPr>
          <w:b/>
          <w:bCs/>
          <w:sz w:val="22"/>
          <w:szCs w:val="22"/>
        </w:rPr>
        <w:t xml:space="preserve">3.2.5 시험 데이터의 저장과 검색</w:t>
      </w:r>
    </w:p>
    <w:p>
      <w:pPr>
        <w:spacing w:after="100" w:line="300" w:lineRule="auto"/>
        <w:ind w:firstLine="200"/>
        <w:jc w:val="both"/>
      </w:pPr>
      <w:r>
        <w:rPr/>
        <w:t xml:space="preserve">시험 결과는 데이터베이스에 쌓인다. 바탕화면에는 시험 프로그램 MSAT-Lite 옆에 별도의 데이터 검색 프로그램이 있고 검색 창에서 시료 이름이나 작업자, 날짜로 지난 시험을 찾는다(그림 3-5 (d)). 목록에는 시험 종류(Tension test), 날짜, 시료 이름, 작업자, 시험 속도, 시험 횟수가 함께 저장되며 Open, CSV output, Print, Delete 버튼으로 결과를 다시 열거나 CSV 파일로 내보낸다. 반복 시험의 평균을 내거나 이전 시료와 비교할 때 이 기록을 쓴다.</w:t>
      </w:r>
    </w:p>
    <w:p>
      <w:pPr>
        <w:pStyle w:val="NBSLH2"/>
        <w:keepNext/>
        <w:spacing w:before="240" w:after="100"/>
        <w:ind w:left="0" w:firstLine="0"/>
      </w:pPr>
      <w:bookmarkStart w:id="508" w:name="_Toc900508"/>
      <w:r>
        <w:rPr>
          <w:b/>
          <w:bCs/>
          <w:sz w:val="24"/>
          <w:szCs w:val="24"/>
        </w:rPr>
        <w:t xml:space="preserve">3.3 스핀 코터</w:t>
      </w:r>
      <w:bookmarkEnd w:id="508"/>
    </w:p>
    <w:p>
      <w:pPr>
        <w:pStyle w:val="NBSLH3"/>
        <w:keepNext/>
        <w:spacing w:before="160" w:after="60"/>
        <w:ind w:left="0" w:firstLine="0"/>
      </w:pPr>
      <w:r>
        <w:rPr>
          <w:b/>
          <w:bCs/>
          <w:sz w:val="22"/>
          <w:szCs w:val="22"/>
        </w:rPr>
        <w:t xml:space="preserve">3.3.1 원리</w:t>
      </w:r>
    </w:p>
    <w:p>
      <w:pPr>
        <w:spacing w:after="100" w:line="300" w:lineRule="auto"/>
        <w:ind w:firstLine="200"/>
        <w:jc w:val="both"/>
      </w:pPr>
      <w:r>
        <w:rPr/>
        <w:t xml:space="preserve">스핀 코터는 시료를 빠르게 돌려 그 위에 떨어뜨린 용액을 얇고 고른 막으로 만든다. 막은 용액 올리기, 회전 가속, 남는 용액이 가장자리로 날아가는 단계, 용매가 증발하는 단계를 차례로 거친다 [10](그림 3-6). 회전하는 힘과 용액의 표면장력이 함께 작용해 액체를 고르게 펴고 초반에는 흐름이, 후반에는 주로 증발이 막을 얇게 만든다 [10].</w:t>
      </w:r>
    </w:p>
    <w:p>
      <w:pPr>
        <w:keepNext/>
        <w:spacing w:before="120" w:after="40"/>
        <w:jc w:val="center"/>
      </w:pPr>
      <w:r>
        <w:drawing>
          <wp:inline xmlns:a="http://schemas.openxmlformats.org/drawingml/2006/main" xmlns:pic="http://schemas.openxmlformats.org/drawingml/2006/picture">
            <wp:extent cx="5334000" cy="2751544"/>
            <wp:docPr id="112" name="Picture 112"/>
            <wp:cNvGraphicFramePr>
              <a:graphicFrameLocks noChangeAspect="1"/>
            </wp:cNvGraphicFramePr>
            <a:graphic>
              <a:graphicData uri="http://schemas.openxmlformats.org/drawingml/2006/picture">
                <pic:pic>
                  <pic:nvPicPr>
                    <pic:cNvPr id="0" name="f_spin.png"/>
                    <pic:cNvPicPr/>
                  </pic:nvPicPr>
                  <pic:blipFill>
                    <a:blip r:embed="rId25"/>
                    <a:stretch>
                      <a:fillRect/>
                    </a:stretch>
                  </pic:blipFill>
                  <pic:spPr>
                    <a:xfrm>
                      <a:off x="0" y="0"/>
                      <a:ext cx="5334000" cy="2751544"/>
                    </a:xfrm>
                    <a:prstGeom prst="rect"/>
                  </pic:spPr>
                </pic:pic>
              </a:graphicData>
            </a:graphic>
          </wp:inline>
        </w:drawing>
      </w:r>
    </w:p>
    <w:p>
      <w:pPr>
        <w:keepLines/>
        <w:spacing w:after="200"/>
        <w:jc w:val="center"/>
      </w:pPr>
      <w:r>
        <w:rPr>
          <w:sz w:val="19"/>
          <w:szCs w:val="19"/>
        </w:rPr>
        <w:t xml:space="preserve">그림 3-6. 스핀 코팅의 네 단계와 회전 속도에 따른 상대 두께 (1,000 rpm 기준 계산값)</w:t>
      </w:r>
    </w:p>
    <w:p>
      <w:pPr>
        <w:spacing w:after="100" w:line="300" w:lineRule="auto"/>
        <w:ind w:firstLine="200"/>
        <w:jc w:val="both"/>
      </w:pPr>
      <w:r>
        <w:rPr/>
        <w:t xml:space="preserve">막 두께 h는 회전 각속도 ω의 제곱근에 반비례한다(h ∝ ω^(−1/2)) [10]. 속도를 4배로 올리면 두께는 절반이 된다. 같은 용액이라면 3,500 rpm에서 만든 막은 1,000 rpm일 때 두께의 약 0.53배(√(1000/3500))다. 연구실에서는 실험으로 찾아 둔 3,500 rpm을 주로 쓰는데 속도를 고정해야 매번 같은 두께의 코팅을 얻는다.</w:t>
      </w:r>
    </w:p>
    <w:p>
      <w:pPr>
        <w:pStyle w:val="NBSLH3"/>
        <w:keepNext/>
        <w:spacing w:before="160" w:after="60"/>
        <w:ind w:left="0" w:firstLine="0"/>
      </w:pPr>
      <w:r>
        <w:rPr>
          <w:b/>
          <w:bCs/>
          <w:sz w:val="22"/>
          <w:szCs w:val="22"/>
        </w:rPr>
        <w:t xml:space="preserve">3.3.2 구성과 사용 순서</w:t>
      </w:r>
    </w:p>
    <w:p>
      <w:pPr>
        <w:spacing w:after="100" w:line="300" w:lineRule="auto"/>
        <w:ind w:firstLine="200"/>
        <w:jc w:val="both"/>
      </w:pPr>
      <w:r>
        <w:rPr/>
        <w:t xml:space="preserve">실습 장비는 동아무역(Dong Ah Tech &amp; Trade)의 ACE-200이다. 패널에 PROG, START, STOP, VACUUM, ENT와 숫자 키가 있고 SYSTEM POWER와 VACUUM POWER 버튼이 따로 있다(그림 3-7). 뒷면의 진공 호스로 척 위의 시료를 빨아들여 고정한다. 수업에서는 PDMS로 만든 원형 패치 위에 콜라겐 같은 물질을 얇게 입혀 세포가 자라기 좋은 표면을 만드는 데 쓴다고 설명했다.</w:t>
      </w:r>
    </w:p>
    <w:p>
      <w:pPr>
        <w:tabs>
          <w:tab w:val="left" w:pos="600"/>
        </w:tabs>
        <w:spacing w:after="30" w:line="290" w:lineRule="auto"/>
        <w:ind w:left="600" w:hanging="340"/>
        <w:jc w:val="both"/>
      </w:pPr>
      <w:r>
        <w:rPr/>
        <w:t xml:space="preserve">1.</w:t>
        <w:tab/>
        <w:t xml:space="preserve">SYSTEM POWER를 켜고 필요한 버튼을 켠다.</w:t>
      </w:r>
    </w:p>
    <w:p>
      <w:pPr>
        <w:tabs>
          <w:tab w:val="left" w:pos="600"/>
        </w:tabs>
        <w:spacing w:after="30" w:line="290" w:lineRule="auto"/>
        <w:ind w:left="600" w:hanging="340"/>
        <w:jc w:val="both"/>
      </w:pPr>
      <w:r>
        <w:rPr/>
        <w:t xml:space="preserve">2.</w:t>
        <w:tab/>
        <w:t xml:space="preserve">PROG를 눌러 프로그램 번호를 고르고 회전 속도(rpm)와 시간을 정한 뒤 ENT로 적용한다.</w:t>
      </w:r>
    </w:p>
    <w:p>
      <w:pPr>
        <w:tabs>
          <w:tab w:val="left" w:pos="600"/>
        </w:tabs>
        <w:spacing w:after="30" w:line="290" w:lineRule="auto"/>
        <w:ind w:left="600" w:hanging="340"/>
        <w:jc w:val="both"/>
      </w:pPr>
      <w:r>
        <w:rPr/>
        <w:t xml:space="preserve">3.</w:t>
        <w:tab/>
        <w:t xml:space="preserve">패치를 척 가운데에 올리고 VACUUM으로 고정한다.</w:t>
      </w:r>
    </w:p>
    <w:p>
      <w:pPr>
        <w:tabs>
          <w:tab w:val="left" w:pos="600"/>
        </w:tabs>
        <w:spacing w:after="30" w:line="290" w:lineRule="auto"/>
        <w:ind w:left="600" w:hanging="340"/>
        <w:jc w:val="both"/>
      </w:pPr>
      <w:r>
        <w:rPr/>
        <w:t xml:space="preserve">4.</w:t>
        <w:tab/>
        <w:t xml:space="preserve">START를 누르고 회전하는 패치 위에 피펫으로 코팅액을 조금씩 떨어뜨린다.</w:t>
      </w:r>
    </w:p>
    <w:p>
      <w:pPr>
        <w:tabs>
          <w:tab w:val="left" w:pos="600"/>
        </w:tabs>
        <w:spacing w:after="120" w:line="290" w:lineRule="auto"/>
        <w:ind w:left="600" w:hanging="340"/>
        <w:jc w:val="both"/>
      </w:pPr>
      <w:r>
        <w:rPr/>
        <w:t xml:space="preserve">5.</w:t>
        <w:tab/>
        <w:t xml:space="preserve">시간이 끝나면 STOP을 누르고 진공을 끈 뒤 패치를 꺼내 튄 용액을 닦는다.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6858" w:type="dxa"/>
              <w:jc w:val="center"/>
              <w:tblBorders>
                <w:top w:val="nil"/>
                <w:left w:val="nil"/>
                <w:bottom w:val="nil"/>
                <w:right w:val="nil"/>
                <w:insideH w:val="nil"/>
                <w:insideV w:val="nil"/>
              </w:tblBorders>
              <w:tblLayout w:type="fixed"/>
              <w:tblCellMar>
                <w:left w:w="60" w:type="dxa"/>
                <w:right w:w="60" w:type="dxa"/>
              </w:tblCellMar>
            </w:tblPr>
            <w:tblGrid>
              <w:gridCol w:w="1672"/>
              <w:gridCol w:w="5186"/>
            </w:tblGrid>
            <w:tr>
              <w:trPr>
                <w:cantSplit/>
              </w:trPr>
              <w:tc>
                <w:tcPr>
                  <w:tcW w:w="1672" w:type="dxa"/>
                  <w:vAlign w:val="bottom"/>
                </w:tcPr>
                <w:p>
                  <w:pPr>
                    <w:spacing w:after="20" w:line="240" w:lineRule="auto"/>
                    <w:jc w:val="center"/>
                  </w:pPr>
                  <w:r>
                    <w:drawing>
                      <wp:inline xmlns:a="http://schemas.openxmlformats.org/drawingml/2006/main" xmlns:pic="http://schemas.openxmlformats.org/drawingml/2006/picture">
                        <wp:extent cx="985837" cy="1655999"/>
                        <wp:docPr id="113" name="Picture 113"/>
                        <wp:cNvGraphicFramePr>
                          <a:graphicFrameLocks noChangeAspect="1"/>
                        </wp:cNvGraphicFramePr>
                        <a:graphic>
                          <a:graphicData uri="http://schemas.openxmlformats.org/drawingml/2006/picture">
                            <pic:pic>
                              <pic:nvPicPr>
                                <pic:cNvPr id="0" name="04_spincoater_coating.jpg"/>
                                <pic:cNvPicPr/>
                              </pic:nvPicPr>
                              <pic:blipFill>
                                <a:blip r:embed="rId26"/>
                                <a:stretch>
                                  <a:fillRect/>
                                </a:stretch>
                              </pic:blipFill>
                              <pic:spPr>
                                <a:xfrm>
                                  <a:off x="0" y="0"/>
                                  <a:ext cx="985837" cy="1655999"/>
                                </a:xfrm>
                                <a:prstGeom prst="rect"/>
                              </pic:spPr>
                            </pic:pic>
                          </a:graphicData>
                        </a:graphic>
                      </wp:inline>
                    </w:drawing>
                  </w:r>
                </w:p>
                <w:p>
                  <w:pPr>
                    <w:spacing w:after="0" w:line="240" w:lineRule="auto"/>
                    <w:jc w:val="center"/>
                  </w:pPr>
                  <w:r>
                    <w:rPr>
                      <w:sz w:val="17"/>
                      <w:szCs w:val="17"/>
                    </w:rPr>
                    <w:t xml:space="preserve">(a) 패치에 코팅액을 떨어뜨리는 장면</w:t>
                  </w:r>
                </w:p>
              </w:tc>
              <w:tc>
                <w:tcPr>
                  <w:tcW w:w="5186" w:type="dxa"/>
                  <w:vAlign w:val="bottom"/>
                </w:tcPr>
                <w:p>
                  <w:pPr>
                    <w:spacing w:after="20" w:line="240" w:lineRule="auto"/>
                    <w:jc w:val="center"/>
                  </w:pPr>
                  <w:r>
                    <w:drawing>
                      <wp:inline xmlns:a="http://schemas.openxmlformats.org/drawingml/2006/main" xmlns:pic="http://schemas.openxmlformats.org/drawingml/2006/picture">
                        <wp:extent cx="3216509" cy="1655999"/>
                        <wp:docPr id="114" name="Picture 114"/>
                        <wp:cNvGraphicFramePr>
                          <a:graphicFrameLocks noChangeAspect="1"/>
                        </wp:cNvGraphicFramePr>
                        <a:graphic>
                          <a:graphicData uri="http://schemas.openxmlformats.org/drawingml/2006/picture">
                            <pic:pic>
                              <pic:nvPicPr>
                                <pic:cNvPr id="0" name="04_spincoater_panel.jpg"/>
                                <pic:cNvPicPr/>
                              </pic:nvPicPr>
                              <pic:blipFill>
                                <a:blip r:embed="rId27"/>
                                <a:stretch>
                                  <a:fillRect/>
                                </a:stretch>
                              </pic:blipFill>
                              <pic:spPr>
                                <a:xfrm>
                                  <a:off x="0" y="0"/>
                                  <a:ext cx="3216509" cy="1655999"/>
                                </a:xfrm>
                                <a:prstGeom prst="rect"/>
                              </pic:spPr>
                            </pic:pic>
                          </a:graphicData>
                        </a:graphic>
                      </wp:inline>
                    </w:drawing>
                  </w:r>
                </w:p>
                <w:p>
                  <w:pPr>
                    <w:spacing w:after="0" w:line="240" w:lineRule="auto"/>
                    <w:jc w:val="center"/>
                  </w:pPr>
                  <w:r>
                    <w:rPr>
                      <w:sz w:val="17"/>
                      <w:szCs w:val="17"/>
                    </w:rPr>
                    <w:t xml:space="preserve">(b) 조작 패널</w:t>
                  </w:r>
                </w:p>
              </w:tc>
            </w:tr>
          </w:tbl>
          <w:p>
            <w:pPr>
              <w:spacing w:before="60" w:after="0"/>
              <w:jc w:val="center"/>
            </w:pPr>
            <w:r>
              <w:rPr>
                <w:sz w:val="19"/>
                <w:szCs w:val="19"/>
              </w:rPr>
              <w:t xml:space="preserve">그림 3-7. ACE-200 스핀 코터</w:t>
            </w:r>
          </w:p>
        </w:tc>
      </w:tr>
    </w:tbl>
    <w:p>
      <w:pPr>
        <w:spacing w:after="120" w:line="240" w:lineRule="auto"/>
      </w:pPr>
    </w:p>
    <w:p>
      <w:pPr>
        <w:pStyle w:val="NBSLH3"/>
        <w:keepNext/>
        <w:spacing w:before="160" w:after="60"/>
        <w:ind w:left="0" w:firstLine="0"/>
      </w:pPr>
      <w:r>
        <w:rPr>
          <w:b/>
          <w:bCs/>
          <w:sz w:val="22"/>
          <w:szCs w:val="22"/>
        </w:rPr>
        <w:t xml:space="preserve">3.3.3 주의점과 이유</w:t>
      </w:r>
    </w:p>
    <w:p>
      <w:pPr>
        <w:spacing w:after="100" w:line="300" w:lineRule="auto"/>
        <w:ind w:firstLine="200"/>
        <w:jc w:val="both"/>
      </w:pPr>
      <w:r>
        <w:rPr/>
        <w:t xml:space="preserve">패치는 척 가운데에 올리고 진공으로 단단히 붙인다. 수천 rpm으로 도는 동안 시료가 중심에서 벗어나면 막이 한쪽으로 두꺼워지고 시료가 튕겨 나갈 수도 있다. 회전 속도와 시간은 매번 같은 값을 쓴다. 두께가 속도에 따라 달라지므로 조건이 바뀐 코팅은 같은 코팅으로 볼 수 없다. 코팅액은 2회차에 익힌 마이크로피펫으로 떨어뜨리므로 넣는 양도 피펫으로 일정하게 맞춘다.</w:t>
      </w:r>
    </w:p>
    <w:p>
      <w:pPr>
        <w:pStyle w:val="NBSLH2"/>
        <w:keepNext/>
        <w:spacing w:before="240" w:after="100"/>
        <w:ind w:left="0" w:firstLine="0"/>
      </w:pPr>
      <w:bookmarkStart w:id="509" w:name="_Toc900509"/>
      <w:r>
        <w:rPr>
          <w:b/>
          <w:bCs/>
          <w:sz w:val="24"/>
          <w:szCs w:val="24"/>
        </w:rPr>
        <w:t xml:space="preserve">3.4 UV 경화 챔버</w:t>
      </w:r>
      <w:bookmarkEnd w:id="509"/>
    </w:p>
    <w:p>
      <w:pPr>
        <w:pStyle w:val="NBSLH3"/>
        <w:keepNext/>
        <w:spacing w:before="160" w:after="60"/>
        <w:ind w:left="0" w:firstLine="0"/>
      </w:pPr>
      <w:r>
        <w:rPr>
          <w:b/>
          <w:bCs/>
          <w:sz w:val="22"/>
          <w:szCs w:val="22"/>
        </w:rPr>
        <w:t xml:space="preserve">3.4.1 원리</w:t>
      </w:r>
    </w:p>
    <w:p>
      <w:pPr>
        <w:spacing w:after="100" w:line="300" w:lineRule="auto"/>
        <w:ind w:firstLine="200"/>
        <w:jc w:val="both"/>
      </w:pPr>
      <w:r>
        <w:rPr/>
        <w:t xml:space="preserve">UV 경화 챔버는 자외선을 쬐어 액체 상태의 UV 경화성 수지를 굳힌다. 수지 속 광개시제가 알맞은 에너지의 빛을 흡수하면 분해되면서 반응성이 큰 물질을 만들고 이 물질이 연쇄 반응을 일으켜 단량체를 서로 잇고 가교시켜 고체 고분자로 바꾼다 [11](그림 3-8 (a)). 아크릴레이트 계열 수지는 라디칼 방식으로 실온에서 몇 초 안에 굳으며 산업용 UV 경화에는 365, 385, 395, 405 nm 빛을 주로 쓴다 [11]. 열을 가해 굳히는 PDMS(2회차)보다 훨씬 빠르다.</w:t>
      </w:r>
    </w:p>
    <w:p>
      <w:pPr>
        <w:keepNext/>
        <w:spacing w:before="120" w:after="40"/>
        <w:jc w:val="center"/>
      </w:pPr>
      <w:r>
        <w:drawing>
          <wp:inline xmlns:a="http://schemas.openxmlformats.org/drawingml/2006/main" xmlns:pic="http://schemas.openxmlformats.org/drawingml/2006/picture">
            <wp:extent cx="5715000" cy="2582157"/>
            <wp:docPr id="115" name="Picture 115"/>
            <wp:cNvGraphicFramePr>
              <a:graphicFrameLocks noChangeAspect="1"/>
            </wp:cNvGraphicFramePr>
            <a:graphic>
              <a:graphicData uri="http://schemas.openxmlformats.org/drawingml/2006/picture">
                <pic:pic>
                  <pic:nvPicPr>
                    <pic:cNvPr id="0" name="f_uv.png"/>
                    <pic:cNvPicPr/>
                  </pic:nvPicPr>
                  <pic:blipFill>
                    <a:blip r:embed="rId28"/>
                    <a:stretch>
                      <a:fillRect/>
                    </a:stretch>
                  </pic:blipFill>
                  <pic:spPr>
                    <a:xfrm>
                      <a:off x="0" y="0"/>
                      <a:ext cx="5715000" cy="2582157"/>
                    </a:xfrm>
                    <a:prstGeom prst="rect"/>
                  </pic:spPr>
                </pic:pic>
              </a:graphicData>
            </a:graphic>
          </wp:inline>
        </w:drawing>
      </w:r>
    </w:p>
    <w:p>
      <w:pPr>
        <w:keepLines/>
        <w:spacing w:after="200"/>
        <w:jc w:val="center"/>
      </w:pPr>
      <w:r>
        <w:rPr>
          <w:sz w:val="19"/>
          <w:szCs w:val="19"/>
        </w:rPr>
        <w:t xml:space="preserve">그림 3-8. UV 광중합과 반복 패턴의 회절 (개념도)</w:t>
      </w:r>
    </w:p>
    <w:p>
      <w:pPr>
        <w:spacing w:after="100" w:line="300" w:lineRule="auto"/>
        <w:ind w:firstLine="200"/>
        <w:jc w:val="both"/>
      </w:pPr>
      <w:r>
        <w:rPr/>
        <w:t xml:space="preserve">나노 패턴 필름은 UV 나노임프린트로 만든다. 경화 전 수지를 바르고 패턴이 새겨진 몰드를 누른 채 UV를 쬐어 굳힌 다음 몰드를 떼면 패턴이 수지에 옮겨진다. 365 nm UV와 PET 필름 몰드를 쓴 예가 보고되어 있다 [12]. 수업에서 설명한 과정, 곧 실리콘 웨이퍼의 패턴을 PET 필름 위 폴리머에 옮겨 UV로 굳히는 과정도 이 방식으로 보인다.</w:t>
      </w:r>
    </w:p>
    <w:p>
      <w:pPr>
        <w:spacing w:after="100" w:line="300" w:lineRule="auto"/>
        <w:ind w:firstLine="200"/>
        <w:jc w:val="both"/>
      </w:pPr>
      <w:r>
        <w:rPr/>
        <w:t xml:space="preserve">챔버에서 꺼낸 필름은 보는 각도에 따라 무지개색으로 반짝였다(그림 3-9 (b)). 일정한 간격 d로 반복된 패턴은 회절격자처럼 작동하고 밝은 빛은 d sin θ = mλ를 만족하는 방향에 나타난다 [13]. 파장 λ마다 θ가 다르므로 여러 파장이 섞인 백색광이 색별로 다른 방향으로 갈라진다(그림 3-8 (b)). 그래서 현미경으로는 형태가 보이지 않는 패턴도 맨눈에는 색으로 드러난다.</w:t>
      </w:r>
    </w:p>
    <w:p>
      <w:pPr>
        <w:pStyle w:val="NBSLH3"/>
        <w:keepNext/>
        <w:spacing w:before="160" w:after="60"/>
        <w:ind w:left="0" w:firstLine="0"/>
      </w:pPr>
      <w:r>
        <w:rPr>
          <w:b/>
          <w:bCs/>
          <w:sz w:val="22"/>
          <w:szCs w:val="22"/>
        </w:rPr>
        <w:t xml:space="preserve">3.4.2 구성과 주의점</w:t>
      </w:r>
    </w:p>
    <w:p>
      <w:pPr>
        <w:spacing w:after="100" w:line="300" w:lineRule="auto"/>
        <w:ind w:firstLine="200"/>
        <w:jc w:val="both"/>
      </w:pPr>
      <w:r>
        <w:rPr/>
        <w:t xml:space="preserve">실습 장비는 서랍형 UV-A 경화 챔버로 패널에 POWER 스위치, LAMP 1·2 스위치, 디지털 타이머(TIME CONTROL)가 있다. 램프와 시간을 패널에서 정하는 구조이며 램프를 켜면 서랍 안이 파랗게 빛난다(그림 3-9 (a)).</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4066" w:type="dxa"/>
              <w:jc w:val="center"/>
              <w:tblBorders>
                <w:top w:val="nil"/>
                <w:left w:val="nil"/>
                <w:bottom w:val="nil"/>
                <w:right w:val="nil"/>
                <w:insideH w:val="nil"/>
                <w:insideV w:val="nil"/>
              </w:tblBorders>
              <w:tblLayout w:type="fixed"/>
              <w:tblCellMar>
                <w:left w:w="60" w:type="dxa"/>
                <w:right w:w="60" w:type="dxa"/>
              </w:tblCellMar>
            </w:tblPr>
            <w:tblGrid>
              <w:gridCol w:w="2033"/>
              <w:gridCol w:w="2033"/>
            </w:tblGrid>
            <w:tr>
              <w:trPr>
                <w:cantSplit/>
              </w:trPr>
              <w:tc>
                <w:tcPr>
                  <w:tcW w:w="2033" w:type="dxa"/>
                  <w:vAlign w:val="bottom"/>
                </w:tcPr>
                <w:p>
                  <w:pPr>
                    <w:spacing w:after="20" w:line="240" w:lineRule="auto"/>
                    <w:jc w:val="center"/>
                  </w:pPr>
                  <w:r>
                    <w:drawing>
                      <wp:inline xmlns:a="http://schemas.openxmlformats.org/drawingml/2006/main" xmlns:pic="http://schemas.openxmlformats.org/drawingml/2006/picture">
                        <wp:extent cx="1215000" cy="2160000"/>
                        <wp:docPr id="116" name="Picture 116"/>
                        <wp:cNvGraphicFramePr>
                          <a:graphicFrameLocks noChangeAspect="1"/>
                        </wp:cNvGraphicFramePr>
                        <a:graphic>
                          <a:graphicData uri="http://schemas.openxmlformats.org/drawingml/2006/picture">
                            <pic:pic>
                              <pic:nvPicPr>
                                <pic:cNvPr id="0" name="05_uv_lamp-on.jpg"/>
                                <pic:cNvPicPr/>
                              </pic:nvPicPr>
                              <pic:blipFill>
                                <a:blip r:embed="rId29"/>
                                <a:stretch>
                                  <a:fillRect/>
                                </a:stretch>
                              </pic:blipFill>
                              <pic:spPr>
                                <a:xfrm>
                                  <a:off x="0" y="0"/>
                                  <a:ext cx="1215000" cy="2160000"/>
                                </a:xfrm>
                                <a:prstGeom prst="rect"/>
                              </pic:spPr>
                            </pic:pic>
                          </a:graphicData>
                        </a:graphic>
                      </wp:inline>
                    </w:drawing>
                  </w:r>
                </w:p>
                <w:p>
                  <w:pPr>
                    <w:spacing w:after="0" w:line="240" w:lineRule="auto"/>
                    <w:jc w:val="center"/>
                  </w:pPr>
                  <w:r>
                    <w:rPr>
                      <w:sz w:val="17"/>
                      <w:szCs w:val="17"/>
                    </w:rPr>
                    <w:t xml:space="preserve">(a) 램프를 켠 서랍</w:t>
                  </w:r>
                </w:p>
              </w:tc>
              <w:tc>
                <w:tcPr>
                  <w:tcW w:w="2033" w:type="dxa"/>
                  <w:vAlign w:val="bottom"/>
                </w:tcPr>
                <w:p>
                  <w:pPr>
                    <w:spacing w:after="20" w:line="240" w:lineRule="auto"/>
                    <w:jc w:val="center"/>
                  </w:pPr>
                  <w:r>
                    <w:drawing>
                      <wp:inline xmlns:a="http://schemas.openxmlformats.org/drawingml/2006/main" xmlns:pic="http://schemas.openxmlformats.org/drawingml/2006/picture">
                        <wp:extent cx="1215000" cy="2160000"/>
                        <wp:docPr id="117" name="Picture 117"/>
                        <wp:cNvGraphicFramePr>
                          <a:graphicFrameLocks noChangeAspect="1"/>
                        </wp:cNvGraphicFramePr>
                        <a:graphic>
                          <a:graphicData uri="http://schemas.openxmlformats.org/drawingml/2006/picture">
                            <pic:pic>
                              <pic:nvPicPr>
                                <pic:cNvPr id="0" name="05_uv_nanopattern-film.jpg"/>
                                <pic:cNvPicPr/>
                              </pic:nvPicPr>
                              <pic:blipFill>
                                <a:blip r:embed="rId30"/>
                                <a:stretch>
                                  <a:fillRect/>
                                </a:stretch>
                              </pic:blipFill>
                              <pic:spPr>
                                <a:xfrm>
                                  <a:off x="0" y="0"/>
                                  <a:ext cx="1215000" cy="2160000"/>
                                </a:xfrm>
                                <a:prstGeom prst="rect"/>
                              </pic:spPr>
                            </pic:pic>
                          </a:graphicData>
                        </a:graphic>
                      </wp:inline>
                    </w:drawing>
                  </w:r>
                </w:p>
                <w:p>
                  <w:pPr>
                    <w:spacing w:after="0" w:line="240" w:lineRule="auto"/>
                    <w:jc w:val="center"/>
                  </w:pPr>
                  <w:r>
                    <w:rPr>
                      <w:sz w:val="17"/>
                      <w:szCs w:val="17"/>
                    </w:rPr>
                    <w:t xml:space="preserve">(b) 빛에 반짝이는 필름</w:t>
                  </w:r>
                </w:p>
              </w:tc>
            </w:tr>
          </w:tbl>
          <w:p>
            <w:pPr>
              <w:spacing w:before="60" w:after="0"/>
              <w:jc w:val="center"/>
            </w:pPr>
            <w:r>
              <w:rPr>
                <w:sz w:val="19"/>
                <w:szCs w:val="19"/>
              </w:rPr>
              <w:t xml:space="preserve">그림 3-9. UV-A 경화 챔버와 나노 패턴 필름</w:t>
            </w:r>
          </w:p>
        </w:tc>
      </w:tr>
    </w:tbl>
    <w:p>
      <w:pPr>
        <w:spacing w:after="120" w:line="240" w:lineRule="auto"/>
      </w:pPr>
    </w:p>
    <w:p>
      <w:pPr>
        <w:spacing w:after="100" w:line="300" w:lineRule="auto"/>
        <w:ind w:firstLine="200"/>
        <w:jc w:val="both"/>
      </w:pPr>
      <w:r>
        <w:rPr/>
        <w:t xml:space="preserve">WHO 분류로 UV-A는 315–400 nm, UV-B는 280–315 nm, UV-C는 100–280 nm다 [1]. 실습 장비 패널에는 UV-A라고 적혀 있다. UV-A는 피부 깊은 층까지 들어가 노화를 일으키고 피부암 위험을 높일 수 있다 [1]. 수업에서 UV는 몸에 좋지 않으니 항상 조심하라고 한 이유가 여기에 있으며 램프가 켜진 동안에는 빛에 피부를 오래 내놓지 않는다.</w:t>
      </w:r>
    </w:p>
    <w:p>
      <w:pPr>
        <w:pStyle w:val="NBSLH2"/>
        <w:keepNext/>
        <w:spacing w:before="240" w:after="100"/>
        <w:ind w:left="0" w:firstLine="0"/>
      </w:pPr>
      <w:bookmarkStart w:id="510" w:name="_Toc900510"/>
      <w:r>
        <w:rPr>
          <w:b/>
          <w:bCs/>
          <w:sz w:val="24"/>
          <w:szCs w:val="24"/>
        </w:rPr>
        <w:t xml:space="preserve">3.5 생물안전작업대와 클린벤치</w:t>
      </w:r>
      <w:bookmarkEnd w:id="510"/>
    </w:p>
    <w:p>
      <w:pPr>
        <w:pStyle w:val="NBSLH3"/>
        <w:keepNext/>
        <w:spacing w:before="160" w:after="60"/>
        <w:ind w:left="0" w:firstLine="0"/>
      </w:pPr>
      <w:r>
        <w:rPr>
          <w:b/>
          <w:bCs/>
          <w:sz w:val="22"/>
          <w:szCs w:val="22"/>
        </w:rPr>
        <w:t xml:space="preserve">3.5.1 원리</w:t>
      </w:r>
    </w:p>
    <w:p>
      <w:pPr>
        <w:spacing w:after="100" w:line="300" w:lineRule="auto"/>
        <w:ind w:firstLine="200"/>
        <w:jc w:val="both"/>
      </w:pPr>
      <w:r>
        <w:rPr/>
        <w:t xml:space="preserve">세포 실험은 무균 작업대 안에서 한다. 작업대는 HEPA 필터로 거른 공기를 작업 공간에 계속 흘려 먼지와 미생물이 들어오지 못하게 한다. HEPA 필터는 0.3 µm 입자를 99.97 % 이상 거른다 [14]. 수업에서는 작업대 안을 UV로 살균하고 팬으로 바깥 먼지를 계속 막는다고 설명했다.</w:t>
      </w:r>
    </w:p>
    <w:p>
      <w:pPr>
        <w:keepNext/>
        <w:spacing w:after="100" w:line="300" w:lineRule="auto"/>
        <w:ind w:firstLine="200"/>
        <w:jc w:val="both"/>
      </w:pPr>
      <w:r>
        <w:rPr/>
        <w:t xml:space="preserve">흔히 클린벤치라고 부르는 작업대는 두 종류로 나뉘고 보호 대상이 다르다(표 3-1, 그림 3-10). 클린벤치(층류 작업대)는 거른 공기를 작업자 쪽으로 내보내 시료만 보호한다. 생물안전작업대(BSC) Class II는 거른 공기를 위에서 아래로 흘리고 앞쪽 그릴로 실내 공기를 빨아들여 시료와 작업자, 실험실 환경을 함께 보호한다 [14], [2]. 클린벤치는 공기가 작업자를 향하므로 세포나 미생물 같은 생물 위해 물질에는 쓰면 안 된다 [2].</w:t>
      </w:r>
    </w:p>
    <w:p>
      <w:pPr>
        <w:keepNext/>
        <w:spacing w:before="160" w:after="80"/>
        <w:jc w:val="center"/>
      </w:pPr>
      <w:r>
        <w:rPr>
          <w:sz w:val="19"/>
          <w:szCs w:val="19"/>
        </w:rPr>
        <w:t xml:space="preserve">표 3-1. 클린벤치와 생물안전작업대의 비교 [14], [2]</w:t>
      </w:r>
    </w:p>
    <w:tbl>
      <w:tblPr>
        <w:tblStyle w:val="a3"/>
        <w:tblW w:w="9144" w:type="dxa"/>
        <w:jc w:val="center"/>
        <w:tblLayout w:type="fixed"/>
        <w:tblCellMar>
          <w:top w:w="40" w:type="dxa"/>
          <w:left w:w="90" w:type="dxa"/>
          <w:bottom w:w="40" w:type="dxa"/>
          <w:right w:w="90" w:type="dxa"/>
        </w:tblCellMar>
      </w:tblPr>
      <w:tblGrid>
        <w:gridCol w:w="1800"/>
        <w:gridCol w:w="3400"/>
        <w:gridCol w:w="3944"/>
      </w:tblGrid>
      <w:tr>
        <w:trPr>
          <w:cantSplit/>
          <w:tblHeader/>
        </w:trPr>
        <w:tc>
          <w:tcPr>
            <w:tcW w:w="1800" w:type="dxa"/>
            <w:shd w:val="clear" w:color="auto" w:fill="E7EEF6"/>
            <w:vAlign w:val="center"/>
          </w:tcPr>
          <w:p>
            <w:pPr>
              <w:keepNext/>
              <w:spacing w:after="0" w:line="260" w:lineRule="auto"/>
              <w:jc w:val="center"/>
            </w:pPr>
            <w:r>
              <w:rPr>
                <w:b/>
                <w:bCs/>
                <w:sz w:val="19"/>
                <w:szCs w:val="19"/>
              </w:rPr>
              <w:t xml:space="preserve">구분</w:t>
            </w:r>
          </w:p>
        </w:tc>
        <w:tc>
          <w:tcPr>
            <w:tcW w:w="3400" w:type="dxa"/>
            <w:shd w:val="clear" w:color="auto" w:fill="E7EEF6"/>
            <w:vAlign w:val="center"/>
          </w:tcPr>
          <w:p>
            <w:pPr>
              <w:keepNext/>
              <w:spacing w:after="0" w:line="260" w:lineRule="auto"/>
              <w:jc w:val="center"/>
            </w:pPr>
            <w:r>
              <w:rPr>
                <w:b/>
                <w:bCs/>
                <w:sz w:val="19"/>
                <w:szCs w:val="19"/>
              </w:rPr>
              <w:t xml:space="preserve">클린벤치 (층류 작업대)</w:t>
            </w:r>
          </w:p>
        </w:tc>
        <w:tc>
          <w:tcPr>
            <w:tcW w:w="3944" w:type="dxa"/>
            <w:shd w:val="clear" w:color="auto" w:fill="E7EEF6"/>
            <w:vAlign w:val="center"/>
          </w:tcPr>
          <w:p>
            <w:pPr>
              <w:keepNext/>
              <w:spacing w:after="0" w:line="260" w:lineRule="auto"/>
              <w:jc w:val="center"/>
            </w:pPr>
            <w:r>
              <w:rPr>
                <w:b/>
                <w:bCs/>
                <w:sz w:val="19"/>
                <w:szCs w:val="19"/>
              </w:rPr>
              <w:t xml:space="preserve">생물안전작업대 (BSC Class II)</w:t>
            </w:r>
          </w:p>
        </w:tc>
      </w:tr>
      <w:tr>
        <w:trPr>
          <w:cantSplit/>
        </w:trPr>
        <w:tc>
          <w:tcPr>
            <w:tcW w:w="1800" w:type="dxa"/>
            <w:vAlign w:val="center"/>
          </w:tcPr>
          <w:p>
            <w:pPr>
              <w:keepNext/>
              <w:spacing w:after="0" w:line="260" w:lineRule="auto"/>
              <w:jc w:val="center"/>
            </w:pPr>
            <w:r>
              <w:rPr>
                <w:sz w:val="19"/>
                <w:szCs w:val="19"/>
              </w:rPr>
              <w:t xml:space="preserve">보호 대상</w:t>
            </w:r>
          </w:p>
        </w:tc>
        <w:tc>
          <w:tcPr>
            <w:tcW w:w="3400" w:type="dxa"/>
            <w:vAlign w:val="center"/>
          </w:tcPr>
          <w:p>
            <w:pPr>
              <w:keepNext/>
              <w:spacing w:after="0" w:line="260" w:lineRule="auto"/>
              <w:jc w:val="left"/>
            </w:pPr>
            <w:r>
              <w:rPr>
                <w:sz w:val="19"/>
                <w:szCs w:val="19"/>
              </w:rPr>
              <w:t xml:space="preserve">시료</w:t>
            </w:r>
          </w:p>
        </w:tc>
        <w:tc>
          <w:tcPr>
            <w:tcW w:w="3944" w:type="dxa"/>
            <w:vAlign w:val="center"/>
          </w:tcPr>
          <w:p>
            <w:pPr>
              <w:keepNext/>
              <w:spacing w:after="0" w:line="260" w:lineRule="auto"/>
              <w:jc w:val="left"/>
            </w:pPr>
            <w:r>
              <w:rPr>
                <w:sz w:val="19"/>
                <w:szCs w:val="19"/>
              </w:rPr>
              <w:t xml:space="preserve">시료, 작업자, 실험실 환경</w:t>
            </w:r>
          </w:p>
        </w:tc>
      </w:tr>
      <w:tr>
        <w:trPr>
          <w:cantSplit/>
        </w:trPr>
        <w:tc>
          <w:tcPr>
            <w:tcW w:w="1800" w:type="dxa"/>
            <w:vAlign w:val="center"/>
          </w:tcPr>
          <w:p>
            <w:pPr>
              <w:keepNext/>
              <w:spacing w:after="0" w:line="260" w:lineRule="auto"/>
              <w:jc w:val="center"/>
            </w:pPr>
            <w:r>
              <w:rPr>
                <w:sz w:val="19"/>
                <w:szCs w:val="19"/>
              </w:rPr>
              <w:t xml:space="preserve">공기 흐름</w:t>
            </w:r>
          </w:p>
        </w:tc>
        <w:tc>
          <w:tcPr>
            <w:tcW w:w="3400" w:type="dxa"/>
            <w:vAlign w:val="center"/>
          </w:tcPr>
          <w:p>
            <w:pPr>
              <w:keepNext/>
              <w:spacing w:after="0" w:line="260" w:lineRule="auto"/>
              <w:jc w:val="left"/>
            </w:pPr>
            <w:r>
              <w:rPr>
                <w:sz w:val="19"/>
                <w:szCs w:val="19"/>
              </w:rPr>
              <w:t xml:space="preserve">HEPA로 거른 공기를 작업자 쪽으로 내보냄</w:t>
            </w:r>
          </w:p>
        </w:tc>
        <w:tc>
          <w:tcPr>
            <w:tcW w:w="3944" w:type="dxa"/>
            <w:vAlign w:val="center"/>
          </w:tcPr>
          <w:p>
            <w:pPr>
              <w:keepNext/>
              <w:spacing w:after="0" w:line="260" w:lineRule="auto"/>
              <w:jc w:val="left"/>
            </w:pPr>
            <w:r>
              <w:rPr>
                <w:sz w:val="19"/>
                <w:szCs w:val="19"/>
              </w:rPr>
              <w:t xml:space="preserve">거른 공기가 위에서 아래로 흐르고 앞쪽 그릴로 실내 공기를 빨아들임</w:t>
            </w:r>
          </w:p>
        </w:tc>
      </w:tr>
      <w:tr>
        <w:trPr>
          <w:cantSplit/>
        </w:trPr>
        <w:tc>
          <w:tcPr>
            <w:tcW w:w="1800" w:type="dxa"/>
            <w:vAlign w:val="center"/>
          </w:tcPr>
          <w:p>
            <w:pPr>
              <w:spacing w:after="0" w:line="260" w:lineRule="auto"/>
              <w:jc w:val="center"/>
            </w:pPr>
            <w:r>
              <w:rPr>
                <w:sz w:val="19"/>
                <w:szCs w:val="19"/>
              </w:rPr>
              <w:t xml:space="preserve">알맞은 작업</w:t>
            </w:r>
          </w:p>
        </w:tc>
        <w:tc>
          <w:tcPr>
            <w:tcW w:w="3400" w:type="dxa"/>
            <w:vAlign w:val="center"/>
          </w:tcPr>
          <w:p>
            <w:pPr>
              <w:spacing w:after="0" w:line="260" w:lineRule="auto"/>
              <w:jc w:val="left"/>
            </w:pPr>
            <w:r>
              <w:rPr>
                <w:sz w:val="19"/>
                <w:szCs w:val="19"/>
              </w:rPr>
              <w:t xml:space="preserve">감염성이 없는 시료의 무균 작업</w:t>
            </w:r>
          </w:p>
        </w:tc>
        <w:tc>
          <w:tcPr>
            <w:tcW w:w="3944" w:type="dxa"/>
            <w:vAlign w:val="center"/>
          </w:tcPr>
          <w:p>
            <w:pPr>
              <w:spacing w:after="0" w:line="260" w:lineRule="auto"/>
              <w:jc w:val="left"/>
            </w:pPr>
            <w:r>
              <w:rPr>
                <w:sz w:val="19"/>
                <w:szCs w:val="19"/>
              </w:rPr>
              <w:t xml:space="preserve">세포·미생물 등 생물 위해 물질을 다루는 작업</w:t>
            </w:r>
          </w:p>
        </w:tc>
      </w:tr>
    </w:tbl>
    <w:p>
      <w:pPr>
        <w:spacing w:after="60" w:line="240" w:lineRule="auto"/>
      </w:pPr>
    </w:p>
    <w:p>
      <w:pPr>
        <w:keepNext/>
        <w:spacing w:before="120" w:after="40"/>
        <w:jc w:val="center"/>
      </w:pPr>
      <w:r>
        <w:drawing>
          <wp:inline xmlns:a="http://schemas.openxmlformats.org/drawingml/2006/main" xmlns:pic="http://schemas.openxmlformats.org/drawingml/2006/picture">
            <wp:extent cx="5143500" cy="2311513"/>
            <wp:docPr id="118" name="Picture 118"/>
            <wp:cNvGraphicFramePr>
              <a:graphicFrameLocks noChangeAspect="1"/>
            </wp:cNvGraphicFramePr>
            <a:graphic>
              <a:graphicData uri="http://schemas.openxmlformats.org/drawingml/2006/picture">
                <pic:pic>
                  <pic:nvPicPr>
                    <pic:cNvPr id="0" name="f_bsc.png"/>
                    <pic:cNvPicPr/>
                  </pic:nvPicPr>
                  <pic:blipFill>
                    <a:blip r:embed="rId31"/>
                    <a:stretch>
                      <a:fillRect/>
                    </a:stretch>
                  </pic:blipFill>
                  <pic:spPr>
                    <a:xfrm>
                      <a:off x="0" y="0"/>
                      <a:ext cx="5143500" cy="2311513"/>
                    </a:xfrm>
                    <a:prstGeom prst="rect"/>
                  </pic:spPr>
                </pic:pic>
              </a:graphicData>
            </a:graphic>
          </wp:inline>
        </w:drawing>
      </w:r>
    </w:p>
    <w:p>
      <w:pPr>
        <w:keepLines/>
        <w:spacing w:after="200"/>
        <w:jc w:val="center"/>
      </w:pPr>
      <w:r>
        <w:rPr>
          <w:sz w:val="19"/>
          <w:szCs w:val="19"/>
        </w:rPr>
        <w:t xml:space="preserve">그림 3-10. 클린벤치와 생물안전작업대의 공기 흐름 (개념도)</w:t>
      </w:r>
    </w:p>
    <w:p>
      <w:pPr>
        <w:pStyle w:val="NBSLH3"/>
        <w:keepNext/>
        <w:spacing w:before="160" w:after="60"/>
        <w:ind w:left="0" w:firstLine="0"/>
      </w:pPr>
      <w:r>
        <w:rPr>
          <w:b/>
          <w:bCs/>
          <w:sz w:val="22"/>
          <w:szCs w:val="22"/>
        </w:rPr>
        <w:t xml:space="preserve">3.5.2 실습 장비와 주의점</w:t>
      </w:r>
    </w:p>
    <w:p>
      <w:pPr>
        <w:spacing w:after="100" w:line="300" w:lineRule="auto"/>
        <w:ind w:firstLine="200"/>
        <w:jc w:val="both"/>
      </w:pPr>
      <w:r>
        <w:rPr/>
        <w:t xml:space="preserve">세포 실험실 왼쪽 작업대에는 BSC Class II Type A2 라벨과 생물위해 표시가 붙어 있어 생물안전작업대임을 확인했다. 그 옆에 BioFree 제품 작업대와 Thermo 인큐베이터가 있다(그림 3-11). 수업에서 클린벤치라고 소개한 장비가 이 가운데 어느 것인지는 확인하지 못했다. 세포 실험용 작업대로 설명했으므로 이 보고서는 생물안전작업대 기준으로 정리했다.</w:t>
      </w:r>
    </w:p>
    <w:p>
      <w:pPr>
        <w:keepNext/>
        <w:spacing w:before="120" w:after="40"/>
        <w:jc w:val="center"/>
      </w:pPr>
      <w:r>
        <w:drawing>
          <wp:inline xmlns:a="http://schemas.openxmlformats.org/drawingml/2006/main" xmlns:pic="http://schemas.openxmlformats.org/drawingml/2006/picture">
            <wp:extent cx="1728000" cy="2304000"/>
            <wp:docPr id="119" name="Picture 119"/>
            <wp:cNvGraphicFramePr>
              <a:graphicFrameLocks noChangeAspect="1"/>
            </wp:cNvGraphicFramePr>
            <a:graphic>
              <a:graphicData uri="http://schemas.openxmlformats.org/drawingml/2006/picture">
                <pic:pic>
                  <pic:nvPicPr>
                    <pic:cNvPr id="0" name="01_lab_bsc-cleanbench-incubator.jpg"/>
                    <pic:cNvPicPr/>
                  </pic:nvPicPr>
                  <pic:blipFill>
                    <a:blip r:embed="rId32"/>
                    <a:stretch>
                      <a:fillRect/>
                    </a:stretch>
                  </pic:blipFill>
                  <pic:spPr>
                    <a:xfrm>
                      <a:off x="0" y="0"/>
                      <a:ext cx="1728000" cy="2304000"/>
                    </a:xfrm>
                    <a:prstGeom prst="rect"/>
                  </pic:spPr>
                </pic:pic>
              </a:graphicData>
            </a:graphic>
          </wp:inline>
        </w:drawing>
      </w:r>
    </w:p>
    <w:p>
      <w:pPr>
        <w:keepLines/>
        <w:spacing w:before="60" w:after="200"/>
        <w:jc w:val="center"/>
      </w:pPr>
      <w:r>
        <w:rPr>
          <w:sz w:val="19"/>
          <w:szCs w:val="19"/>
        </w:rPr>
        <w:t xml:space="preserve">그림 3-11. 세포 실험실의 생물안전작업대(왼쪽), 작업대(가운데), 인큐베이터(오른쪽)</w:t>
      </w:r>
    </w:p>
    <w:p>
      <w:pPr>
        <w:spacing w:after="100" w:line="300" w:lineRule="auto"/>
        <w:ind w:firstLine="200"/>
        <w:jc w:val="both"/>
      </w:pPr>
      <w:r>
        <w:rPr/>
        <w:t xml:space="preserve">작업대는 세포 실험 전용으로 쓰고 먼지가 생기는 다른 실험은 하지 않는다. UV 램프는 작업 전후 표면을 살균할 때만 켜고 램프를 켠 채로 작업하지 않는다 [2].</w:t>
      </w:r>
    </w:p>
    <w:p>
      <w:pPr>
        <w:pStyle w:val="NBSLH2"/>
        <w:keepNext/>
        <w:spacing w:before="240" w:after="100"/>
        <w:ind w:left="0" w:firstLine="0"/>
      </w:pPr>
      <w:bookmarkStart w:id="511" w:name="_Toc900511"/>
      <w:r>
        <w:rPr>
          <w:b/>
          <w:bCs/>
          <w:sz w:val="24"/>
          <w:szCs w:val="24"/>
        </w:rPr>
        <w:t xml:space="preserve">3.6 오토클레이브</w:t>
      </w:r>
      <w:bookmarkEnd w:id="511"/>
    </w:p>
    <w:p>
      <w:pPr>
        <w:pStyle w:val="NBSLH3"/>
        <w:keepNext/>
        <w:spacing w:before="160" w:after="60"/>
        <w:ind w:left="0" w:firstLine="0"/>
      </w:pPr>
      <w:r>
        <w:rPr>
          <w:b/>
          <w:bCs/>
          <w:sz w:val="22"/>
          <w:szCs w:val="22"/>
        </w:rPr>
        <w:t xml:space="preserve">3.6.1 원리</w:t>
      </w:r>
    </w:p>
    <w:p>
      <w:pPr>
        <w:spacing w:after="100" w:line="300" w:lineRule="auto"/>
        <w:ind w:firstLine="200"/>
        <w:jc w:val="both"/>
      </w:pPr>
      <w:r>
        <w:rPr/>
        <w:t xml:space="preserve">오토클레이브는 고온·고압의 포화 증기로 기구와 용액을 멸균한다. 습열은 미생물의 효소와 구조 단백질을 되돌릴 수 없게 응고·변성시킨다 [15]. 멸균에는 증기, 압력, 온도, 시간 네 조건이 모두 맞아야 한다. 이 가운데 압력은 높은 온도를 얻기 위한 수단이다 [15]. 대기압에서 물은 100 °C에서 끓지만 밀폐한 용기 안의 압력을 높이면 끓는점이 올라간다. 포화 증기의 온도가 121 °C가 되는 압력은 절대압으로 약 2.05 bar, 대기압을 뺀 게이지 압력으로 약 1.0 bar다(그림 3-12).</w:t>
      </w:r>
    </w:p>
    <w:p>
      <w:pPr>
        <w:keepNext/>
        <w:spacing w:before="120" w:after="40"/>
        <w:jc w:val="center"/>
      </w:pPr>
      <w:r>
        <w:drawing>
          <wp:inline xmlns:a="http://schemas.openxmlformats.org/drawingml/2006/main" xmlns:pic="http://schemas.openxmlformats.org/drawingml/2006/picture">
            <wp:extent cx="4190999" cy="2235797"/>
            <wp:docPr id="120" name="Picture 120"/>
            <wp:cNvGraphicFramePr>
              <a:graphicFrameLocks noChangeAspect="1"/>
            </wp:cNvGraphicFramePr>
            <a:graphic>
              <a:graphicData uri="http://schemas.openxmlformats.org/drawingml/2006/picture">
                <pic:pic>
                  <pic:nvPicPr>
                    <pic:cNvPr id="0" name="f_auto.png"/>
                    <pic:cNvPicPr/>
                  </pic:nvPicPr>
                  <pic:blipFill>
                    <a:blip r:embed="rId33"/>
                    <a:stretch>
                      <a:fillRect/>
                    </a:stretch>
                  </pic:blipFill>
                  <pic:spPr>
                    <a:xfrm>
                      <a:off x="0" y="0"/>
                      <a:ext cx="4190999" cy="2235797"/>
                    </a:xfrm>
                    <a:prstGeom prst="rect"/>
                  </pic:spPr>
                </pic:pic>
              </a:graphicData>
            </a:graphic>
          </wp:inline>
        </w:drawing>
      </w:r>
    </w:p>
    <w:p>
      <w:pPr>
        <w:keepLines/>
        <w:spacing w:after="200"/>
        <w:jc w:val="center"/>
      </w:pPr>
      <w:r>
        <w:rPr>
          <w:sz w:val="19"/>
          <w:szCs w:val="19"/>
        </w:rPr>
        <w:t xml:space="preserve">그림 3-12. 물의 포화 증기 압력과 온도 (IAPWS-IF97 식으로 계산)</w:t>
      </w:r>
    </w:p>
    <w:p>
      <w:pPr>
        <w:spacing w:after="100" w:line="300" w:lineRule="auto"/>
        <w:ind w:firstLine="200"/>
        <w:jc w:val="both"/>
      </w:pPr>
      <w:r>
        <w:rPr/>
        <w:t xml:space="preserve">대표 멸균 조건은 121 °C이며 중력 치환식 멸균기에서는 최소 30분이 필요하다. 진공식 멸균기에서는 132 °C에서 최소 4분을 쓴다 [15]. 실습 장비의 설정 온도 121.2 °C는 이 표준 조건에 해당한다.</w:t>
      </w:r>
    </w:p>
    <w:p>
      <w:pPr>
        <w:pStyle w:val="NBSLH3"/>
        <w:keepNext/>
        <w:spacing w:before="160" w:after="60"/>
        <w:ind w:left="0" w:firstLine="0"/>
      </w:pPr>
      <w:r>
        <w:rPr>
          <w:b/>
          <w:bCs/>
          <w:sz w:val="22"/>
          <w:szCs w:val="22"/>
        </w:rPr>
        <w:t xml:space="preserve">3.6.2 구성과 사용 순서</w:t>
      </w:r>
    </w:p>
    <w:p>
      <w:pPr>
        <w:spacing w:after="100" w:line="300" w:lineRule="auto"/>
        <w:ind w:firstLine="200"/>
        <w:jc w:val="both"/>
      </w:pPr>
      <w:r>
        <w:rPr/>
        <w:t xml:space="preserve">실습 장비는 DAIHAN Scientific 제품으로 패널에 Digital Fuzzy Control System이라고 적혀 있다. 화면 윗줄의 Temp SV 121.2 °C는 설정 온도이고 아랫줄 Temp PV는 현재 온도로 보이며 패널 옆에 압력 게이지가 있다(그림 3-13 (a)). 기본 설정값이 저장돼 있어 시작을 누르면 타이머와 온도가 자동으로 진행된다.</w:t>
      </w:r>
    </w:p>
    <w:p>
      <w:pPr>
        <w:tabs>
          <w:tab w:val="left" w:pos="600"/>
        </w:tabs>
        <w:spacing w:after="30" w:line="290" w:lineRule="auto"/>
        <w:ind w:left="600" w:hanging="340"/>
        <w:jc w:val="both"/>
      </w:pPr>
      <w:r>
        <w:rPr/>
        <w:t xml:space="preserve">1.</w:t>
        <w:tab/>
        <w:t xml:space="preserve">장비 안에 수돗물이 아닌 증류수를 넣는다.</w:t>
      </w:r>
    </w:p>
    <w:p>
      <w:pPr>
        <w:tabs>
          <w:tab w:val="left" w:pos="600"/>
        </w:tabs>
        <w:spacing w:after="30" w:line="290" w:lineRule="auto"/>
        <w:ind w:left="600" w:hanging="340"/>
        <w:jc w:val="both"/>
      </w:pPr>
      <w:r>
        <w:rPr/>
        <w:t xml:space="preserve">2.</w:t>
        <w:tab/>
        <w:t xml:space="preserve">멸균할 기구에 멸균 확인 테이프를 붙이고 용기에 담아 넣는다.</w:t>
      </w:r>
    </w:p>
    <w:p>
      <w:pPr>
        <w:tabs>
          <w:tab w:val="left" w:pos="600"/>
        </w:tabs>
        <w:spacing w:after="30" w:line="290" w:lineRule="auto"/>
        <w:ind w:left="600" w:hanging="340"/>
        <w:jc w:val="both"/>
      </w:pPr>
      <w:r>
        <w:rPr/>
        <w:t xml:space="preserve">3.</w:t>
        <w:tab/>
        <w:t xml:space="preserve">뚜껑을 닫고 손잡이를 돌려 잠근다.</w:t>
      </w:r>
    </w:p>
    <w:p>
      <w:pPr>
        <w:tabs>
          <w:tab w:val="left" w:pos="600"/>
        </w:tabs>
        <w:spacing w:after="30" w:line="290" w:lineRule="auto"/>
        <w:ind w:left="600" w:hanging="340"/>
        <w:jc w:val="both"/>
      </w:pPr>
      <w:r>
        <w:rPr/>
        <w:t xml:space="preserve">4.</w:t>
        <w:tab/>
        <w:t xml:space="preserve">설정 온도(121.2 °C)와 시간을 확인하고 시작한다.</w:t>
      </w:r>
    </w:p>
    <w:p>
      <w:pPr>
        <w:tabs>
          <w:tab w:val="left" w:pos="600"/>
        </w:tabs>
        <w:spacing w:after="120" w:line="290" w:lineRule="auto"/>
        <w:ind w:left="600" w:hanging="340"/>
        <w:jc w:val="both"/>
      </w:pPr>
      <w:r>
        <w:rPr/>
        <w:t xml:space="preserve">5.</w:t>
        <w:tab/>
        <w:t xml:space="preserve">멸균이 끝나면 꺼내서 테이프 색을 확인한다.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8580" w:type="dxa"/>
              <w:jc w:val="center"/>
              <w:tblBorders>
                <w:top w:val="nil"/>
                <w:left w:val="nil"/>
                <w:bottom w:val="nil"/>
                <w:right w:val="nil"/>
                <w:insideH w:val="nil"/>
                <w:insideV w:val="nil"/>
              </w:tblBorders>
              <w:tblLayout w:type="fixed"/>
              <w:tblCellMar>
                <w:left w:w="60" w:type="dxa"/>
                <w:right w:w="60" w:type="dxa"/>
              </w:tblCellMar>
            </w:tblPr>
            <w:tblGrid>
              <w:gridCol w:w="3754"/>
              <w:gridCol w:w="2284"/>
              <w:gridCol w:w="2542"/>
            </w:tblGrid>
            <w:tr>
              <w:trPr>
                <w:cantSplit/>
              </w:trPr>
              <w:tc>
                <w:tcPr>
                  <w:tcW w:w="3754" w:type="dxa"/>
                  <w:vAlign w:val="bottom"/>
                </w:tcPr>
                <w:p>
                  <w:pPr>
                    <w:spacing w:after="20" w:line="240" w:lineRule="auto"/>
                    <w:jc w:val="center"/>
                  </w:pPr>
                  <w:r>
                    <w:drawing>
                      <wp:inline xmlns:a="http://schemas.openxmlformats.org/drawingml/2006/main" xmlns:pic="http://schemas.openxmlformats.org/drawingml/2006/picture">
                        <wp:extent cx="2307894" cy="1397462"/>
                        <wp:docPr id="121" name="Picture 121"/>
                        <wp:cNvGraphicFramePr>
                          <a:graphicFrameLocks noChangeAspect="1"/>
                        </wp:cNvGraphicFramePr>
                        <a:graphic>
                          <a:graphicData uri="http://schemas.openxmlformats.org/drawingml/2006/picture">
                            <pic:pic>
                              <pic:nvPicPr>
                                <pic:cNvPr id="0" name="06_autoclave_panel.jpg"/>
                                <pic:cNvPicPr/>
                              </pic:nvPicPr>
                              <pic:blipFill>
                                <a:blip r:embed="rId34"/>
                                <a:stretch>
                                  <a:fillRect/>
                                </a:stretch>
                              </pic:blipFill>
                              <pic:spPr>
                                <a:xfrm>
                                  <a:off x="0" y="0"/>
                                  <a:ext cx="2307894" cy="1397462"/>
                                </a:xfrm>
                                <a:prstGeom prst="rect"/>
                              </pic:spPr>
                            </pic:pic>
                          </a:graphicData>
                        </a:graphic>
                      </wp:inline>
                    </w:drawing>
                  </w:r>
                </w:p>
                <w:p>
                  <w:pPr>
                    <w:spacing w:after="0" w:line="240" w:lineRule="auto"/>
                    <w:jc w:val="center"/>
                  </w:pPr>
                  <w:r>
                    <w:rPr>
                      <w:sz w:val="17"/>
                      <w:szCs w:val="17"/>
                    </w:rPr>
                    <w:t xml:space="preserve">(a) 설정 화면 121.2 °C</w:t>
                  </w:r>
                </w:p>
              </w:tc>
              <w:tc>
                <w:tcPr>
                  <w:tcW w:w="2284" w:type="dxa"/>
                  <w:vAlign w:val="bottom"/>
                </w:tcPr>
                <w:p>
                  <w:pPr>
                    <w:spacing w:after="20" w:line="240" w:lineRule="auto"/>
                    <w:jc w:val="center"/>
                  </w:pPr>
                  <w:r>
                    <w:drawing>
                      <wp:inline xmlns:a="http://schemas.openxmlformats.org/drawingml/2006/main" xmlns:pic="http://schemas.openxmlformats.org/drawingml/2006/picture">
                        <wp:extent cx="1373976" cy="1397462"/>
                        <wp:docPr id="122" name="Picture 122"/>
                        <wp:cNvGraphicFramePr>
                          <a:graphicFrameLocks noChangeAspect="1"/>
                        </wp:cNvGraphicFramePr>
                        <a:graphic>
                          <a:graphicData uri="http://schemas.openxmlformats.org/drawingml/2006/picture">
                            <pic:pic>
                              <pic:nvPicPr>
                                <pic:cNvPr id="0" name="06_autoclave_tape-before.jpg"/>
                                <pic:cNvPicPr/>
                              </pic:nvPicPr>
                              <pic:blipFill>
                                <a:blip r:embed="rId35"/>
                                <a:stretch>
                                  <a:fillRect/>
                                </a:stretch>
                              </pic:blipFill>
                              <pic:spPr>
                                <a:xfrm>
                                  <a:off x="0" y="0"/>
                                  <a:ext cx="1373976" cy="1397462"/>
                                </a:xfrm>
                                <a:prstGeom prst="rect"/>
                              </pic:spPr>
                            </pic:pic>
                          </a:graphicData>
                        </a:graphic>
                      </wp:inline>
                    </w:drawing>
                  </w:r>
                </w:p>
                <w:p>
                  <w:pPr>
                    <w:spacing w:after="0" w:line="240" w:lineRule="auto"/>
                    <w:jc w:val="center"/>
                  </w:pPr>
                  <w:r>
                    <w:rPr>
                      <w:sz w:val="17"/>
                      <w:szCs w:val="17"/>
                    </w:rPr>
                    <w:t xml:space="preserve">(b) 멸균 전 테이프</w:t>
                  </w:r>
                </w:p>
              </w:tc>
              <w:tc>
                <w:tcPr>
                  <w:tcW w:w="2542" w:type="dxa"/>
                  <w:vAlign w:val="bottom"/>
                </w:tcPr>
                <w:p>
                  <w:pPr>
                    <w:spacing w:after="20" w:line="240" w:lineRule="auto"/>
                    <w:jc w:val="center"/>
                  </w:pPr>
                  <w:r>
                    <w:drawing>
                      <wp:inline xmlns:a="http://schemas.openxmlformats.org/drawingml/2006/main" xmlns:pic="http://schemas.openxmlformats.org/drawingml/2006/picture">
                        <wp:extent cx="1538129" cy="1397462"/>
                        <wp:docPr id="123" name="Picture 123"/>
                        <wp:cNvGraphicFramePr>
                          <a:graphicFrameLocks noChangeAspect="1"/>
                        </wp:cNvGraphicFramePr>
                        <a:graphic>
                          <a:graphicData uri="http://schemas.openxmlformats.org/drawingml/2006/picture">
                            <pic:pic>
                              <pic:nvPicPr>
                                <pic:cNvPr id="0" name="06_autoclave_tape-after.jpg"/>
                                <pic:cNvPicPr/>
                              </pic:nvPicPr>
                              <pic:blipFill>
                                <a:blip r:embed="rId36"/>
                                <a:stretch>
                                  <a:fillRect/>
                                </a:stretch>
                              </pic:blipFill>
                              <pic:spPr>
                                <a:xfrm>
                                  <a:off x="0" y="0"/>
                                  <a:ext cx="1538129" cy="1397462"/>
                                </a:xfrm>
                                <a:prstGeom prst="rect"/>
                              </pic:spPr>
                            </pic:pic>
                          </a:graphicData>
                        </a:graphic>
                      </wp:inline>
                    </w:drawing>
                  </w:r>
                </w:p>
                <w:p>
                  <w:pPr>
                    <w:spacing w:after="0" w:line="240" w:lineRule="auto"/>
                    <w:jc w:val="center"/>
                  </w:pPr>
                  <w:r>
                    <w:rPr>
                      <w:sz w:val="17"/>
                      <w:szCs w:val="17"/>
                    </w:rPr>
                    <w:t xml:space="preserve">(c) 멸균 후 테이프</w:t>
                  </w:r>
                </w:p>
              </w:tc>
            </w:tr>
          </w:tbl>
          <w:p>
            <w:pPr>
              <w:spacing w:before="60" w:after="0"/>
              <w:jc w:val="center"/>
            </w:pPr>
            <w:r>
              <w:rPr>
                <w:sz w:val="19"/>
                <w:szCs w:val="19"/>
              </w:rPr>
              <w:t xml:space="preserve">그림 3-13. 오토클레이브 패널과 멸균 확인 테이프</w:t>
            </w:r>
          </w:p>
        </w:tc>
      </w:tr>
    </w:tbl>
    <w:p>
      <w:pPr>
        <w:spacing w:after="120" w:line="240" w:lineRule="auto"/>
      </w:pPr>
    </w:p>
    <w:p>
      <w:pPr>
        <w:pStyle w:val="NBSLH3"/>
        <w:keepNext/>
        <w:spacing w:before="160" w:after="60"/>
        <w:ind w:left="0" w:firstLine="0"/>
      </w:pPr>
      <w:r>
        <w:rPr>
          <w:b/>
          <w:bCs/>
          <w:sz w:val="22"/>
          <w:szCs w:val="22"/>
        </w:rPr>
        <w:t xml:space="preserve">3.6.3 주의점과 이유</w:t>
      </w:r>
    </w:p>
    <w:p>
      <w:pPr>
        <w:spacing w:after="100" w:line="300" w:lineRule="auto"/>
        <w:ind w:firstLine="200"/>
        <w:jc w:val="both"/>
      </w:pPr>
      <w:r>
        <w:rPr/>
        <w:t xml:space="preserve">멸균 확인 테이프는 처리 전에는 연두색 사선 줄무늬였고 멸균을 마친 뒤에는 줄무늬가 검은색으로 바뀌었다(그림 3-13 (b), (c)). 테이프 같은 화학적 지표는 그 물건이 멸균 공정을 거쳤다는 것만 보여 줄 뿐 멸균이 됐다는 증거가 되지 못한다. 멸균 조건이 아슬아슬할 때는 생물학적 지표보다 쉽게 멸균됨으로 표시되기도 한다 [16]. 실제 멸균 효과는 열에 강한 Geobacillus stearothermophilus 포자(10⁵개)를 함께 넣고 돌린 뒤 55–60 °C에서 배양해 자라지 않는지 보는 생물학적 지표로 검증한다 [16].</w:t>
      </w:r>
    </w:p>
    <w:p>
      <w:pPr>
        <w:pStyle w:val="1"/>
        <w:keepNext/>
        <w:spacing w:before="360" w:after="100"/>
        <w:ind w:left="0" w:firstLine="0"/>
      </w:pPr>
      <w:bookmarkStart w:id="512" w:name="_Toc900512"/>
      <w:r>
        <w:rPr>
          <w:b/>
          <w:bCs/>
          <w:sz w:val="28"/>
          <w:szCs w:val="28"/>
        </w:rPr>
        <w:t xml:space="preserve">4. 결과</w:t>
      </w:r>
      <w:bookmarkEnd w:id="512"/>
    </w:p>
    <w:p>
      <w:pPr>
        <w:keepNext/>
        <w:spacing w:after="100" w:line="300" w:lineRule="auto"/>
        <w:ind w:firstLine="200"/>
        <w:jc w:val="both"/>
      </w:pPr>
      <w:r>
        <w:rPr/>
        <w:t xml:space="preserve">장비별로 수행한 내용과 관찰값은 표 4-1에, 인장 시험의 설정값과 결과는 표 4-2에 정리했다.</w:t>
      </w:r>
    </w:p>
    <w:p>
      <w:pPr>
        <w:keepNext/>
        <w:spacing w:before="160" w:after="80"/>
        <w:jc w:val="center"/>
      </w:pPr>
      <w:r>
        <w:rPr>
          <w:sz w:val="19"/>
          <w:szCs w:val="19"/>
        </w:rPr>
        <w:t xml:space="preserve">표 4-1. 장비별 수행 내용과 관찰·측정값</w:t>
      </w:r>
    </w:p>
    <w:tbl>
      <w:tblPr>
        <w:tblStyle w:val="a3"/>
        <w:tblW w:w="9144" w:type="dxa"/>
        <w:jc w:val="center"/>
        <w:tblLayout w:type="fixed"/>
        <w:tblCellMar>
          <w:top w:w="40" w:type="dxa"/>
          <w:left w:w="90" w:type="dxa"/>
          <w:bottom w:w="40" w:type="dxa"/>
          <w:right w:w="90" w:type="dxa"/>
        </w:tblCellMar>
      </w:tblPr>
      <w:tblGrid>
        <w:gridCol w:w="1700"/>
        <w:gridCol w:w="3300"/>
        <w:gridCol w:w="4144"/>
      </w:tblGrid>
      <w:tr>
        <w:trPr>
          <w:cantSplit/>
          <w:tblHeader/>
        </w:trPr>
        <w:tc>
          <w:tcPr>
            <w:tcW w:w="1700" w:type="dxa"/>
            <w:shd w:val="clear" w:color="auto" w:fill="E7EEF6"/>
            <w:vAlign w:val="center"/>
          </w:tcPr>
          <w:p>
            <w:pPr>
              <w:keepNext/>
              <w:spacing w:after="0" w:line="260" w:lineRule="auto"/>
              <w:jc w:val="center"/>
            </w:pPr>
            <w:r>
              <w:rPr>
                <w:b/>
                <w:bCs/>
                <w:sz w:val="19"/>
                <w:szCs w:val="19"/>
              </w:rPr>
              <w:t xml:space="preserve">장비</w:t>
            </w:r>
          </w:p>
        </w:tc>
        <w:tc>
          <w:tcPr>
            <w:tcW w:w="3300" w:type="dxa"/>
            <w:shd w:val="clear" w:color="auto" w:fill="E7EEF6"/>
            <w:vAlign w:val="center"/>
          </w:tcPr>
          <w:p>
            <w:pPr>
              <w:keepNext/>
              <w:spacing w:after="0" w:line="260" w:lineRule="auto"/>
              <w:jc w:val="center"/>
            </w:pPr>
            <w:r>
              <w:rPr>
                <w:b/>
                <w:bCs/>
                <w:sz w:val="19"/>
                <w:szCs w:val="19"/>
              </w:rPr>
              <w:t xml:space="preserve">수행 내용</w:t>
            </w:r>
          </w:p>
        </w:tc>
        <w:tc>
          <w:tcPr>
            <w:tcW w:w="4144" w:type="dxa"/>
            <w:shd w:val="clear" w:color="auto" w:fill="E7EEF6"/>
            <w:vAlign w:val="center"/>
          </w:tcPr>
          <w:p>
            <w:pPr>
              <w:keepNext/>
              <w:spacing w:after="0" w:line="260" w:lineRule="auto"/>
              <w:jc w:val="center"/>
            </w:pPr>
            <w:r>
              <w:rPr>
                <w:b/>
                <w:bCs/>
                <w:sz w:val="19"/>
                <w:szCs w:val="19"/>
              </w:rPr>
              <w:t xml:space="preserve">관찰·측정값</w:t>
            </w:r>
          </w:p>
        </w:tc>
      </w:tr>
      <w:tr>
        <w:trPr>
          <w:cantSplit/>
        </w:trPr>
        <w:tc>
          <w:tcPr>
            <w:tcW w:w="1700" w:type="dxa"/>
            <w:vAlign w:val="center"/>
          </w:tcPr>
          <w:p>
            <w:pPr>
              <w:keepNext/>
              <w:spacing w:after="0" w:line="260" w:lineRule="auto"/>
              <w:jc w:val="center"/>
            </w:pPr>
            <w:r>
              <w:rPr>
                <w:sz w:val="19"/>
                <w:szCs w:val="19"/>
              </w:rPr>
              <w:t xml:space="preserve">도립 현미경</w:t>
            </w:r>
          </w:p>
        </w:tc>
        <w:tc>
          <w:tcPr>
            <w:tcW w:w="3300" w:type="dxa"/>
            <w:vAlign w:val="center"/>
          </w:tcPr>
          <w:p>
            <w:pPr>
              <w:keepNext/>
              <w:spacing w:after="0" w:line="260" w:lineRule="auto"/>
              <w:jc w:val="left"/>
            </w:pPr>
            <w:r>
              <w:rPr>
                <w:sz w:val="19"/>
                <w:szCs w:val="19"/>
              </w:rPr>
              <w:t xml:space="preserve">나노 패턴 필름, dECM 위 정렬 패턴, 식물 조직 사진 관찰</w:t>
            </w:r>
          </w:p>
        </w:tc>
        <w:tc>
          <w:tcPr>
            <w:tcW w:w="4144" w:type="dxa"/>
            <w:vAlign w:val="center"/>
          </w:tcPr>
          <w:p>
            <w:pPr>
              <w:keepNext/>
              <w:spacing w:after="0" w:line="260" w:lineRule="auto"/>
              <w:jc w:val="left"/>
            </w:pPr>
            <w:r>
              <w:rPr>
                <w:sz w:val="19"/>
                <w:szCs w:val="19"/>
              </w:rPr>
              <w:t xml:space="preserve">×10 배율로 관찰. 나노 패턴은 형태가 잘 보이지 않음</w:t>
            </w:r>
          </w:p>
        </w:tc>
      </w:tr>
      <w:tr>
        <w:trPr>
          <w:cantSplit/>
        </w:trPr>
        <w:tc>
          <w:tcPr>
            <w:tcW w:w="1700" w:type="dxa"/>
            <w:vAlign w:val="center"/>
          </w:tcPr>
          <w:p>
            <w:pPr>
              <w:keepNext/>
              <w:spacing w:after="0" w:line="260" w:lineRule="auto"/>
              <w:jc w:val="center"/>
            </w:pPr>
            <w:r>
              <w:rPr>
                <w:sz w:val="19"/>
                <w:szCs w:val="19"/>
              </w:rPr>
              <w:t xml:space="preserve">인장 시험기</w:t>
            </w:r>
          </w:p>
        </w:tc>
        <w:tc>
          <w:tcPr>
            <w:tcW w:w="3300" w:type="dxa"/>
            <w:vAlign w:val="center"/>
          </w:tcPr>
          <w:p>
            <w:pPr>
              <w:keepNext/>
              <w:spacing w:after="0" w:line="260" w:lineRule="auto"/>
              <w:jc w:val="left"/>
            </w:pPr>
            <w:r>
              <w:rPr>
                <w:sz w:val="19"/>
                <w:szCs w:val="19"/>
              </w:rPr>
              <w:t xml:space="preserve">시료를 그립에 물리고 0.0으로 맞춘 뒤 100 mm/min으로 인장 시험(1회)</w:t>
            </w:r>
          </w:p>
        </w:tc>
        <w:tc>
          <w:tcPr>
            <w:tcW w:w="4144" w:type="dxa"/>
            <w:vAlign w:val="center"/>
          </w:tcPr>
          <w:p>
            <w:pPr>
              <w:keepNext/>
              <w:spacing w:after="0" w:line="260" w:lineRule="auto"/>
              <w:jc w:val="left"/>
            </w:pPr>
            <w:r>
              <w:rPr>
                <w:sz w:val="19"/>
                <w:szCs w:val="19"/>
              </w:rPr>
              <w:t xml:space="preserve">최대 하중 41.046 N, 최대 응력 14.926 MPa. 실패한 시험은 최대 하중 0.0166 N</w:t>
            </w:r>
          </w:p>
        </w:tc>
      </w:tr>
      <w:tr>
        <w:trPr>
          <w:cantSplit/>
        </w:trPr>
        <w:tc>
          <w:tcPr>
            <w:tcW w:w="1700" w:type="dxa"/>
            <w:vAlign w:val="center"/>
          </w:tcPr>
          <w:p>
            <w:pPr>
              <w:keepNext/>
              <w:spacing w:after="0" w:line="260" w:lineRule="auto"/>
              <w:jc w:val="center"/>
            </w:pPr>
            <w:r>
              <w:rPr>
                <w:sz w:val="19"/>
                <w:szCs w:val="19"/>
              </w:rPr>
              <w:t xml:space="preserve">스핀 코터</w:t>
            </w:r>
          </w:p>
        </w:tc>
        <w:tc>
          <w:tcPr>
            <w:tcW w:w="3300" w:type="dxa"/>
            <w:vAlign w:val="center"/>
          </w:tcPr>
          <w:p>
            <w:pPr>
              <w:keepNext/>
              <w:spacing w:after="0" w:line="260" w:lineRule="auto"/>
              <w:jc w:val="left"/>
            </w:pPr>
            <w:r>
              <w:rPr>
                <w:sz w:val="19"/>
                <w:szCs w:val="19"/>
              </w:rPr>
              <w:t xml:space="preserve">패치 위 코팅 시연</w:t>
            </w:r>
          </w:p>
        </w:tc>
        <w:tc>
          <w:tcPr>
            <w:tcW w:w="4144" w:type="dxa"/>
            <w:vAlign w:val="center"/>
          </w:tcPr>
          <w:p>
            <w:pPr>
              <w:keepNext/>
              <w:spacing w:after="0" w:line="260" w:lineRule="auto"/>
              <w:jc w:val="left"/>
            </w:pPr>
            <w:r>
              <w:rPr>
                <w:sz w:val="19"/>
                <w:szCs w:val="19"/>
              </w:rPr>
              <w:t xml:space="preserve">연구실 기본 회전 속도 3,500 rpm</w:t>
            </w:r>
          </w:p>
        </w:tc>
      </w:tr>
      <w:tr>
        <w:trPr>
          <w:cantSplit/>
        </w:trPr>
        <w:tc>
          <w:tcPr>
            <w:tcW w:w="1700" w:type="dxa"/>
            <w:vAlign w:val="center"/>
          </w:tcPr>
          <w:p>
            <w:pPr>
              <w:keepNext/>
              <w:spacing w:after="0" w:line="260" w:lineRule="auto"/>
              <w:jc w:val="center"/>
            </w:pPr>
            <w:r>
              <w:rPr>
                <w:sz w:val="19"/>
                <w:szCs w:val="19"/>
              </w:rPr>
              <w:t xml:space="preserve">UV 경화 챔버</w:t>
            </w:r>
          </w:p>
        </w:tc>
        <w:tc>
          <w:tcPr>
            <w:tcW w:w="3300" w:type="dxa"/>
            <w:vAlign w:val="center"/>
          </w:tcPr>
          <w:p>
            <w:pPr>
              <w:keepNext/>
              <w:spacing w:after="0" w:line="260" w:lineRule="auto"/>
              <w:jc w:val="left"/>
            </w:pPr>
            <w:r>
              <w:rPr>
                <w:sz w:val="19"/>
                <w:szCs w:val="19"/>
              </w:rPr>
              <w:t xml:space="preserve">UV-A 램프 점등과 나노 패턴 필름 확인</w:t>
            </w:r>
          </w:p>
        </w:tc>
        <w:tc>
          <w:tcPr>
            <w:tcW w:w="4144" w:type="dxa"/>
            <w:vAlign w:val="center"/>
          </w:tcPr>
          <w:p>
            <w:pPr>
              <w:keepNext/>
              <w:spacing w:after="0" w:line="260" w:lineRule="auto"/>
              <w:jc w:val="left"/>
            </w:pPr>
            <w:r>
              <w:rPr>
                <w:sz w:val="19"/>
                <w:szCs w:val="19"/>
              </w:rPr>
              <w:t xml:space="preserve">필름이 보는 각도에 따라 무지개색으로 반짝임</w:t>
            </w:r>
          </w:p>
        </w:tc>
      </w:tr>
      <w:tr>
        <w:trPr>
          <w:cantSplit/>
        </w:trPr>
        <w:tc>
          <w:tcPr>
            <w:tcW w:w="1700" w:type="dxa"/>
            <w:vAlign w:val="center"/>
          </w:tcPr>
          <w:p>
            <w:pPr>
              <w:keepNext/>
              <w:spacing w:after="0" w:line="260" w:lineRule="auto"/>
              <w:jc w:val="center"/>
            </w:pPr>
            <w:r>
              <w:rPr>
                <w:sz w:val="19"/>
                <w:szCs w:val="19"/>
              </w:rPr>
              <w:t xml:space="preserve">생물안전작업대</w:t>
            </w:r>
          </w:p>
        </w:tc>
        <w:tc>
          <w:tcPr>
            <w:tcW w:w="3300" w:type="dxa"/>
            <w:vAlign w:val="center"/>
          </w:tcPr>
          <w:p>
            <w:pPr>
              <w:keepNext/>
              <w:spacing w:after="0" w:line="260" w:lineRule="auto"/>
              <w:jc w:val="left"/>
            </w:pPr>
            <w:r>
              <w:rPr>
                <w:sz w:val="19"/>
                <w:szCs w:val="19"/>
              </w:rPr>
              <w:t xml:space="preserve">구조와 용도 설명</w:t>
            </w:r>
          </w:p>
        </w:tc>
        <w:tc>
          <w:tcPr>
            <w:tcW w:w="4144" w:type="dxa"/>
            <w:vAlign w:val="center"/>
          </w:tcPr>
          <w:p>
            <w:pPr>
              <w:keepNext/>
              <w:spacing w:after="0" w:line="260" w:lineRule="auto"/>
              <w:jc w:val="left"/>
            </w:pPr>
            <w:r>
              <w:rPr>
                <w:sz w:val="19"/>
                <w:szCs w:val="19"/>
              </w:rPr>
              <w:t xml:space="preserve">BSC Class II Type A2 라벨 확인</w:t>
            </w:r>
          </w:p>
        </w:tc>
      </w:tr>
      <w:tr>
        <w:trPr>
          <w:cantSplit/>
        </w:trPr>
        <w:tc>
          <w:tcPr>
            <w:tcW w:w="1700" w:type="dxa"/>
            <w:vAlign w:val="center"/>
          </w:tcPr>
          <w:p>
            <w:pPr>
              <w:spacing w:after="0" w:line="260" w:lineRule="auto"/>
              <w:jc w:val="center"/>
            </w:pPr>
            <w:r>
              <w:rPr>
                <w:sz w:val="19"/>
                <w:szCs w:val="19"/>
              </w:rPr>
              <w:t xml:space="preserve">오토클레이브</w:t>
            </w:r>
          </w:p>
        </w:tc>
        <w:tc>
          <w:tcPr>
            <w:tcW w:w="3300" w:type="dxa"/>
            <w:vAlign w:val="center"/>
          </w:tcPr>
          <w:p>
            <w:pPr>
              <w:spacing w:after="0" w:line="260" w:lineRule="auto"/>
              <w:jc w:val="left"/>
            </w:pPr>
            <w:r>
              <w:rPr>
                <w:sz w:val="19"/>
                <w:szCs w:val="19"/>
              </w:rPr>
              <w:t xml:space="preserve">멸균 시연</w:t>
            </w:r>
          </w:p>
        </w:tc>
        <w:tc>
          <w:tcPr>
            <w:tcW w:w="4144" w:type="dxa"/>
            <w:vAlign w:val="center"/>
          </w:tcPr>
          <w:p>
            <w:pPr>
              <w:spacing w:after="0" w:line="260" w:lineRule="auto"/>
              <w:jc w:val="left"/>
            </w:pPr>
            <w:r>
              <w:rPr>
                <w:sz w:val="19"/>
                <w:szCs w:val="19"/>
              </w:rPr>
              <w:t xml:space="preserve">설정 온도 121.2 °C, 테이프 줄무늬 연두색 → 검은색</w:t>
            </w:r>
          </w:p>
        </w:tc>
      </w:tr>
    </w:tbl>
    <w:p>
      <w:pPr>
        <w:spacing w:after="60" w:line="240" w:lineRule="auto"/>
      </w:pPr>
    </w:p>
    <w:p>
      <w:pPr>
        <w:keepNext/>
        <w:spacing w:before="160" w:after="80"/>
        <w:jc w:val="center"/>
      </w:pPr>
      <w:r>
        <w:rPr>
          <w:sz w:val="19"/>
          <w:szCs w:val="19"/>
        </w:rPr>
        <w:t xml:space="preserve">표 4-2. 인장 시험 설정값과 결과 (프로그램 화면 값, 1회 시험)</w:t>
      </w:r>
    </w:p>
    <w:tbl>
      <w:tblPr>
        <w:tblStyle w:val="a3"/>
        <w:tblW w:w="9144" w:type="dxa"/>
        <w:jc w:val="center"/>
        <w:tblLayout w:type="fixed"/>
        <w:tblCellMar>
          <w:top w:w="40" w:type="dxa"/>
          <w:left w:w="90" w:type="dxa"/>
          <w:bottom w:w="40" w:type="dxa"/>
          <w:right w:w="90" w:type="dxa"/>
        </w:tblCellMar>
      </w:tblPr>
      <w:tblGrid>
        <w:gridCol w:w="3300"/>
        <w:gridCol w:w="2400"/>
        <w:gridCol w:w="3444"/>
      </w:tblGrid>
      <w:tr>
        <w:trPr>
          <w:cantSplit/>
          <w:tblHeader/>
        </w:trPr>
        <w:tc>
          <w:tcPr>
            <w:tcW w:w="3300" w:type="dxa"/>
            <w:shd w:val="clear" w:color="auto" w:fill="E7EEF6"/>
            <w:vAlign w:val="center"/>
          </w:tcPr>
          <w:p>
            <w:pPr>
              <w:keepNext/>
              <w:spacing w:after="0" w:line="260" w:lineRule="auto"/>
              <w:jc w:val="center"/>
            </w:pPr>
            <w:r>
              <w:rPr>
                <w:b/>
                <w:bCs/>
                <w:sz w:val="19"/>
                <w:szCs w:val="19"/>
              </w:rPr>
              <w:t xml:space="preserve">항목</w:t>
            </w:r>
          </w:p>
        </w:tc>
        <w:tc>
          <w:tcPr>
            <w:tcW w:w="2400" w:type="dxa"/>
            <w:shd w:val="clear" w:color="auto" w:fill="E7EEF6"/>
            <w:vAlign w:val="center"/>
          </w:tcPr>
          <w:p>
            <w:pPr>
              <w:keepNext/>
              <w:spacing w:after="0" w:line="260" w:lineRule="auto"/>
              <w:jc w:val="center"/>
            </w:pPr>
            <w:r>
              <w:rPr>
                <w:b/>
                <w:bCs/>
                <w:sz w:val="19"/>
                <w:szCs w:val="19"/>
              </w:rPr>
              <w:t xml:space="preserve">값</w:t>
            </w:r>
          </w:p>
        </w:tc>
        <w:tc>
          <w:tcPr>
            <w:tcW w:w="3444" w:type="dxa"/>
            <w:shd w:val="clear" w:color="auto" w:fill="E7EEF6"/>
            <w:vAlign w:val="center"/>
          </w:tcPr>
          <w:p>
            <w:pPr>
              <w:keepNext/>
              <w:spacing w:after="0" w:line="260" w:lineRule="auto"/>
              <w:jc w:val="center"/>
            </w:pPr>
            <w:r>
              <w:rPr>
                <w:b/>
                <w:bCs/>
                <w:sz w:val="19"/>
                <w:szCs w:val="19"/>
              </w:rPr>
              <w:t xml:space="preserve">비고</w:t>
            </w:r>
          </w:p>
        </w:tc>
      </w:tr>
      <w:tr>
        <w:trPr>
          <w:cantSplit/>
        </w:trPr>
        <w:tc>
          <w:tcPr>
            <w:tcW w:w="3300" w:type="dxa"/>
            <w:vAlign w:val="center"/>
          </w:tcPr>
          <w:p>
            <w:pPr>
              <w:keepNext/>
              <w:spacing w:after="0" w:line="260" w:lineRule="auto"/>
              <w:jc w:val="center"/>
            </w:pPr>
            <w:r>
              <w:rPr>
                <w:sz w:val="19"/>
                <w:szCs w:val="19"/>
              </w:rPr>
              <w:t xml:space="preserve">시료 형태</w:t>
            </w:r>
          </w:p>
        </w:tc>
        <w:tc>
          <w:tcPr>
            <w:tcW w:w="2400" w:type="dxa"/>
            <w:vAlign w:val="center"/>
          </w:tcPr>
          <w:p>
            <w:pPr>
              <w:keepNext/>
              <w:spacing w:after="0" w:line="260" w:lineRule="auto"/>
              <w:jc w:val="left"/>
            </w:pPr>
            <w:r>
              <w:rPr>
                <w:sz w:val="19"/>
                <w:szCs w:val="19"/>
              </w:rPr>
              <w:t xml:space="preserve">Plate</w:t>
            </w:r>
          </w:p>
        </w:tc>
        <w:tc>
          <w:tcPr>
            <w:tcW w:w="3444" w:type="dxa"/>
            <w:vAlign w:val="center"/>
          </w:tcPr>
          <w:p>
            <w:pPr>
              <w:keepNext/>
              <w:spacing w:after="0" w:line="260" w:lineRule="auto"/>
              <w:jc w:val="left"/>
            </w:pPr>
            <w:r>
              <w:rPr>
                <w:sz w:val="19"/>
                <w:szCs w:val="19"/>
              </w:rPr>
              <w:t xml:space="preserve"/>
            </w:r>
          </w:p>
        </w:tc>
      </w:tr>
      <w:tr>
        <w:trPr>
          <w:cantSplit/>
        </w:trPr>
        <w:tc>
          <w:tcPr>
            <w:tcW w:w="3300" w:type="dxa"/>
            <w:vAlign w:val="center"/>
          </w:tcPr>
          <w:p>
            <w:pPr>
              <w:keepNext/>
              <w:spacing w:after="0" w:line="260" w:lineRule="auto"/>
              <w:jc w:val="center"/>
            </w:pPr>
            <w:r>
              <w:rPr>
                <w:sz w:val="19"/>
                <w:szCs w:val="19"/>
              </w:rPr>
              <w:t xml:space="preserve">입력 치수 (너비 × 두께 × 길이)</w:t>
            </w:r>
          </w:p>
        </w:tc>
        <w:tc>
          <w:tcPr>
            <w:tcW w:w="2400" w:type="dxa"/>
            <w:vAlign w:val="center"/>
          </w:tcPr>
          <w:p>
            <w:pPr>
              <w:keepNext/>
              <w:spacing w:after="0" w:line="260" w:lineRule="auto"/>
              <w:jc w:val="left"/>
            </w:pPr>
            <w:r>
              <w:rPr>
                <w:sz w:val="19"/>
                <w:szCs w:val="19"/>
              </w:rPr>
              <w:t xml:space="preserve">50 × 0.055 × 50 mm</w:t>
            </w:r>
          </w:p>
        </w:tc>
        <w:tc>
          <w:tcPr>
            <w:tcW w:w="3444" w:type="dxa"/>
            <w:vAlign w:val="center"/>
          </w:tcPr>
          <w:p>
            <w:pPr>
              <w:keepNext/>
              <w:spacing w:after="0" w:line="260" w:lineRule="auto"/>
              <w:jc w:val="left"/>
            </w:pPr>
            <w:r>
              <w:rPr>
                <w:sz w:val="19"/>
                <w:szCs w:val="19"/>
              </w:rPr>
              <w:t xml:space="preserve">단면적 2.75 mm²</w:t>
            </w:r>
          </w:p>
        </w:tc>
      </w:tr>
      <w:tr>
        <w:trPr>
          <w:cantSplit/>
        </w:trPr>
        <w:tc>
          <w:tcPr>
            <w:tcW w:w="3300" w:type="dxa"/>
            <w:vAlign w:val="center"/>
          </w:tcPr>
          <w:p>
            <w:pPr>
              <w:keepNext/>
              <w:spacing w:after="0" w:line="260" w:lineRule="auto"/>
              <w:jc w:val="center"/>
            </w:pPr>
            <w:r>
              <w:rPr>
                <w:sz w:val="19"/>
                <w:szCs w:val="19"/>
              </w:rPr>
              <w:t xml:space="preserve">시험 속도</w:t>
            </w:r>
          </w:p>
        </w:tc>
        <w:tc>
          <w:tcPr>
            <w:tcW w:w="2400" w:type="dxa"/>
            <w:vAlign w:val="center"/>
          </w:tcPr>
          <w:p>
            <w:pPr>
              <w:keepNext/>
              <w:spacing w:after="0" w:line="260" w:lineRule="auto"/>
              <w:jc w:val="left"/>
            </w:pPr>
            <w:r>
              <w:rPr>
                <w:sz w:val="19"/>
                <w:szCs w:val="19"/>
              </w:rPr>
              <w:t xml:space="preserve">100 mm/min</w:t>
            </w:r>
          </w:p>
        </w:tc>
        <w:tc>
          <w:tcPr>
            <w:tcW w:w="3444" w:type="dxa"/>
            <w:vAlign w:val="center"/>
          </w:tcPr>
          <w:p>
            <w:pPr>
              <w:keepNext/>
              <w:spacing w:after="0" w:line="260" w:lineRule="auto"/>
              <w:jc w:val="left"/>
            </w:pPr>
            <w:r>
              <w:rPr>
                <w:sz w:val="19"/>
                <w:szCs w:val="19"/>
              </w:rPr>
              <w:t xml:space="preserve">장비 범위 10–300 mm/min [9]</w:t>
            </w:r>
          </w:p>
        </w:tc>
      </w:tr>
      <w:tr>
        <w:trPr>
          <w:cantSplit/>
        </w:trPr>
        <w:tc>
          <w:tcPr>
            <w:tcW w:w="3300" w:type="dxa"/>
            <w:vAlign w:val="center"/>
          </w:tcPr>
          <w:p>
            <w:pPr>
              <w:keepNext/>
              <w:spacing w:after="0" w:line="260" w:lineRule="auto"/>
              <w:jc w:val="center"/>
            </w:pPr>
            <w:r>
              <w:rPr>
                <w:sz w:val="19"/>
                <w:szCs w:val="19"/>
              </w:rPr>
              <w:t xml:space="preserve">최대 하중 (Maximum Load)</w:t>
            </w:r>
          </w:p>
        </w:tc>
        <w:tc>
          <w:tcPr>
            <w:tcW w:w="2400" w:type="dxa"/>
            <w:vAlign w:val="center"/>
          </w:tcPr>
          <w:p>
            <w:pPr>
              <w:keepNext/>
              <w:spacing w:after="0" w:line="260" w:lineRule="auto"/>
              <w:jc w:val="left"/>
            </w:pPr>
            <w:r>
              <w:rPr>
                <w:sz w:val="19"/>
                <w:szCs w:val="19"/>
              </w:rPr>
              <w:t xml:space="preserve">41.046 N</w:t>
            </w:r>
          </w:p>
        </w:tc>
        <w:tc>
          <w:tcPr>
            <w:tcW w:w="3444" w:type="dxa"/>
            <w:vAlign w:val="center"/>
          </w:tcPr>
          <w:p>
            <w:pPr>
              <w:keepNext/>
              <w:spacing w:after="0" w:line="260" w:lineRule="auto"/>
              <w:jc w:val="left"/>
            </w:pPr>
            <w:r>
              <w:rPr>
                <w:sz w:val="19"/>
                <w:szCs w:val="19"/>
              </w:rPr>
              <w:t xml:space="preserve">장비 용량 500 N의 약 8 %</w:t>
            </w:r>
          </w:p>
        </w:tc>
      </w:tr>
      <w:tr>
        <w:trPr>
          <w:cantSplit/>
        </w:trPr>
        <w:tc>
          <w:tcPr>
            <w:tcW w:w="3300" w:type="dxa"/>
            <w:vAlign w:val="center"/>
          </w:tcPr>
          <w:p>
            <w:pPr>
              <w:keepNext/>
              <w:spacing w:after="0" w:line="260" w:lineRule="auto"/>
              <w:jc w:val="center"/>
            </w:pPr>
            <w:r>
              <w:rPr>
                <w:sz w:val="19"/>
                <w:szCs w:val="19"/>
              </w:rPr>
              <w:t xml:space="preserve">최대 응력 (Stress)</w:t>
            </w:r>
          </w:p>
        </w:tc>
        <w:tc>
          <w:tcPr>
            <w:tcW w:w="2400" w:type="dxa"/>
            <w:vAlign w:val="center"/>
          </w:tcPr>
          <w:p>
            <w:pPr>
              <w:keepNext/>
              <w:spacing w:after="0" w:line="260" w:lineRule="auto"/>
              <w:jc w:val="left"/>
            </w:pPr>
            <w:r>
              <w:rPr>
                <w:sz w:val="19"/>
                <w:szCs w:val="19"/>
              </w:rPr>
              <w:t xml:space="preserve">14.926 MPa</w:t>
            </w:r>
          </w:p>
        </w:tc>
        <w:tc>
          <w:tcPr>
            <w:tcW w:w="3444" w:type="dxa"/>
            <w:vAlign w:val="center"/>
          </w:tcPr>
          <w:p>
            <w:pPr>
              <w:keepNext/>
              <w:spacing w:after="0" w:line="260" w:lineRule="auto"/>
              <w:jc w:val="left"/>
            </w:pPr>
            <w:r>
              <w:rPr>
                <w:sz w:val="19"/>
                <w:szCs w:val="19"/>
              </w:rPr>
              <w:t xml:space="preserve">41.046 N ÷ 2.75 mm²</w:t>
            </w:r>
          </w:p>
        </w:tc>
      </w:tr>
      <w:tr>
        <w:trPr>
          <w:cantSplit/>
        </w:trPr>
        <w:tc>
          <w:tcPr>
            <w:tcW w:w="3300" w:type="dxa"/>
            <w:vAlign w:val="center"/>
          </w:tcPr>
          <w:p>
            <w:pPr>
              <w:keepNext/>
              <w:spacing w:after="0" w:line="260" w:lineRule="auto"/>
              <w:jc w:val="center"/>
            </w:pPr>
            <w:r>
              <w:rPr>
                <w:sz w:val="19"/>
                <w:szCs w:val="19"/>
              </w:rPr>
              <w:t xml:space="preserve">변형률 / 늘어난 길이</w:t>
            </w:r>
          </w:p>
        </w:tc>
        <w:tc>
          <w:tcPr>
            <w:tcW w:w="2400" w:type="dxa"/>
            <w:vAlign w:val="center"/>
          </w:tcPr>
          <w:p>
            <w:pPr>
              <w:keepNext/>
              <w:spacing w:after="0" w:line="260" w:lineRule="auto"/>
              <w:jc w:val="left"/>
            </w:pPr>
            <w:r>
              <w:rPr>
                <w:sz w:val="19"/>
                <w:szCs w:val="19"/>
              </w:rPr>
              <w:t xml:space="preserve">36.158 % / 3.6158 mm</w:t>
            </w:r>
          </w:p>
        </w:tc>
        <w:tc>
          <w:tcPr>
            <w:tcW w:w="3444" w:type="dxa"/>
            <w:vAlign w:val="center"/>
          </w:tcPr>
          <w:p>
            <w:pPr>
              <w:keepNext/>
              <w:spacing w:after="0" w:line="260" w:lineRule="auto"/>
              <w:jc w:val="left"/>
            </w:pPr>
            <w:r>
              <w:rPr>
                <w:sz w:val="19"/>
                <w:szCs w:val="19"/>
              </w:rPr>
              <w:t xml:space="preserve">기준 길이 10 mm로 계산된 값으로 보임</w:t>
            </w:r>
          </w:p>
        </w:tc>
      </w:tr>
      <w:tr>
        <w:trPr>
          <w:cantSplit/>
        </w:trPr>
        <w:tc>
          <w:tcPr>
            <w:tcW w:w="3300" w:type="dxa"/>
            <w:vAlign w:val="center"/>
          </w:tcPr>
          <w:p>
            <w:pPr>
              <w:spacing w:after="0" w:line="260" w:lineRule="auto"/>
              <w:jc w:val="center"/>
            </w:pPr>
            <w:r>
              <w:rPr>
                <w:sz w:val="19"/>
                <w:szCs w:val="19"/>
              </w:rPr>
              <w:t xml:space="preserve">파단점 응력 / 늘어난 길이</w:t>
            </w:r>
          </w:p>
        </w:tc>
        <w:tc>
          <w:tcPr>
            <w:tcW w:w="2400" w:type="dxa"/>
            <w:vAlign w:val="center"/>
          </w:tcPr>
          <w:p>
            <w:pPr>
              <w:spacing w:after="0" w:line="260" w:lineRule="auto"/>
              <w:jc w:val="left"/>
            </w:pPr>
            <w:r>
              <w:rPr>
                <w:sz w:val="19"/>
                <w:szCs w:val="19"/>
              </w:rPr>
              <w:t xml:space="preserve">12.337 MPa / 4.6491 mm</w:t>
            </w:r>
          </w:p>
        </w:tc>
        <w:tc>
          <w:tcPr>
            <w:tcW w:w="3444" w:type="dxa"/>
            <w:vAlign w:val="center"/>
          </w:tcPr>
          <w:p>
            <w:pPr>
              <w:spacing w:after="0" w:line="260" w:lineRule="auto"/>
              <w:jc w:val="left"/>
            </w:pPr>
            <w:r>
              <w:rPr>
                <w:sz w:val="19"/>
                <w:szCs w:val="19"/>
              </w:rPr>
              <w:t xml:space="preserve">파단 하중 약 33.9 N</w:t>
            </w:r>
          </w:p>
        </w:tc>
      </w:tr>
    </w:tbl>
    <w:p>
      <w:pPr>
        <w:spacing w:after="60" w:line="240" w:lineRule="auto"/>
      </w:pPr>
    </w:p>
    <w:p>
      <w:pPr>
        <w:spacing w:after="100" w:line="300" w:lineRule="auto"/>
        <w:ind w:firstLine="200"/>
        <w:jc w:val="both"/>
      </w:pPr>
      <w:r>
        <w:rPr/>
        <w:t xml:space="preserve">입력 치수로 단면적을 구하면 50 mm × 0.055 mm = 2.75 mm²이고 최대 하중을 이 값으로 나누면 14.926 MPa로 화면의 응력과 같다. 변형률 36.158 %는 늘어난 길이 3.6158 mm를 10 mm로 나눈 값과 같아 프로그램이 기준 길이를 10 mm로 계산한 것으로 보인다. 파단점 응력에 단면적을 곱하면 약 33.9 N이어서 시료는 최대 하중을 지난 뒤 힘이 줄어들다 끊어졌다. 시험을 한 번만 해서 결과 표의 평균·최댓값·최솟값이 모두 같고 범위는 0이었다. 실패한 시험의 결과는 최대 하중 0.0166 N, 응력 0.0060 MPa였다.</w:t>
      </w:r>
    </w:p>
    <w:p>
      <w:pPr>
        <w:pStyle w:val="1"/>
        <w:keepNext/>
        <w:spacing w:before="360" w:after="100"/>
        <w:ind w:left="0" w:firstLine="0"/>
      </w:pPr>
      <w:bookmarkStart w:id="513" w:name="_Toc900513"/>
      <w:r>
        <w:rPr>
          <w:b/>
          <w:bCs/>
          <w:sz w:val="28"/>
          <w:szCs w:val="28"/>
        </w:rPr>
        <w:t xml:space="preserve">5. 고찰</w:t>
      </w:r>
      <w:bookmarkEnd w:id="513"/>
    </w:p>
    <w:p>
      <w:pPr>
        <w:pStyle w:val="NBSLH2"/>
        <w:keepNext/>
        <w:spacing w:before="240" w:after="100"/>
        <w:ind w:left="0" w:firstLine="0"/>
      </w:pPr>
      <w:bookmarkStart w:id="514" w:name="_Toc900514"/>
      <w:r>
        <w:rPr>
          <w:b/>
          <w:bCs/>
          <w:sz w:val="24"/>
          <w:szCs w:val="24"/>
        </w:rPr>
        <w:t xml:space="preserve">5.1 기준을 맞추고 반복하는 이유</w:t>
      </w:r>
      <w:bookmarkEnd w:id="514"/>
    </w:p>
    <w:p>
      <w:pPr>
        <w:spacing w:after="100" w:line="300" w:lineRule="auto"/>
        <w:ind w:firstLine="200"/>
        <w:jc w:val="both"/>
      </w:pPr>
      <w:r>
        <w:rPr/>
        <w:t xml:space="preserve">인장 시험에서 0.0에서 시작하고 그립 중심을 맞추고 파편을 없애는 절차는 모두 시료마다 같은 조건을 만드는 일이다. 2회차에서 저울 영점과 pH 미터 보정으로 측정의 기준을 잡았던 것과 같은 원리다. 실패한 시험(최대 하중 0.0166 N)에서는 조건 하나가 어긋나자 측정값 자체를 쓸 수 없게 됐다. 스핀 코터에서 3,500 rpm을 고정해 쓰는 것도 같은 이유에서다. 두께가 회전 속도의 제곱근에 반비례하므로 속도가 바뀌면 다른 두께의 코팅이 된다.</w:t>
      </w:r>
    </w:p>
    <w:p>
      <w:pPr>
        <w:spacing w:after="100" w:line="300" w:lineRule="auto"/>
        <w:ind w:firstLine="200"/>
        <w:jc w:val="both"/>
      </w:pPr>
      <w:r>
        <w:rPr/>
        <w:t xml:space="preserve">기준을 맞춘 다음에는 반복이 필요하다. 수업에서 같은 시료를 5–10개 시험하라고 한 것은 한 번의 값으로는 재료의 성질과 우연한 차이를 가를 수 없기 때문이다. 시험 프로그램이 날짜·시료·속도와 함께 결과를 데이터베이스에 쌓고 CSV로 내보내게 되어 있는 것도 이런 반복과 비교를 전제로 한 구성이다.</w:t>
      </w:r>
    </w:p>
    <w:p>
      <w:pPr>
        <w:pStyle w:val="NBSLH2"/>
        <w:keepNext/>
        <w:spacing w:before="240" w:after="100"/>
        <w:ind w:left="0" w:firstLine="0"/>
      </w:pPr>
      <w:bookmarkStart w:id="515" w:name="_Toc900515"/>
      <w:r>
        <w:rPr>
          <w:b/>
          <w:bCs/>
          <w:sz w:val="24"/>
          <w:szCs w:val="24"/>
        </w:rPr>
        <w:t xml:space="preserve">5.2 보이지 않는 패턴과 빛</w:t>
      </w:r>
      <w:bookmarkEnd w:id="515"/>
    </w:p>
    <w:p>
      <w:pPr>
        <w:spacing w:after="100" w:line="300" w:lineRule="auto"/>
        <w:ind w:firstLine="200"/>
        <w:jc w:val="both"/>
      </w:pPr>
      <w:r>
        <w:rPr/>
        <w:t xml:space="preserve">나노 패턴은 현미경으로 형태가 잘 보이지 않았다. 패턴 크기는 확인하지 못했지만 분해능 식으로 보면 패턴 간격이 저배율 렌즈의 분해능(NA 0.25 가정 시 약 1.3 µm)보다 작았던 것으로 보인다. 같은 필름이 맨눈에는 무지개색으로 반짝였는데 패턴이 상으로는 구분되지 않아도 반복 간격이 빛의 파장과 비슷하면 회절로 빛의 방향을 바꾸기 때문이다. 상을 만드는 능력과 빛에 영향을 주는 성질을 한 시료에서 함께 확인한 셈이다.</w:t>
      </w:r>
    </w:p>
    <w:p>
      <w:pPr>
        <w:spacing w:after="100" w:line="300" w:lineRule="auto"/>
        <w:ind w:firstLine="200"/>
        <w:jc w:val="both"/>
      </w:pPr>
      <w:r>
        <w:rPr/>
        <w:t xml:space="preserve">정렬된 패턴은 세포 배양에 쓰인다. 세포는 수십–수백 nm 크기의 구조를 따라 정렬하므로 [6] UV 경화와 스핀 코팅으로 만든 표면 구조가 세포가 자라는 방향을 정한다. 이번에 다룬 만들기 장비와 확인 장비는 세포 지지체를 만들고 평가하는 하나의 흐름 안에 있다.</w:t>
      </w:r>
    </w:p>
    <w:p>
      <w:pPr>
        <w:pStyle w:val="NBSLH2"/>
        <w:keepNext/>
        <w:spacing w:before="240" w:after="100"/>
        <w:ind w:left="0" w:firstLine="0"/>
      </w:pPr>
      <w:bookmarkStart w:id="516" w:name="_Toc900516"/>
      <w:r>
        <w:rPr>
          <w:b/>
          <w:bCs/>
          <w:sz w:val="24"/>
          <w:szCs w:val="24"/>
        </w:rPr>
        <w:t xml:space="preserve">5.3 멸균과 무균 유지의 차이</w:t>
      </w:r>
      <w:bookmarkEnd w:id="516"/>
    </w:p>
    <w:p>
      <w:pPr>
        <w:spacing w:after="100" w:line="300" w:lineRule="auto"/>
        <w:ind w:firstLine="200"/>
        <w:jc w:val="both"/>
      </w:pPr>
      <w:r>
        <w:rPr/>
        <w:t xml:space="preserve">오토클레이브와 생물안전작업대는 둘 다 오염을 막지만 하는 일이 다르다. 오토클레이브는 기구와 용액 속 미생물을 죽이는 멸균 장비이고 작업대는 이미 깨끗한 시료가 작업 중에 다시 오염되지 않도록 공기 흐름으로 막는 장비다. 멸균한 기구라도 열린 공간에서 다루면 다시 오염되므로 두 장비를 차례로 써야 무균 상태가 유지된다.</w:t>
      </w:r>
    </w:p>
    <w:p>
      <w:pPr>
        <w:spacing w:after="100" w:line="300" w:lineRule="auto"/>
        <w:ind w:firstLine="200"/>
        <w:jc w:val="both"/>
      </w:pPr>
      <w:r>
        <w:rPr/>
        <w:t xml:space="preserve">확인 방법에도 단계가 있다. 테이프 색이 바뀐 것은 공정을 거쳤다는 표시이고 멸균이 실제로 됐는지는 생물학적 지표로 따로 확인한다 [16]. 작업대도 클린벤치와 BSC의 보호 대상이 달라서 세포를 다루는 실험에는 작업자까지 보호하는 BSC를 쓴다 [2].</w:t>
      </w:r>
    </w:p>
    <w:p>
      <w:pPr>
        <w:pStyle w:val="NBSLH2"/>
        <w:keepNext/>
        <w:spacing w:before="240" w:after="100"/>
        <w:ind w:left="0" w:firstLine="0"/>
      </w:pPr>
      <w:bookmarkStart w:id="517" w:name="_Toc900517"/>
      <w:r>
        <w:rPr>
          <w:b/>
          <w:bCs/>
          <w:sz w:val="24"/>
          <w:szCs w:val="24"/>
        </w:rPr>
        <w:t xml:space="preserve">5.4 한계와 보완할 점</w:t>
      </w:r>
      <w:bookmarkEnd w:id="517"/>
    </w:p>
    <w:p>
      <w:pPr>
        <w:spacing w:after="100" w:line="300" w:lineRule="auto"/>
        <w:ind w:firstLine="200"/>
        <w:jc w:val="both"/>
      </w:pPr>
      <w:r>
        <w:rPr/>
        <w:t xml:space="preserve">스핀 코팅 시간, UV 경화 시간, 오토클레이브 멸균 시간은 시연 중 화면이나 설명으로 확인하지 못해 원리와 표준 조건만 정리했다. 인장 시험 시료는 수업에서 PDMS라고 설명했으나 프로그램에 입력된 두께 0.055 mm는 필름 수준으로 얇아 입력값이 실제로 잰 치수인지 확인이 필요하다. 시험도 한 번만 해서 평균과 편차를 구하지 못했다. 현미경 대물렌즈의 개구수 역시 확인하지 못해 분해능은 가정값으로 계산했다. 다음 실습에서 PDMS 시료를 직접 만들 때 치수를 재고 같은 조건으로 여러 번 시험하면 이번 결과와 비교할 수 있다.</w:t>
      </w:r>
    </w:p>
    <w:p>
      <w:pPr>
        <w:pStyle w:val="1"/>
        <w:keepNext/>
        <w:spacing w:before="360" w:after="100"/>
        <w:ind w:left="0" w:firstLine="0"/>
      </w:pPr>
      <w:bookmarkStart w:id="518" w:name="_Toc900518"/>
      <w:r>
        <w:rPr>
          <w:b/>
          <w:bCs/>
          <w:sz w:val="28"/>
          <w:szCs w:val="28"/>
        </w:rPr>
        <w:t xml:space="preserve">6. 결론</w:t>
      </w:r>
      <w:bookmarkEnd w:id="518"/>
    </w:p>
    <w:p>
      <w:pPr>
        <w:spacing w:after="100" w:line="300" w:lineRule="auto"/>
        <w:ind w:firstLine="200"/>
        <w:jc w:val="both"/>
      </w:pPr>
      <w:r>
        <w:rPr/>
        <w:t xml:space="preserve">이번 실습에서는 시료를 만드는 장비(UV 경화 챔버, 스핀 코터), 만든 시료를 확인하는 장비(도립 현미경, 인장 시험기), 무균 환경을 갖추는 장비(오토클레이브, 생물안전작업대)를 다뤘다. 장비마다 정해진 사용 순서는 원리에서 나온다. 인장 시험을 0.0에서 시작하고 스핀 코터의 속도를 고정하는 것은 같은 조건을 만들기 위해서다. 현미경으로 나노 패턴이 보이지 않은 것은 빛의 파장이 정한 분해능 때문이고 오토클레이브의 121 °C는 압력으로 끓는점을 올려 얻은 온도다. 다음 실습에서 PDMS 시료를 직접 만들면 이번에 익힌 장비로 그 구조와 강도를 확인하게 된다.</w:t>
      </w:r>
    </w:p>
    <w:p>
      <w:pPr>
        <w:pStyle w:val="1"/>
        <w:keepNext/>
        <w:spacing w:before="360" w:after="100"/>
        <w:ind w:left="0" w:firstLine="0"/>
      </w:pPr>
      <w:bookmarkStart w:id="519" w:name="_Toc900519"/>
      <w:r>
        <w:rPr>
          <w:b/>
          <w:bCs/>
          <w:sz w:val="28"/>
          <w:szCs w:val="28"/>
        </w:rPr>
        <w:t xml:space="preserve">7. 참고문헌</w:t>
      </w:r>
      <w:bookmarkEnd w:id="519"/>
    </w:p>
    <w:p>
      <w:pPr>
        <w:tabs>
          <w:tab w:val="left" w:pos="520"/>
        </w:tabs>
        <w:spacing w:after="80" w:line="260" w:lineRule="auto"/>
        <w:ind w:left="520" w:hanging="520"/>
        <w:jc w:val="left"/>
      </w:pPr>
      <w:r>
        <w:rPr>
          <w:sz w:val="19"/>
          <w:szCs w:val="19"/>
        </w:rPr>
        <w:t xml:space="preserve">[1]</w:t>
        <w:tab/>
        <w:t xml:space="preserve">World Health Organization, 「Radiation: Ultraviolet (UV) radiation」, https://www.who.int/news-room/questions-and-answers/item/radiation-ultraviolet-(uv), 2026.10.07</w:t>
      </w:r>
    </w:p>
    <w:p>
      <w:pPr>
        <w:tabs>
          <w:tab w:val="left" w:pos="520"/>
        </w:tabs>
        <w:spacing w:after="80" w:line="260" w:lineRule="auto"/>
        <w:ind w:left="520" w:hanging="520"/>
        <w:jc w:val="left"/>
      </w:pPr>
      <w:r>
        <w:rPr>
          <w:sz w:val="19"/>
          <w:szCs w:val="19"/>
        </w:rPr>
        <w:t xml:space="preserve">[2]</w:t>
        <w:tab/>
        <w:t xml:space="preserve">University of Missouri EHS, 「Biological Safety Cabinets &amp; Laminar Flow Clean Benches」, https://ehs.missouri.edu/biological-safety-cabinets-laminar-flow-clean-benches, 2026.10.07</w:t>
      </w:r>
    </w:p>
    <w:p>
      <w:pPr>
        <w:tabs>
          <w:tab w:val="left" w:pos="520"/>
        </w:tabs>
        <w:spacing w:after="80" w:line="260" w:lineRule="auto"/>
        <w:ind w:left="520" w:hanging="520"/>
        <w:jc w:val="left"/>
      </w:pPr>
      <w:r>
        <w:rPr>
          <w:sz w:val="19"/>
          <w:szCs w:val="19"/>
        </w:rPr>
        <w:t xml:space="preserve">[3]</w:t>
        <w:tab/>
        <w:t xml:space="preserve">Carl Zeiss Microscopy, 「Operating Manual Axio Vert.A1 Inverted Microscope」, https://www.microscopeworld.com/content/manuals/Zeiss_AxioVertA1_manual.pdf, 2026.10.07</w:t>
      </w:r>
    </w:p>
    <w:p>
      <w:pPr>
        <w:tabs>
          <w:tab w:val="left" w:pos="520"/>
        </w:tabs>
        <w:spacing w:after="80" w:line="260" w:lineRule="auto"/>
        <w:ind w:left="520" w:hanging="520"/>
        <w:jc w:val="left"/>
      </w:pPr>
      <w:r>
        <w:rPr>
          <w:sz w:val="19"/>
          <w:szCs w:val="19"/>
        </w:rPr>
        <w:t xml:space="preserve">[4]</w:t>
        <w:tab/>
        <w:t xml:space="preserve">Nikon MicroscopyU, 「Resolution」, https://www.microscopyu.com/microscopy-basics/resolution, 2026.10.07</w:t>
      </w:r>
    </w:p>
    <w:p>
      <w:pPr>
        <w:tabs>
          <w:tab w:val="left" w:pos="520"/>
        </w:tabs>
        <w:spacing w:after="80" w:line="260" w:lineRule="auto"/>
        <w:ind w:left="520" w:hanging="520"/>
        <w:jc w:val="left"/>
      </w:pPr>
      <w:r>
        <w:rPr>
          <w:sz w:val="19"/>
          <w:szCs w:val="19"/>
        </w:rPr>
        <w:t xml:space="preserve">[5]</w:t>
        <w:tab/>
        <w:t xml:space="preserve">Nikon, 「Objective Lens Color Codes」, https://www.microscope.healthcare.nikon.com/resources/glossary/objective-lens-color-codes, 2026.10.07</w:t>
      </w:r>
    </w:p>
    <w:p>
      <w:pPr>
        <w:tabs>
          <w:tab w:val="left" w:pos="520"/>
        </w:tabs>
        <w:spacing w:after="80" w:line="260" w:lineRule="auto"/>
        <w:ind w:left="520" w:hanging="520"/>
        <w:jc w:val="left"/>
      </w:pPr>
      <w:r>
        <w:rPr>
          <w:sz w:val="19"/>
          <w:szCs w:val="19"/>
        </w:rPr>
        <w:t xml:space="preserve">[6]</w:t>
        <w:tab/>
        <w:t xml:space="preserve">D.-H. Kim, P. P. Provenzano, C. L. Smith, A. Levchenko, 「Matrix nanotopography as a regulator of cell function」, Journal of Cell Biology 197(3), Rockefeller University Press, 2012, 351</w:t>
      </w:r>
    </w:p>
    <w:p>
      <w:pPr>
        <w:tabs>
          <w:tab w:val="left" w:pos="520"/>
        </w:tabs>
        <w:spacing w:after="80" w:line="260" w:lineRule="auto"/>
        <w:ind w:left="520" w:hanging="520"/>
        <w:jc w:val="left"/>
      </w:pPr>
      <w:r>
        <w:rPr>
          <w:sz w:val="19"/>
          <w:szCs w:val="19"/>
        </w:rPr>
        <w:t xml:space="preserve">[7]</w:t>
        <w:tab/>
        <w:t xml:space="preserve">California State University Northridge, 「MSE 527L Testing of Materials in Tension」, http://www.csun.edu/~bavarian/Courses/MSE%20527/Tension_test_MSE_527L.pdf, 2026.10.07</w:t>
      </w:r>
    </w:p>
    <w:p>
      <w:pPr>
        <w:tabs>
          <w:tab w:val="left" w:pos="520"/>
        </w:tabs>
        <w:spacing w:after="80" w:line="260" w:lineRule="auto"/>
        <w:ind w:left="520" w:hanging="520"/>
        <w:jc w:val="left"/>
      </w:pPr>
      <w:r>
        <w:rPr>
          <w:sz w:val="19"/>
          <w:szCs w:val="19"/>
        </w:rPr>
        <w:t xml:space="preserve">[8]</w:t>
        <w:tab/>
        <w:t xml:space="preserve">MTS Systems, 「ASTM D882 Tensile Properties of Thin Plastic Sheeting」, https://www.mts.com/en/applications/materials/test-standard/astm/astm-d882, 2026.10.07</w:t>
      </w:r>
    </w:p>
    <w:p>
      <w:pPr>
        <w:tabs>
          <w:tab w:val="left" w:pos="520"/>
        </w:tabs>
        <w:spacing w:after="80" w:line="260" w:lineRule="auto"/>
        <w:ind w:left="520" w:hanging="520"/>
        <w:jc w:val="left"/>
      </w:pPr>
      <w:r>
        <w:rPr>
          <w:sz w:val="19"/>
          <w:szCs w:val="19"/>
        </w:rPr>
        <w:t xml:space="preserve">[9]</w:t>
        <w:tab/>
        <w:t xml:space="preserve">A&amp;D, 「MCT Series」, https://measurement.andonline.com/product/mct/, 2026.10.07</w:t>
      </w:r>
    </w:p>
    <w:p>
      <w:pPr>
        <w:tabs>
          <w:tab w:val="left" w:pos="520"/>
        </w:tabs>
        <w:spacing w:after="80" w:line="260" w:lineRule="auto"/>
        <w:ind w:left="520" w:hanging="520"/>
        <w:jc w:val="left"/>
      </w:pPr>
      <w:r>
        <w:rPr>
          <w:sz w:val="19"/>
          <w:szCs w:val="19"/>
        </w:rPr>
        <w:t xml:space="preserve">[10]</w:t>
        <w:tab/>
        <w:t xml:space="preserve">Ossila, 「Spin Coating: Complete Guide to Theory and Techniques」, https://www.ossila.com/pages/spin-coating, 2026.10.07</w:t>
      </w:r>
    </w:p>
    <w:p>
      <w:pPr>
        <w:tabs>
          <w:tab w:val="left" w:pos="520"/>
        </w:tabs>
        <w:spacing w:after="80" w:line="260" w:lineRule="auto"/>
        <w:ind w:left="520" w:hanging="520"/>
        <w:jc w:val="left"/>
      </w:pPr>
      <w:r>
        <w:rPr>
          <w:sz w:val="19"/>
          <w:szCs w:val="19"/>
        </w:rPr>
        <w:t xml:space="preserve">[11]</w:t>
        <w:tab/>
        <w:t xml:space="preserve">Opsytec, 「UV Curing and Photopolymerization」, https://www.opsytec.com/markets-applications/uv-curing-photopolymerization, 2026.10.07</w:t>
      </w:r>
    </w:p>
    <w:p>
      <w:pPr>
        <w:tabs>
          <w:tab w:val="left" w:pos="520"/>
        </w:tabs>
        <w:spacing w:after="80" w:line="260" w:lineRule="auto"/>
        <w:ind w:left="520" w:hanging="520"/>
        <w:jc w:val="left"/>
      </w:pPr>
      <w:r>
        <w:rPr>
          <w:sz w:val="19"/>
          <w:szCs w:val="19"/>
        </w:rPr>
        <w:t xml:space="preserve">[12]</w:t>
        <w:tab/>
        <w:t xml:space="preserve">J.-H. Shin, S.-H. Lee, K.-J. Byeon, K.-S. Han, H. Lee, K. Tsunozaki, 「Fabrication of flexible UV nanoimprint mold with fluorinated polymer-coated PET film」, Nanoscale Research Letters 6, Springer, 2011, 458</w:t>
      </w:r>
    </w:p>
    <w:p>
      <w:pPr>
        <w:tabs>
          <w:tab w:val="left" w:pos="520"/>
        </w:tabs>
        <w:spacing w:after="80" w:line="260" w:lineRule="auto"/>
        <w:ind w:left="520" w:hanging="520"/>
        <w:jc w:val="left"/>
      </w:pPr>
      <w:r>
        <w:rPr>
          <w:sz w:val="19"/>
          <w:szCs w:val="19"/>
        </w:rPr>
        <w:t xml:space="preserve">[13]</w:t>
        <w:tab/>
        <w:t xml:space="preserve">Physics LibreTexts (UC Davis Physics 9B), 「Diffraction Gratings」, https://phys.libretexts.org/Courses/University_of_California_Davis/UCD:_Physics_9B__Waves_Sound_Optics_Thermodynamics_and_Fluids/03:_Physical_Optics/3.03:_Diffraction_Gratings, 2026.10.07</w:t>
      </w:r>
    </w:p>
    <w:p>
      <w:pPr>
        <w:tabs>
          <w:tab w:val="left" w:pos="520"/>
        </w:tabs>
        <w:spacing w:after="80" w:line="260" w:lineRule="auto"/>
        <w:ind w:left="520" w:hanging="520"/>
        <w:jc w:val="left"/>
      </w:pPr>
      <w:r>
        <w:rPr>
          <w:sz w:val="19"/>
          <w:szCs w:val="19"/>
        </w:rPr>
        <w:t xml:space="preserve">[14]</w:t>
        <w:tab/>
        <w:t xml:space="preserve">University of New Hampshire EHS, 「Biosafety Cabinets &amp; Clean Benches」, https://www.unh.edu/research/research/complianceehs/environmental-health-safety/biological-safety/biosafety-cabinets-clean-benches, 2026.10.07</w:t>
      </w:r>
    </w:p>
    <w:p>
      <w:pPr>
        <w:tabs>
          <w:tab w:val="left" w:pos="520"/>
        </w:tabs>
        <w:spacing w:after="80" w:line="260" w:lineRule="auto"/>
        <w:ind w:left="520" w:hanging="520"/>
        <w:jc w:val="left"/>
      </w:pPr>
      <w:r>
        <w:rPr>
          <w:sz w:val="19"/>
          <w:szCs w:val="19"/>
        </w:rPr>
        <w:t xml:space="preserve">[15]</w:t>
        <w:tab/>
        <w:t xml:space="preserve">Centers for Disease Control and Prevention, 「Steam Sterilization」, https://www.cdc.gov/infection-control/hcp/disinfection-sterilization/steam-sterilization.html, 2026.10.07</w:t>
      </w:r>
    </w:p>
    <w:p>
      <w:pPr>
        <w:tabs>
          <w:tab w:val="left" w:pos="520"/>
        </w:tabs>
        <w:spacing w:after="80" w:line="260" w:lineRule="auto"/>
        <w:ind w:left="520" w:hanging="520"/>
        <w:jc w:val="left"/>
      </w:pPr>
      <w:r>
        <w:rPr>
          <w:sz w:val="19"/>
          <w:szCs w:val="19"/>
        </w:rPr>
        <w:t xml:space="preserve">[16]</w:t>
        <w:tab/>
        <w:t xml:space="preserve">Centers for Disease Control and Prevention, 「Sterilizing Practices」, https://www.cdc.gov/infection-control/hcp/disinfection-sterilization/sterilizing-practices.html, 2026.10.07</w:t>
      </w:r>
    </w:p>
    <w:sectPr w:rsidR="00974A8E" w:rsidRPr="00974A8E" w:rsidSect="008A1F84">
      <w:headerReference w:type="even" r:id="rId8"/>
      <w:headerReference w:type="default" r:id="rId9"/>
      <w:footerReference w:type="default" r:id="rId10"/>
      <w:headerReference w:type="first" r:id="rId11"/>
      <w:pgSz w:w="11904" w:h="16838"/>
      <w:pgMar w:top="1541" w:right="1380" w:bottom="840" w:left="1380" w:header="170"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4FA" w:rsidRDefault="00EC04FA" w:rsidP="00380EB5">
      <w:pPr>
        <w:spacing w:after="0" w:line="240" w:lineRule="auto"/>
      </w:pPr>
      <w:r>
        <w:separator/>
      </w:r>
    </w:p>
  </w:endnote>
  <w:endnote w:type="continuationSeparator" w:id="0">
    <w:p w:rsidR="00EC04FA" w:rsidRDefault="00EC04F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03224"/>
      <w:docPartObj>
        <w:docPartGallery w:val="Page Numbers (Bottom of Page)"/>
        <w:docPartUnique/>
      </w:docPartObj>
    </w:sdtPr>
    <w:sdtEndPr/>
    <w:sdtContent>
      <w:p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4FA" w:rsidRDefault="00EC04FA" w:rsidP="00380EB5">
      <w:pPr>
        <w:spacing w:after="0" w:line="240" w:lineRule="auto"/>
      </w:pPr>
      <w:r>
        <w:separator/>
      </w:r>
    </w:p>
  </w:footnote>
  <w:footnote w:type="continuationSeparator" w:id="0">
    <w:p w:rsidR="00EC04FA" w:rsidRDefault="00EC04F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A7C" w:rsidRDefault="005867C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7" o:spid="_x0000_s2113" type="#_x0000_t75" style="position:absolute;margin-left:0;margin-top:0;width:211.5pt;height:204pt;z-index:-251613184;mso-position-horizontal:center;mso-position-horizontal-relative:margin;mso-position-vertical:center;mso-position-vertical-relative:margin" o:allowincell="f">
          <v:imagedata r:id="rId1" o:title="image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EB5" w:rsidRDefault="005867CB" w:rsidP="009D3A7C">
    <w:pPr>
      <w:pStyle w:val="a7"/>
    </w:pPr>
    <w:r w:rsidRPr="005F5ACB">
      <w:rPr>
        <w:noProof/>
      </w:rPr>
      <w:drawing>
        <wp:anchor distT="0" distB="0" distL="114300" distR="114300" simplePos="0" relativeHeight="251701248" behindDoc="0" locked="0" layoutInCell="1" allowOverlap="1" wp14:anchorId="5BFDB69B" wp14:editId="2F532EDA">
          <wp:simplePos x="0" y="0"/>
          <wp:positionH relativeFrom="column">
            <wp:posOffset>4702629</wp:posOffset>
          </wp:positionH>
          <wp:positionV relativeFrom="paragraph">
            <wp:posOffset>582295</wp:posOffset>
          </wp:positionV>
          <wp:extent cx="1105535" cy="238760"/>
          <wp:effectExtent l="0" t="0" r="0" b="8890"/>
          <wp:wrapThrough wrapText="bothSides">
            <wp:wrapPolygon edited="0">
              <wp:start x="0" y="0"/>
              <wp:lineTo x="0" y="20681"/>
              <wp:lineTo x="21215" y="20681"/>
              <wp:lineTo x="21215" y="0"/>
              <wp:lineTo x="0" y="0"/>
            </wp:wrapPolygon>
          </wp:wrapThrough>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ACB" w:rsidRPr="005F5ACB" w:rsidRDefault="005867CB" w:rsidP="005F5ACB">
    <w:pPr>
      <w:widowControl w:val="0"/>
      <w:wordWrap w:val="0"/>
      <w:autoSpaceDE w:val="0"/>
      <w:autoSpaceDN w:val="0"/>
      <w:spacing w:after="0" w:line="384" w:lineRule="auto"/>
      <w:jc w:val="both"/>
      <w:textAlignment w:val="baseline"/>
      <w:rPr>
        <w:rFonts w:ascii="함초롬바탕" w:eastAsia="굴림" w:hAnsi="굴림" w:cs="굴림"/>
        <w:color w:val="000000"/>
        <w:sz w:val="20"/>
        <w:szCs w:val="20"/>
      </w:rPr>
    </w:pPr>
    <w:r>
      <w:rPr>
        <w:rFonts w:ascii="함초롬바탕" w:eastAsia="굴림" w:hAnsi="굴림" w:cs="굴림"/>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6" o:spid="_x0000_s2112" type="#_x0000_t75" style="position:absolute;left:0;text-align:left;margin-left:0;margin-top:0;width:211.5pt;height:204pt;z-index:-251614208;mso-position-horizontal:center;mso-position-horizontal-relative:margin;mso-position-vertical:center;mso-position-vertical-relative:margin" o:allowincell="f">
          <v:imagedata r:id="rId1" o:title="image01"/>
        </v:shape>
      </w:pict>
    </w:r>
  </w:p>
  <w:p w:rsidR="00EB0196" w:rsidRDefault="005F5ACB">
    <w:pPr>
      <w:pStyle w:val="a4"/>
    </w:pPr>
    <w:r w:rsidRPr="005F5ACB">
      <w:rPr>
        <w:rFonts w:ascii="함초롬바탕" w:eastAsia="굴림" w:hAnsi="굴림" w:cs="굴림"/>
        <w:noProof/>
        <w:color w:val="000000"/>
        <w:sz w:val="20"/>
        <w:szCs w:val="20"/>
      </w:rPr>
      <w:drawing>
        <wp:anchor distT="0" distB="0" distL="114300" distR="114300" simplePos="0" relativeHeight="251686912" behindDoc="0" locked="0" layoutInCell="1" allowOverlap="1" wp14:anchorId="0E51D7D2">
          <wp:simplePos x="0" y="0"/>
          <wp:positionH relativeFrom="column">
            <wp:posOffset>4681220</wp:posOffset>
          </wp:positionH>
          <wp:positionV relativeFrom="paragraph">
            <wp:posOffset>207010</wp:posOffset>
          </wp:positionV>
          <wp:extent cx="1105535" cy="238760"/>
          <wp:effectExtent l="0" t="0" r="0" b="8890"/>
          <wp:wrapThrough wrapText="bothSides">
            <wp:wrapPolygon edited="0">
              <wp:start x="0" y="0"/>
              <wp:lineTo x="0" y="20681"/>
              <wp:lineTo x="21215" y="20681"/>
              <wp:lineTo x="21215" y="0"/>
              <wp:lineTo x="0" y="0"/>
            </wp:wrapPolygon>
          </wp:wrapThrough>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720"/>
  <w:characterSpacingControl w:val="doNotCompress"/>
  <w:hdr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rsid w:val="00DB7E84"/>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함초롬바탕" w:eastAsia="굴림" w:hAnsi="굴림" w:cs="굴림"/>
      <w:color w:val="000000"/>
      <w:sz w:val="20"/>
      <w:szCs w:val="20"/>
    </w:rPr>
  </w:style>
  <w:style w:type="character" w:customStyle="1" w:styleId="1Char">
    <w:name w:val="제목 1 Char"/>
    <w:basedOn w:val="a0"/>
    <w:link w:val="1"/>
    <w:uiPriority w:val="9"/>
    <w:rsid w:val="00DB7E84"/>
    <w:rPr>
      <w:rFonts w:asciiTheme="majorHAnsi" w:eastAsiaTheme="majorEastAsia" w:hAnsiTheme="majorHAnsi" w:cstheme="majorBidi"/>
      <w:sz w:val="28"/>
      <w:szCs w:val="28"/>
    </w:rPr>
  </w:style>
  <w:style w:type="paragraph" w:styleId="TOC">
    <w:name w:val="TOC Heading"/>
    <w:basedOn w:val="1"/>
    <w:next w:val="a"/>
    <w:uiPriority w:val="39"/>
    <w:unhideWhenUsed/>
    <w:qFormat/>
    <w:rsid w:val="00DB7E84"/>
    <w:pPr>
      <w:keepLines/>
      <w:spacing w:before="240" w:after="0" w:line="259" w:lineRule="auto"/>
      <w:outlineLvl w:val="9"/>
    </w:pPr>
    <w:rPr>
      <w:color w:val="365F91" w:themeColor="accent1" w:themeShade="BF"/>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
    <w:name w:val="toc 2"/>
    <w:basedOn w:val="a"/>
    <w:next w:val="a"/>
    <w:autoRedefine/>
    <w:uiPriority w:val="39"/>
    <w:unhideWhenUsed/>
    <w:rsid w:val="00DB7E84"/>
    <w:pPr>
      <w:spacing w:after="100" w:line="259" w:lineRule="auto"/>
      <w:ind w:left="220"/>
    </w:pPr>
    <w:rPr>
      <w:rFonts w:cs="Times New Roman"/>
    </w:rPr>
  </w:style>
  <w:style w:type="paragraph" w:styleId="3">
    <w:name w:val="toc 3"/>
    <w:basedOn w:val="a"/>
    <w:next w:val="a"/>
    <w:autoRedefine/>
    <w:uiPriority w:val="39"/>
    <w:unhideWhenUsed/>
    <w:rsid w:val="00DB7E84"/>
    <w:pPr>
      <w:spacing w:after="100" w:line="259" w:lineRule="auto"/>
      <w:ind w:left="440"/>
    </w:pPr>
    <w:rPr>
      <w:rFonts w:cs="Times New Roman"/>
    </w:rPr>
  </w:style>
  <w:style w:type="paragraph" w:styleId="a9">
    <w:name w:val="Balloon Text"/>
    <w:basedOn w:val="a"/>
    <w:link w:val="Char1"/>
    <w:uiPriority w:val="99"/>
    <w:semiHidden/>
    <w:unhideWhenUsed/>
    <w:rsid w:val="004D2805"/>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4D2805"/>
    <w:rPr>
      <w:rFonts w:asciiTheme="majorHAnsi" w:eastAsiaTheme="majorEastAsia" w:hAnsiTheme="majorHAnsi" w:cstheme="majorBidi"/>
      <w:sz w:val="18"/>
      <w:szCs w:val="18"/>
    </w:rPr>
  </w:style>
  <w:style w:type="paragraph" w:styleId="NBSLH2">
    <w:name w:val="heading 2"/>
    <w:basedOn w:val="a"/>
    <w:next w:val="a"/>
    <w:uiPriority w:val="9"/>
    <w:unhideWhenUsed/>
    <w:qFormat/>
    <w:pPr>
      <w:keepNext/>
      <w:outlineLvl w:val="1"/>
    </w:pPr>
    <w:rPr>
      <w:rFonts w:asciiTheme="majorHAnsi" w:eastAsiaTheme="majorEastAsia" w:hAnsiTheme="majorHAnsi"/>
      <w:b/>
      <w:sz w:val="24"/>
      <w:szCs w:val="24"/>
    </w:rPr>
  </w:style>
  <w:style w:type="paragraph" w:styleId="NBSLH3">
    <w:name w:val="heading 3"/>
    <w:basedOn w:val="a"/>
    <w:next w:val="a"/>
    <w:uiPriority w:val="9"/>
    <w:unhideWhenUsed/>
    <w:qFormat/>
    <w:pPr>
      <w:keepNext/>
      <w:outlineLvl w:val="2"/>
    </w:pPr>
    <w:rPr>
      <w:rFonts w:asciiTheme="majorHAnsi" w:eastAsiaTheme="majorEastAsia" w:hAnsiTheme="majorHAns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pn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pn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png"/><Relationship Id="rId32" Type="http://schemas.openxmlformats.org/officeDocument/2006/relationships/image" Target="media/image21.jpg"/><Relationship Id="rId33" Type="http://schemas.openxmlformats.org/officeDocument/2006/relationships/image" Target="media/image22.pn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분석·공정 장비의 원리와 사용법</dc:title>
  <dc:subject/>
  <dc:creator/>
  <cp:keywords/>
  <dc:description/>
  <cp:lastModifiedBy/>
  <cp:revision>39</cp:revision>
  <dcterms:created xsi:type="dcterms:W3CDTF">2022-06-19T09:08:00Z</dcterms:created>
  <dcterms:modified xsi:type="dcterms:W3CDTF">2023-06-28T02:58:00Z</dcterms:modified>
</cp:coreProperties>
</file>