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5A5A5A"/>
          <w:sz w:val="17"/>
          <w:szCs w:val="17"/>
        </w:rPr>
        <w:t xml:space="preserve">ANNEX D TO THE CSR PROPOSAL — KATLABODI INTEGRATED VILLAGE DEVELOPMENT PROJECT</w:t>
      </w:r>
    </w:p>
    <w:p>
      <w:pPr>
        <w:spacing w:after="120"/>
        <w:jc w:val="center"/>
      </w:pPr>
      <w:r>
        <w:rPr>
          <w:b/>
          <w:bCs/>
          <w:color w:val="1F4E3D"/>
          <w:sz w:val="40"/>
          <w:szCs w:val="40"/>
        </w:rPr>
        <w:t xml:space="preserve">Project 1 — Biodiversity and Medicinal Agroforestry</w:t>
      </w:r>
    </w:p>
    <w:p>
      <w:pPr>
        <w:pBdr>
          <w:bottom w:val="single" w:color="1F4E3D" w:sz="8" w:space="12"/>
        </w:pBdr>
        <w:spacing w:after="300"/>
        <w:jc w:val="center"/>
      </w:pPr>
      <w:r>
        <w:rPr>
          <w:color w:val="3E3E3E"/>
          <w:sz w:val="24"/>
          <w:szCs w:val="24"/>
        </w:rPr>
        <w:t xml:space="preserve">The Katlabodi hub site: livelihoods, fodder and ecosystem services in a drought year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57"/>
        <w:gridCol w:w="6769"/>
      </w:tblGrid>
      <w:tr>
        <w:trPr>
          <w:cantSplit/>
        </w:trPr>
        <w:tc>
          <w:tcPr>
            <w:tcW w:type="dxa" w:w="2257"/>
            <w:tcMar>
              <w:top w:type="dxa" w:w="60"/>
              <w:left w:type="dxa" w:w="90"/>
              <w:bottom w:type="dxa" w:w="60"/>
              <w:right w:type="dxa" w:w="90"/>
            </w:tcMar>
          </w:tcPr>
          <w:p>
            <w:pPr>
              <w:spacing w:after="40"/>
            </w:pPr>
            <w:r>
              <w:rPr>
                <w:b w:val="false"/>
                <w:bCs w:val="false"/>
                <w:sz w:val="19"/>
                <w:szCs w:val="19"/>
              </w:rPr>
              <w:t xml:space="preserve">Project area</w:t>
            </w:r>
          </w:p>
        </w:tc>
        <w:tc>
          <w:tcPr>
            <w:tcW w:type="dxa" w:w="6769"/>
            <w:tcMar>
              <w:top w:type="dxa" w:w="60"/>
              <w:left w:type="dxa" w:w="90"/>
              <w:bottom w:type="dxa" w:w="60"/>
              <w:right w:type="dxa" w:w="90"/>
            </w:tcMar>
          </w:tcPr>
          <w:p>
            <w:pPr>
              <w:spacing w:after="40"/>
            </w:pPr>
            <w:r>
              <w:rPr>
                <w:b w:val="false"/>
                <w:bCs w:val="false"/>
                <w:sz w:val="19"/>
                <w:szCs w:val="19"/>
              </w:rPr>
              <w:t xml:space="preserve">Katlabodi, Murli and Dhankundav — Gram Panchayat Katlabodi, Katol Block, Nagpur District, Maharashtra</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Lead organisation</w:t>
            </w:r>
          </w:p>
        </w:tc>
        <w:tc>
          <w:tcPr>
            <w:tcW w:type="dxa" w:w="6769"/>
            <w:tcMar>
              <w:top w:type="dxa" w:w="60"/>
              <w:left w:type="dxa" w:w="90"/>
              <w:bottom w:type="dxa" w:w="60"/>
              <w:right w:type="dxa" w:w="90"/>
            </w:tcMar>
          </w:tcPr>
          <w:p>
            <w:pPr>
              <w:spacing w:after="40"/>
            </w:pPr>
            <w:r>
              <w:rPr>
                <w:b w:val="false"/>
                <w:bCs w:val="false"/>
                <w:sz w:val="19"/>
                <w:szCs w:val="19"/>
              </w:rPr>
              <w:t xml:space="preserve">Ayurvan Foundation</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Partners</w:t>
            </w:r>
          </w:p>
        </w:tc>
        <w:tc>
          <w:tcPr>
            <w:tcW w:type="dxa" w:w="6769"/>
            <w:tcMar>
              <w:top w:type="dxa" w:w="60"/>
              <w:left w:type="dxa" w:w="90"/>
              <w:bottom w:type="dxa" w:w="60"/>
              <w:right w:type="dxa" w:w="90"/>
            </w:tcMar>
          </w:tcPr>
          <w:p>
            <w:pPr>
              <w:spacing w:after="40"/>
            </w:pPr>
            <w:r>
              <w:rPr>
                <w:b w:val="false"/>
                <w:bCs w:val="false"/>
                <w:sz w:val="19"/>
                <w:szCs w:val="19"/>
              </w:rPr>
              <w:t xml:space="preserve">Gram Panchayat Katlabodi (community partner); UrjaGram Innovations Pvt Ltd (framework, technology and development partner)</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Primary participants</w:t>
            </w:r>
          </w:p>
        </w:tc>
        <w:tc>
          <w:tcPr>
            <w:tcW w:type="dxa" w:w="6769"/>
            <w:tcMar>
              <w:top w:type="dxa" w:w="60"/>
              <w:left w:type="dxa" w:w="90"/>
              <w:bottom w:type="dxa" w:w="60"/>
              <w:right w:type="dxa" w:w="90"/>
            </w:tcMar>
          </w:tcPr>
          <w:p>
            <w:pPr>
              <w:spacing w:after="40"/>
            </w:pPr>
            <w:r>
              <w:rPr>
                <w:b w:val="false"/>
                <w:bCs w:val="false"/>
                <w:sz w:val="19"/>
                <w:szCs w:val="19"/>
              </w:rPr>
              <w:t xml:space="preserve">30–50 women from self-help groups in the pilot, led by the four-member Van Sakhi cadre; small and marginal farmers; livestock-owning households; rural youth</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Hub site</w:t>
            </w:r>
          </w:p>
        </w:tc>
        <w:tc>
          <w:tcPr>
            <w:tcW w:type="dxa" w:w="6769"/>
            <w:tcMar>
              <w:top w:type="dxa" w:w="60"/>
              <w:left w:type="dxa" w:w="90"/>
              <w:bottom w:type="dxa" w:w="60"/>
              <w:right w:type="dxa" w:w="90"/>
            </w:tcMar>
          </w:tcPr>
          <w:p>
            <w:pPr>
              <w:spacing w:after="40"/>
            </w:pPr>
            <w:r>
              <w:rPr>
                <w:b w:val="false"/>
                <w:bCs w:val="false"/>
                <w:sz w:val="19"/>
                <w:szCs w:val="19"/>
              </w:rPr>
              <w:t xml:space="preserve">About 5 ha: 1 ha nursery; 0.5 ha woody medicinal species; 0.5 ha fruit species; 1 ha medicinal shrubs; 2 ha fodder grass; 600 bamboo on the boundary</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Period</w:t>
            </w:r>
          </w:p>
        </w:tc>
        <w:tc>
          <w:tcPr>
            <w:tcW w:type="dxa" w:w="6769"/>
            <w:tcMar>
              <w:top w:type="dxa" w:w="60"/>
              <w:left w:type="dxa" w:w="90"/>
              <w:bottom w:type="dxa" w:w="60"/>
              <w:right w:type="dxa" w:w="90"/>
            </w:tcMar>
          </w:tcPr>
          <w:p>
            <w:pPr>
              <w:spacing w:after="40"/>
            </w:pPr>
            <w:r>
              <w:rPr>
                <w:b w:val="false"/>
                <w:bCs w:val="false"/>
                <w:sz w:val="19"/>
                <w:szCs w:val="19"/>
              </w:rPr>
              <w:t xml:space="preserve">Five years. Year 1 (CSR grant): establishment and demonstration. Years 2–3: supply and extension across the Katol cluster. Years 4–5: enterprise and a State-ready model</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Year-1 cost to the grant</w:t>
            </w:r>
          </w:p>
        </w:tc>
        <w:tc>
          <w:tcPr>
            <w:tcW w:type="dxa" w:w="6769"/>
            <w:tcMar>
              <w:top w:type="dxa" w:w="60"/>
              <w:left w:type="dxa" w:w="90"/>
              <w:bottom w:type="dxa" w:w="60"/>
              <w:right w:type="dxa" w:w="90"/>
            </w:tcMar>
          </w:tcPr>
          <w:p>
            <w:pPr>
              <w:spacing w:after="40"/>
            </w:pPr>
            <w:r>
              <w:rPr>
                <w:b w:val="false"/>
                <w:bCs w:val="false"/>
                <w:sz w:val="19"/>
                <w:szCs w:val="19"/>
              </w:rPr>
              <w:t xml:space="preserve">₹1,81,46,200 — capital ₹1,65,06,000 and year-one operating shortfall ₹16,40,200 (budget line D)</w:t>
            </w:r>
          </w:p>
        </w:tc>
      </w:tr>
    </w:tbl>
    <w:p>
      <w:pPr>
        <w:spacing w:after="80"/>
      </w:pPr>
    </w:p>
    <w:p>
      <w:r>
        <w:br w:type="page"/>
      </w:r>
    </w:p>
    <w:p>
      <w:pPr>
        <w:pStyle w:val="Heading1"/>
        <w:keepNext/>
        <w:spacing w:after="140" w:before="300"/>
      </w:pPr>
      <w:r>
        <w:t xml:space="preserve">1. Summary</w:t>
      </w:r>
    </w:p>
    <w:p>
      <w:pPr>
        <w:spacing w:after="120" w:line="276"/>
        <w:jc w:val="both"/>
      </w:pPr>
      <w:r>
        <w:t xml:space="preserve">Project 1 establishes a community-owned, market-linked medicinal agroforestry system at Katlabodi, combining short-duration medicinal and aromatic crops with woody, fruit and fodder species. It is the physical anchor of the Katlabodi hub: its nursery supplies planting material to the Katol cluster and to VB-G RAM G plantation works, and its demonstration plots show what drought-resilient land use looks like on small and marginal holdings.</w:t>
      </w:r>
    </w:p>
    <w:p>
      <w:pPr>
        <w:spacing w:after="120" w:line="276"/>
        <w:jc w:val="both"/>
      </w:pPr>
      <w:r>
        <w:t xml:space="preserve">Within the UrjaGram Sustainable Development Framework (USDF), Project 1 is the nature-based foundation on which the other projects draw: fodder for Project 3, soil moisture and cover that support Project 2, biomass and slurry cycles with Project 4, local food and medicinal knowledge for Project 5, and sequestration data for Project 6. It runs on </w:t>
      </w:r>
      <w:r>
        <w:rPr>
          <w:b/>
          <w:bCs/>
        </w:rPr>
        <w:t xml:space="preserve">VanaGram OS</w:t>
      </w:r>
      <w:r>
        <w:t xml:space="preserve">, the DEVTech agroforestry module, and is delivered by the </w:t>
      </w:r>
      <w:r>
        <w:rPr>
          <w:b/>
          <w:bCs/>
        </w:rPr>
        <w:t xml:space="preserve">Van Sakhi</w:t>
      </w:r>
      <w:r>
        <w:t xml:space="preserve"> cadre and the women they lead.</w:t>
      </w:r>
    </w:p>
    <w:p>
      <w:pPr>
        <w:spacing w:after="120" w:line="276"/>
        <w:jc w:val="both"/>
      </w:pPr>
      <w:r>
        <w:t xml:space="preserve">The integrated model:</w:t>
      </w:r>
    </w:p>
    <w:p>
      <w:pPr>
        <w:spacing w:after="120" w:line="276"/>
        <w:jc w:val="center"/>
      </w:pPr>
      <w:r>
        <w:rPr>
          <w:b/>
          <w:bCs/>
        </w:rPr>
        <w:t xml:space="preserve">Land → Nursery → Medicinal crops → Agroforestry and fodder → Women-led enterprise → Processing → Market → Income, fodder, biodiversity and carbon</w:t>
      </w:r>
    </w:p>
    <w:p>
      <w:pPr>
        <w:pStyle w:val="Heading1"/>
        <w:keepNext/>
        <w:spacing w:after="140" w:before="300"/>
      </w:pPr>
      <w:r>
        <w:t xml:space="preserve">2. Why now: the drought and the land</w:t>
      </w:r>
    </w:p>
    <w:p>
      <w:pPr>
        <w:spacing w:after="120" w:line="276"/>
        <w:jc w:val="both"/>
      </w:pPr>
      <w:r>
        <w:t xml:space="preserve">The September 2026 drought declaration covers 265 of Maharashtra’s 358 talukas, with Vidarbha worst affected and Nagpur district among the six worst-hit districts. In a drought year the Katlabodi pattern tightens at once: fodder runs out, the herd leans harder on the 416 hectares of forest, groundwater-fed cropping fails, and household income falls with it. Conventional cropping is exposed to rainfall variability, water stress, input costs and uncertain prices.</w:t>
      </w:r>
    </w:p>
    <w:p>
      <w:pPr>
        <w:spacing w:after="120" w:line="276"/>
        <w:jc w:val="both"/>
      </w:pPr>
      <w:r>
        <w:t xml:space="preserve">Tree-based and medicinal systems spread that risk. Perennial species hold soil and moisture through dry spells; short-duration medicinal crops give early income while trees establish; fodder trees and grasses buffer the herd; and processing and grading add value that stays with women’s groups. IPBES finds that agroforestry benefits are greatest in semi-arid areas and that agroecological options score positively across biodiversity, water, food, health and climate (IPBES Nexus Assessment, Ch. 5.5 and Fig. 5.6.3).</w:t>
      </w:r>
    </w:p>
    <w:p>
      <w:pPr>
        <w:spacing w:after="120" w:line="276"/>
        <w:jc w:val="both"/>
      </w:pPr>
      <w:r>
        <w:rPr>
          <w:b/>
          <w:bCs/>
        </w:rPr>
        <w:t xml:space="preserve">Timing.</w:t>
      </w:r>
      <w:r>
        <w:t xml:space="preserve"> Nursery stock must be raised between February and May 2027 for planting with the 2027 monsoon. Sanction by December 2026 keeps that window; a later start moves first planting to 2028.</w:t>
      </w:r>
    </w:p>
    <w:p>
      <w:pPr>
        <w:pStyle w:val="Heading1"/>
        <w:keepNext/>
        <w:spacing w:after="140" w:before="300"/>
      </w:pPr>
      <w:r>
        <w:t xml:space="preserve">3. Biodiversity as infrastructure</w:t>
      </w:r>
    </w:p>
    <w:p>
      <w:pPr>
        <w:spacing w:after="120" w:line="276"/>
        <w:jc w:val="both"/>
      </w:pPr>
      <w:r>
        <w:t xml:space="preserve">Project 1 treats biodiversity the way a panchayat treats a road or a water scheme: as infrastructure that delivers services and must be registered, maintained and financed.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355"/>
        <w:gridCol w:w="6671"/>
      </w:tblGrid>
      <w:tr>
        <w:trPr>
          <w:tblHeader/>
        </w:trPr>
        <w:tc>
          <w:tcPr>
            <w:tcW w:type="dxa" w:w="2355"/>
            <w:shd w:fill="EAF1EE" w:color="auto" w:val="clear"/>
            <w:tcMar>
              <w:top w:type="dxa" w:w="60"/>
              <w:left w:type="dxa" w:w="90"/>
              <w:bottom w:type="dxa" w:w="60"/>
              <w:right w:type="dxa" w:w="90"/>
            </w:tcMar>
          </w:tcPr>
          <w:p>
            <w:pPr>
              <w:spacing w:after="40"/>
            </w:pPr>
            <w:r>
              <w:rPr>
                <w:b/>
                <w:bCs/>
                <w:sz w:val="19"/>
                <w:szCs w:val="19"/>
              </w:rPr>
              <w:t xml:space="preserve">Infrastructure practice</w:t>
            </w:r>
          </w:p>
        </w:tc>
        <w:tc>
          <w:tcPr>
            <w:tcW w:type="dxa" w:w="6671"/>
            <w:shd w:fill="EAF1EE" w:color="auto" w:val="clear"/>
            <w:tcMar>
              <w:top w:type="dxa" w:w="60"/>
              <w:left w:type="dxa" w:w="90"/>
              <w:bottom w:type="dxa" w:w="60"/>
              <w:right w:type="dxa" w:w="90"/>
            </w:tcMar>
          </w:tcPr>
          <w:p>
            <w:pPr>
              <w:spacing w:after="40"/>
            </w:pPr>
            <w:r>
              <w:rPr>
                <w:b/>
                <w:bCs/>
                <w:sz w:val="19"/>
                <w:szCs w:val="19"/>
              </w:rPr>
              <w:t xml:space="preserve">At Katlabodi</w:t>
            </w:r>
          </w:p>
        </w:tc>
      </w:tr>
      <w:tr>
        <w:trPr>
          <w:cantSplit/>
        </w:trPr>
        <w:tc>
          <w:tcPr>
            <w:tcW w:type="dxa" w:w="2355"/>
            <w:tcMar>
              <w:top w:type="dxa" w:w="60"/>
              <w:left w:type="dxa" w:w="90"/>
              <w:bottom w:type="dxa" w:w="60"/>
              <w:right w:type="dxa" w:w="90"/>
            </w:tcMar>
          </w:tcPr>
          <w:p>
            <w:pPr>
              <w:spacing w:after="40"/>
            </w:pPr>
            <w:r>
              <w:rPr>
                <w:b w:val="false"/>
                <w:bCs w:val="false"/>
                <w:sz w:val="19"/>
                <w:szCs w:val="19"/>
              </w:rPr>
              <w:t xml:space="preserve">Asset register</w:t>
            </w:r>
          </w:p>
        </w:tc>
        <w:tc>
          <w:tcPr>
            <w:tcW w:type="dxa" w:w="6671"/>
            <w:tcMar>
              <w:top w:type="dxa" w:w="60"/>
              <w:left w:type="dxa" w:w="90"/>
              <w:bottom w:type="dxa" w:w="60"/>
              <w:right w:type="dxa" w:w="90"/>
            </w:tcMar>
          </w:tcPr>
          <w:p>
            <w:pPr>
              <w:spacing w:after="40"/>
            </w:pPr>
            <w:r>
              <w:rPr>
                <w:b w:val="false"/>
                <w:bCs w:val="false"/>
                <w:sz w:val="19"/>
                <w:szCs w:val="19"/>
              </w:rPr>
              <w:t xml:space="preserve">The People’s Biodiversity Register (PBR), updated by the Van Sakhi cadre and maintained on VanaGram OS rather than as a static document</w:t>
            </w:r>
          </w:p>
        </w:tc>
      </w:tr>
      <w:tr>
        <w:trPr>
          <w:cantSplit/>
        </w:trPr>
        <w:tc>
          <w:tcPr>
            <w:tcW w:type="dxa" w:w="2355"/>
            <w:tcMar>
              <w:top w:type="dxa" w:w="60"/>
              <w:left w:type="dxa" w:w="90"/>
              <w:bottom w:type="dxa" w:w="60"/>
              <w:right w:type="dxa" w:w="90"/>
            </w:tcMar>
          </w:tcPr>
          <w:p>
            <w:pPr>
              <w:spacing w:after="40"/>
            </w:pPr>
            <w:r>
              <w:rPr>
                <w:b w:val="false"/>
                <w:bCs w:val="false"/>
                <w:sz w:val="19"/>
                <w:szCs w:val="19"/>
              </w:rPr>
              <w:t xml:space="preserve">Services delivered</w:t>
            </w:r>
          </w:p>
        </w:tc>
        <w:tc>
          <w:tcPr>
            <w:tcW w:type="dxa" w:w="6671"/>
            <w:tcMar>
              <w:top w:type="dxa" w:w="60"/>
              <w:left w:type="dxa" w:w="90"/>
              <w:bottom w:type="dxa" w:w="60"/>
              <w:right w:type="dxa" w:w="90"/>
            </w:tcMar>
          </w:tcPr>
          <w:p>
            <w:pPr>
              <w:spacing w:after="40"/>
            </w:pPr>
            <w:r>
              <w:rPr>
                <w:b w:val="false"/>
                <w:bCs w:val="false"/>
                <w:sz w:val="19"/>
                <w:szCs w:val="19"/>
              </w:rPr>
              <w:t xml:space="preserve">Fodder, water regulation, medicinal plants, fuel, pollination and carbon — from the hub site and the 416 ha of forest</w:t>
            </w:r>
          </w:p>
        </w:tc>
      </w:tr>
      <w:tr>
        <w:trPr>
          <w:cantSplit/>
        </w:trPr>
        <w:tc>
          <w:tcPr>
            <w:tcW w:type="dxa" w:w="2355"/>
            <w:tcMar>
              <w:top w:type="dxa" w:w="60"/>
              <w:left w:type="dxa" w:w="90"/>
              <w:bottom w:type="dxa" w:w="60"/>
              <w:right w:type="dxa" w:w="90"/>
            </w:tcMar>
          </w:tcPr>
          <w:p>
            <w:pPr>
              <w:spacing w:after="40"/>
            </w:pPr>
            <w:r>
              <w:rPr>
                <w:b w:val="false"/>
                <w:bCs w:val="false"/>
                <w:sz w:val="19"/>
                <w:szCs w:val="19"/>
              </w:rPr>
              <w:t xml:space="preserve">Condition monitoring</w:t>
            </w:r>
          </w:p>
        </w:tc>
        <w:tc>
          <w:tcPr>
            <w:tcW w:type="dxa" w:w="6671"/>
            <w:tcMar>
              <w:top w:type="dxa" w:w="60"/>
              <w:left w:type="dxa" w:w="90"/>
              <w:bottom w:type="dxa" w:w="60"/>
              <w:right w:type="dxa" w:w="90"/>
            </w:tcMar>
          </w:tcPr>
          <w:p>
            <w:pPr>
              <w:spacing w:after="40"/>
            </w:pPr>
            <w:r>
              <w:rPr>
                <w:b w:val="false"/>
                <w:bCs w:val="false"/>
                <w:sz w:val="19"/>
                <w:szCs w:val="19"/>
              </w:rPr>
              <w:t xml:space="preserve">Survival, species diversity and forest-condition records collected by the cadre</w:t>
            </w:r>
          </w:p>
        </w:tc>
      </w:tr>
      <w:tr>
        <w:trPr>
          <w:cantSplit/>
        </w:trPr>
        <w:tc>
          <w:tcPr>
            <w:tcW w:type="dxa" w:w="2355"/>
            <w:tcMar>
              <w:top w:type="dxa" w:w="60"/>
              <w:left w:type="dxa" w:w="90"/>
              <w:bottom w:type="dxa" w:w="60"/>
              <w:right w:type="dxa" w:w="90"/>
            </w:tcMar>
          </w:tcPr>
          <w:p>
            <w:pPr>
              <w:spacing w:after="40"/>
            </w:pPr>
            <w:r>
              <w:rPr>
                <w:b w:val="false"/>
                <w:bCs w:val="false"/>
                <w:sz w:val="19"/>
                <w:szCs w:val="19"/>
              </w:rPr>
              <w:t xml:space="preserve">Maintenance budget</w:t>
            </w:r>
          </w:p>
        </w:tc>
        <w:tc>
          <w:tcPr>
            <w:tcW w:type="dxa" w:w="6671"/>
            <w:tcMar>
              <w:top w:type="dxa" w:w="60"/>
              <w:left w:type="dxa" w:w="90"/>
              <w:bottom w:type="dxa" w:w="60"/>
              <w:right w:type="dxa" w:w="90"/>
            </w:tcMar>
          </w:tcPr>
          <w:p>
            <w:pPr>
              <w:spacing w:after="40"/>
            </w:pPr>
            <w:r>
              <w:rPr>
                <w:b w:val="false"/>
                <w:bCs w:val="false"/>
                <w:sz w:val="19"/>
                <w:szCs w:val="19"/>
              </w:rPr>
              <w:t xml:space="preserve">The Local Biodiversity Fund of the Biodiversity Management Committee (BMC), including collection fees it may levy under the Biological Diversity Act</w:t>
            </w:r>
          </w:p>
        </w:tc>
      </w:tr>
      <w:tr>
        <w:trPr>
          <w:cantSplit/>
        </w:trPr>
        <w:tc>
          <w:tcPr>
            <w:tcW w:type="dxa" w:w="2355"/>
            <w:tcMar>
              <w:top w:type="dxa" w:w="60"/>
              <w:left w:type="dxa" w:w="90"/>
              <w:bottom w:type="dxa" w:w="60"/>
              <w:right w:type="dxa" w:w="90"/>
            </w:tcMar>
          </w:tcPr>
          <w:p>
            <w:pPr>
              <w:spacing w:after="40"/>
            </w:pPr>
            <w:r>
              <w:rPr>
                <w:b w:val="false"/>
                <w:bCs w:val="false"/>
                <w:sz w:val="19"/>
                <w:szCs w:val="19"/>
              </w:rPr>
              <w:t xml:space="preserve">Investment plan</w:t>
            </w:r>
          </w:p>
        </w:tc>
        <w:tc>
          <w:tcPr>
            <w:tcW w:type="dxa" w:w="6671"/>
            <w:tcMar>
              <w:top w:type="dxa" w:w="60"/>
              <w:left w:type="dxa" w:w="90"/>
              <w:bottom w:type="dxa" w:w="60"/>
              <w:right w:type="dxa" w:w="90"/>
            </w:tcMar>
          </w:tcPr>
          <w:p>
            <w:pPr>
              <w:spacing w:after="40"/>
            </w:pPr>
            <w:r>
              <w:rPr>
                <w:b w:val="false"/>
                <w:bCs w:val="false"/>
                <w:sz w:val="19"/>
                <w:szCs w:val="19"/>
              </w:rPr>
              <w:t xml:space="preserve">Biodiversity projects written into the Gram Panchayat Integrated Investment Plan and the Viksit Gram Panchayat Plan</w:t>
            </w:r>
          </w:p>
        </w:tc>
      </w:tr>
      <w:tr>
        <w:trPr>
          <w:cantSplit/>
        </w:trPr>
        <w:tc>
          <w:tcPr>
            <w:tcW w:type="dxa" w:w="2355"/>
            <w:tcMar>
              <w:top w:type="dxa" w:w="60"/>
              <w:left w:type="dxa" w:w="90"/>
              <w:bottom w:type="dxa" w:w="60"/>
              <w:right w:type="dxa" w:w="90"/>
            </w:tcMar>
          </w:tcPr>
          <w:p>
            <w:pPr>
              <w:spacing w:after="40"/>
            </w:pPr>
            <w:r>
              <w:rPr>
                <w:b w:val="false"/>
                <w:bCs w:val="false"/>
                <w:sz w:val="19"/>
                <w:szCs w:val="19"/>
              </w:rPr>
              <w:t xml:space="preserve">Failure event</w:t>
            </w:r>
          </w:p>
        </w:tc>
        <w:tc>
          <w:tcPr>
            <w:tcW w:type="dxa" w:w="6671"/>
            <w:tcMar>
              <w:top w:type="dxa" w:w="60"/>
              <w:left w:type="dxa" w:w="90"/>
              <w:bottom w:type="dxa" w:w="60"/>
              <w:right w:type="dxa" w:w="90"/>
            </w:tcMar>
          </w:tcPr>
          <w:p>
            <w:pPr>
              <w:spacing w:after="40"/>
            </w:pPr>
            <w:r>
              <w:rPr>
                <w:b w:val="false"/>
                <w:bCs w:val="false"/>
                <w:sz w:val="19"/>
                <w:szCs w:val="19"/>
              </w:rPr>
              <w:t xml:space="preserve">A drought year — when services fail, fodder, water and income fail with them</w:t>
            </w:r>
          </w:p>
        </w:tc>
      </w:tr>
    </w:tbl>
    <w:p>
      <w:pPr>
        <w:spacing w:after="80"/>
      </w:pPr>
    </w:p>
    <w:p>
      <w:pPr>
        <w:spacing w:after="120" w:line="276"/>
        <w:jc w:val="both"/>
      </w:pPr>
      <w:r>
        <w:t xml:space="preserve">Most BMCs nationally exist on paper, without funds or a used register. Katlabodi offers the National Biodiversity Authority and the Maharashtra State Biodiversity Board a working BMC, aligned with India’s updated National Biodiversity Strategy and Action Plan (2024). One limit is stated plainly: since the 2023 amendment to the Biological Diversity Act and the 2025 benefit-sharing regulations, users of </w:t>
      </w:r>
      <w:r>
        <w:rPr>
          <w:b/>
          <w:bCs/>
        </w:rPr>
        <w:t xml:space="preserve">cultivated</w:t>
      </w:r>
      <w:r>
        <w:t xml:space="preserve"> medicinal plants are exempt from benefit-sharing, so sales from the hub site do not generate benefit-sharing income. The case rests on ecosystem services and a working BMC, not on benefit-sharing revenue.</w:t>
      </w:r>
    </w:p>
    <w:p>
      <w:pPr>
        <w:pStyle w:val="Heading1"/>
        <w:keepNext/>
        <w:spacing w:after="140" w:before="300"/>
      </w:pPr>
      <w:r>
        <w:t xml:space="preserve">4. Site and land</w:t>
      </w:r>
    </w:p>
    <w:p>
      <w:pPr>
        <w:spacing w:after="120" w:line="276"/>
        <w:jc w:val="both"/>
      </w:pPr>
      <w:r>
        <w:t xml:space="preserve">Katlabodi village is the primary demonstration site and community hub; Murli and Dhankundav participate through cultivation and livelihood-linked plantation. Land may come from Gram Panchayat land (subject to permission), community land where legally permissible, farmer-owned land, self-help group plots and institutional demonstration plots.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30"/>
        <w:gridCol w:w="1389"/>
        <w:gridCol w:w="5207"/>
      </w:tblGrid>
      <w:tr>
        <w:trPr>
          <w:tblHeader/>
        </w:trPr>
        <w:tc>
          <w:tcPr>
            <w:tcW w:type="dxa" w:w="2430"/>
            <w:shd w:fill="EAF1EE" w:color="auto" w:val="clear"/>
            <w:tcMar>
              <w:top w:type="dxa" w:w="60"/>
              <w:left w:type="dxa" w:w="90"/>
              <w:bottom w:type="dxa" w:w="60"/>
              <w:right w:type="dxa" w:w="90"/>
            </w:tcMar>
          </w:tcPr>
          <w:p>
            <w:pPr>
              <w:spacing w:after="40"/>
            </w:pPr>
            <w:r>
              <w:rPr>
                <w:b/>
                <w:bCs/>
                <w:sz w:val="19"/>
                <w:szCs w:val="19"/>
              </w:rPr>
              <w:t xml:space="preserve">Component</w:t>
            </w:r>
          </w:p>
        </w:tc>
        <w:tc>
          <w:tcPr>
            <w:tcW w:type="dxa" w:w="1389"/>
            <w:shd w:fill="EAF1EE" w:color="auto" w:val="clear"/>
            <w:tcMar>
              <w:top w:type="dxa" w:w="60"/>
              <w:left w:type="dxa" w:w="90"/>
              <w:bottom w:type="dxa" w:w="60"/>
              <w:right w:type="dxa" w:w="90"/>
            </w:tcMar>
          </w:tcPr>
          <w:p>
            <w:pPr>
              <w:spacing w:after="40"/>
            </w:pPr>
            <w:r>
              <w:rPr>
                <w:b/>
                <w:bCs/>
                <w:sz w:val="19"/>
                <w:szCs w:val="19"/>
              </w:rPr>
              <w:t xml:space="preserve">Area</w:t>
            </w:r>
          </w:p>
        </w:tc>
        <w:tc>
          <w:tcPr>
            <w:tcW w:type="dxa" w:w="5207"/>
            <w:shd w:fill="EAF1EE" w:color="auto" w:val="clear"/>
            <w:tcMar>
              <w:top w:type="dxa" w:w="60"/>
              <w:left w:type="dxa" w:w="90"/>
              <w:bottom w:type="dxa" w:w="60"/>
              <w:right w:type="dxa" w:w="90"/>
            </w:tcMar>
          </w:tcPr>
          <w:p>
            <w:pPr>
              <w:spacing w:after="40"/>
            </w:pPr>
            <w:r>
              <w:rPr>
                <w:b/>
                <w:bCs/>
                <w:sz w:val="19"/>
                <w:szCs w:val="19"/>
              </w:rPr>
              <w:t xml:space="preserve">Purpose</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Nursery</w:t>
            </w:r>
          </w:p>
        </w:tc>
        <w:tc>
          <w:tcPr>
            <w:tcW w:type="dxa" w:w="1389"/>
            <w:tcMar>
              <w:top w:type="dxa" w:w="60"/>
              <w:left w:type="dxa" w:w="90"/>
              <w:bottom w:type="dxa" w:w="60"/>
              <w:right w:type="dxa" w:w="90"/>
            </w:tcMar>
          </w:tcPr>
          <w:p>
            <w:pPr>
              <w:spacing w:after="40"/>
            </w:pPr>
            <w:r>
              <w:rPr>
                <w:b w:val="false"/>
                <w:bCs w:val="false"/>
                <w:sz w:val="19"/>
                <w:szCs w:val="19"/>
              </w:rPr>
              <w:t xml:space="preserve">1 ha</w:t>
            </w:r>
          </w:p>
        </w:tc>
        <w:tc>
          <w:tcPr>
            <w:tcW w:type="dxa" w:w="5207"/>
            <w:tcMar>
              <w:top w:type="dxa" w:w="60"/>
              <w:left w:type="dxa" w:w="90"/>
              <w:bottom w:type="dxa" w:w="60"/>
              <w:right w:type="dxa" w:w="90"/>
            </w:tcMar>
          </w:tcPr>
          <w:p>
            <w:pPr>
              <w:spacing w:after="40"/>
            </w:pPr>
            <w:r>
              <w:rPr>
                <w:b w:val="false"/>
                <w:bCs w:val="false"/>
                <w:sz w:val="19"/>
                <w:szCs w:val="19"/>
              </w:rPr>
              <w:t xml:space="preserve">Planting material for the hub, the Katol cluster and VB-G RAM G plantation works</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Woody medicinal species</w:t>
            </w:r>
          </w:p>
        </w:tc>
        <w:tc>
          <w:tcPr>
            <w:tcW w:type="dxa" w:w="1389"/>
            <w:tcMar>
              <w:top w:type="dxa" w:w="60"/>
              <w:left w:type="dxa" w:w="90"/>
              <w:bottom w:type="dxa" w:w="60"/>
              <w:right w:type="dxa" w:w="90"/>
            </w:tcMar>
          </w:tcPr>
          <w:p>
            <w:pPr>
              <w:spacing w:after="40"/>
            </w:pPr>
            <w:r>
              <w:rPr>
                <w:b w:val="false"/>
                <w:bCs w:val="false"/>
                <w:sz w:val="19"/>
                <w:szCs w:val="19"/>
              </w:rPr>
              <w:t xml:space="preserve">0.5 ha</w:t>
            </w:r>
          </w:p>
        </w:tc>
        <w:tc>
          <w:tcPr>
            <w:tcW w:type="dxa" w:w="5207"/>
            <w:tcMar>
              <w:top w:type="dxa" w:w="60"/>
              <w:left w:type="dxa" w:w="90"/>
              <w:bottom w:type="dxa" w:w="60"/>
              <w:right w:type="dxa" w:w="90"/>
            </w:tcMar>
          </w:tcPr>
          <w:p>
            <w:pPr>
              <w:spacing w:after="40"/>
            </w:pPr>
            <w:r>
              <w:rPr>
                <w:b w:val="false"/>
                <w:bCs w:val="false"/>
                <w:sz w:val="19"/>
                <w:szCs w:val="19"/>
              </w:rPr>
              <w:t xml:space="preserve">Long-duration medicinal value, biodiversity and carbon</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Fruit-bearing species</w:t>
            </w:r>
          </w:p>
        </w:tc>
        <w:tc>
          <w:tcPr>
            <w:tcW w:type="dxa" w:w="1389"/>
            <w:tcMar>
              <w:top w:type="dxa" w:w="60"/>
              <w:left w:type="dxa" w:w="90"/>
              <w:bottom w:type="dxa" w:w="60"/>
              <w:right w:type="dxa" w:w="90"/>
            </w:tcMar>
          </w:tcPr>
          <w:p>
            <w:pPr>
              <w:spacing w:after="40"/>
            </w:pPr>
            <w:r>
              <w:rPr>
                <w:b w:val="false"/>
                <w:bCs w:val="false"/>
                <w:sz w:val="19"/>
                <w:szCs w:val="19"/>
              </w:rPr>
              <w:t xml:space="preserve">0.5 ha</w:t>
            </w:r>
          </w:p>
        </w:tc>
        <w:tc>
          <w:tcPr>
            <w:tcW w:type="dxa" w:w="5207"/>
            <w:tcMar>
              <w:top w:type="dxa" w:w="60"/>
              <w:left w:type="dxa" w:w="90"/>
              <w:bottom w:type="dxa" w:w="60"/>
              <w:right w:type="dxa" w:w="90"/>
            </w:tcMar>
          </w:tcPr>
          <w:p>
            <w:pPr>
              <w:spacing w:after="40"/>
            </w:pPr>
            <w:r>
              <w:rPr>
                <w:b w:val="false"/>
                <w:bCs w:val="false"/>
                <w:sz w:val="19"/>
                <w:szCs w:val="19"/>
              </w:rPr>
              <w:t xml:space="preserve">Market income and nutrition</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Medicinal shrubs</w:t>
            </w:r>
          </w:p>
        </w:tc>
        <w:tc>
          <w:tcPr>
            <w:tcW w:type="dxa" w:w="1389"/>
            <w:tcMar>
              <w:top w:type="dxa" w:w="60"/>
              <w:left w:type="dxa" w:w="90"/>
              <w:bottom w:type="dxa" w:w="60"/>
              <w:right w:type="dxa" w:w="90"/>
            </w:tcMar>
          </w:tcPr>
          <w:p>
            <w:pPr>
              <w:spacing w:after="40"/>
            </w:pPr>
            <w:r>
              <w:rPr>
                <w:b w:val="false"/>
                <w:bCs w:val="false"/>
                <w:sz w:val="19"/>
                <w:szCs w:val="19"/>
              </w:rPr>
              <w:t xml:space="preserve">1 ha</w:t>
            </w:r>
          </w:p>
        </w:tc>
        <w:tc>
          <w:tcPr>
            <w:tcW w:type="dxa" w:w="5207"/>
            <w:tcMar>
              <w:top w:type="dxa" w:w="60"/>
              <w:left w:type="dxa" w:w="90"/>
              <w:bottom w:type="dxa" w:w="60"/>
              <w:right w:type="dxa" w:w="90"/>
            </w:tcMar>
          </w:tcPr>
          <w:p>
            <w:pPr>
              <w:spacing w:after="40"/>
            </w:pPr>
            <w:r>
              <w:rPr>
                <w:b w:val="false"/>
                <w:bCs w:val="false"/>
                <w:sz w:val="19"/>
                <w:szCs w:val="19"/>
              </w:rPr>
              <w:t xml:space="preserve">Short-duration income while trees establish</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Fodder grass</w:t>
            </w:r>
          </w:p>
        </w:tc>
        <w:tc>
          <w:tcPr>
            <w:tcW w:type="dxa" w:w="1389"/>
            <w:tcMar>
              <w:top w:type="dxa" w:w="60"/>
              <w:left w:type="dxa" w:w="90"/>
              <w:bottom w:type="dxa" w:w="60"/>
              <w:right w:type="dxa" w:w="90"/>
            </w:tcMar>
          </w:tcPr>
          <w:p>
            <w:pPr>
              <w:spacing w:after="40"/>
            </w:pPr>
            <w:r>
              <w:rPr>
                <w:b w:val="false"/>
                <w:bCs w:val="false"/>
                <w:sz w:val="19"/>
                <w:szCs w:val="19"/>
              </w:rPr>
              <w:t xml:space="preserve">2 ha</w:t>
            </w:r>
          </w:p>
        </w:tc>
        <w:tc>
          <w:tcPr>
            <w:tcW w:type="dxa" w:w="5207"/>
            <w:tcMar>
              <w:top w:type="dxa" w:w="60"/>
              <w:left w:type="dxa" w:w="90"/>
              <w:bottom w:type="dxa" w:w="60"/>
              <w:right w:type="dxa" w:w="90"/>
            </w:tcMar>
          </w:tcPr>
          <w:p>
            <w:pPr>
              <w:spacing w:after="40"/>
            </w:pPr>
            <w:r>
              <w:rPr>
                <w:b w:val="false"/>
                <w:bCs w:val="false"/>
                <w:sz w:val="19"/>
                <w:szCs w:val="19"/>
              </w:rPr>
              <w:t xml:space="preserve">Fodder security for Project 3</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Boundary bamboo</w:t>
            </w:r>
          </w:p>
        </w:tc>
        <w:tc>
          <w:tcPr>
            <w:tcW w:type="dxa" w:w="1389"/>
            <w:tcMar>
              <w:top w:type="dxa" w:w="60"/>
              <w:left w:type="dxa" w:w="90"/>
              <w:bottom w:type="dxa" w:w="60"/>
              <w:right w:type="dxa" w:w="90"/>
            </w:tcMar>
          </w:tcPr>
          <w:p>
            <w:pPr>
              <w:spacing w:after="40"/>
            </w:pPr>
            <w:r>
              <w:rPr>
                <w:b w:val="false"/>
                <w:bCs w:val="false"/>
                <w:sz w:val="19"/>
                <w:szCs w:val="19"/>
              </w:rPr>
              <w:t xml:space="preserve">600 trees</w:t>
            </w:r>
          </w:p>
        </w:tc>
        <w:tc>
          <w:tcPr>
            <w:tcW w:type="dxa" w:w="5207"/>
            <w:tcMar>
              <w:top w:type="dxa" w:w="60"/>
              <w:left w:type="dxa" w:w="90"/>
              <w:bottom w:type="dxa" w:w="60"/>
              <w:right w:type="dxa" w:w="90"/>
            </w:tcMar>
          </w:tcPr>
          <w:p>
            <w:pPr>
              <w:spacing w:after="40"/>
            </w:pPr>
            <w:r>
              <w:rPr>
                <w:b w:val="false"/>
                <w:bCs w:val="false"/>
                <w:sz w:val="19"/>
                <w:szCs w:val="19"/>
              </w:rPr>
              <w:t xml:space="preserve">Biomass, livelihood, soil protection and a living fence</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Processing area</w:t>
            </w:r>
          </w:p>
        </w:tc>
        <w:tc>
          <w:tcPr>
            <w:tcW w:type="dxa" w:w="1389"/>
            <w:tcMar>
              <w:top w:type="dxa" w:w="60"/>
              <w:left w:type="dxa" w:w="90"/>
              <w:bottom w:type="dxa" w:w="60"/>
              <w:right w:type="dxa" w:w="90"/>
            </w:tcMar>
          </w:tcPr>
          <w:p>
            <w:pPr>
              <w:spacing w:after="40"/>
            </w:pPr>
            <w:r>
              <w:rPr>
                <w:b w:val="false"/>
                <w:bCs w:val="false"/>
                <w:sz w:val="19"/>
                <w:szCs w:val="19"/>
              </w:rPr>
              <w:t xml:space="preserve">Within site</w:t>
            </w:r>
          </w:p>
        </w:tc>
        <w:tc>
          <w:tcPr>
            <w:tcW w:type="dxa" w:w="5207"/>
            <w:tcMar>
              <w:top w:type="dxa" w:w="60"/>
              <w:left w:type="dxa" w:w="90"/>
              <w:bottom w:type="dxa" w:w="60"/>
              <w:right w:type="dxa" w:w="90"/>
            </w:tcMar>
          </w:tcPr>
          <w:p>
            <w:pPr>
              <w:spacing w:after="40"/>
            </w:pPr>
            <w:r>
              <w:rPr>
                <w:b w:val="false"/>
                <w:bCs w:val="false"/>
                <w:sz w:val="19"/>
                <w:szCs w:val="19"/>
              </w:rPr>
              <w:t xml:space="preserve">Drying, grading and packing</w:t>
            </w:r>
          </w:p>
        </w:tc>
      </w:tr>
    </w:tbl>
    <w:p>
      <w:pPr>
        <w:spacing w:after="80"/>
      </w:pPr>
    </w:p>
    <w:p>
      <w:pPr>
        <w:spacing w:after="120" w:line="276"/>
        <w:jc w:val="both"/>
      </w:pPr>
      <w:r>
        <w:rPr>
          <w:b/>
          <w:bCs/>
        </w:rPr>
        <w:t xml:space="preserve">Land category decides the rules.</w:t>
      </w:r>
      <w:r>
        <w:t xml:space="preserve"> Private farmland, Gram Panchayat land, forest land and the three uninhabited Rithi villages fall under different rules. Parcels are finalised only after joint site assessment, land-status verification, and soil and water assessment. Where forest land or community forest resources are involved, the Forest Rights Act and the Forest Department’s management arrangements apply [verify the management status of the 416 ha].</w:t>
      </w:r>
    </w:p>
    <w:p>
      <w:pPr>
        <w:pStyle w:val="Heading1"/>
        <w:keepNext/>
        <w:spacing w:after="140" w:before="300"/>
      </w:pPr>
      <w:r>
        <w:t xml:space="preserve">5. Design</w:t>
      </w:r>
    </w:p>
    <w:p>
      <w:pPr>
        <w:pStyle w:val="Heading2"/>
        <w:keepNext/>
        <w:spacing w:after="100" w:before="200"/>
      </w:pPr>
      <w:r>
        <w:t xml:space="preserve">5.1 Species portfolio</w:t>
      </w:r>
    </w:p>
    <w:p>
      <w:pPr>
        <w:spacing w:after="120" w:line="276"/>
        <w:jc w:val="both"/>
      </w:pPr>
      <w:r>
        <w:t xml:space="preserve">A diversified portfolio rather than a single crop. The costed portfolio in the financial model is: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3610"/>
        <w:gridCol w:w="3611"/>
      </w:tblGrid>
      <w:tr>
        <w:trPr>
          <w:tblHeader/>
        </w:trPr>
        <w:tc>
          <w:tcPr>
            <w:tcW w:type="dxa" w:w="1805"/>
            <w:shd w:fill="EAF1EE" w:color="auto" w:val="clear"/>
            <w:tcMar>
              <w:top w:type="dxa" w:w="60"/>
              <w:left w:type="dxa" w:w="90"/>
              <w:bottom w:type="dxa" w:w="60"/>
              <w:right w:type="dxa" w:w="90"/>
            </w:tcMar>
          </w:tcPr>
          <w:p>
            <w:pPr>
              <w:spacing w:after="40"/>
            </w:pPr>
            <w:r>
              <w:rPr>
                <w:b/>
                <w:bCs/>
                <w:sz w:val="19"/>
                <w:szCs w:val="19"/>
              </w:rPr>
              <w:t xml:space="preserve">Group</w:t>
            </w:r>
          </w:p>
        </w:tc>
        <w:tc>
          <w:tcPr>
            <w:tcW w:type="dxa" w:w="3610"/>
            <w:shd w:fill="EAF1EE" w:color="auto" w:val="clear"/>
            <w:tcMar>
              <w:top w:type="dxa" w:w="60"/>
              <w:left w:type="dxa" w:w="90"/>
              <w:bottom w:type="dxa" w:w="60"/>
              <w:right w:type="dxa" w:w="90"/>
            </w:tcMar>
          </w:tcPr>
          <w:p>
            <w:pPr>
              <w:spacing w:after="40"/>
            </w:pPr>
            <w:r>
              <w:rPr>
                <w:b/>
                <w:bCs/>
                <w:sz w:val="19"/>
                <w:szCs w:val="19"/>
              </w:rPr>
              <w:t xml:space="preserve">Species</w:t>
            </w:r>
          </w:p>
        </w:tc>
        <w:tc>
          <w:tcPr>
            <w:tcW w:type="dxa" w:w="3611"/>
            <w:shd w:fill="EAF1EE" w:color="auto" w:val="clear"/>
            <w:tcMar>
              <w:top w:type="dxa" w:w="60"/>
              <w:left w:type="dxa" w:w="90"/>
              <w:bottom w:type="dxa" w:w="60"/>
              <w:right w:type="dxa" w:w="90"/>
            </w:tcMar>
          </w:tcPr>
          <w:p>
            <w:pPr>
              <w:spacing w:after="40"/>
            </w:pPr>
            <w:r>
              <w:rPr>
                <w:b/>
                <w:bCs/>
                <w:sz w:val="19"/>
                <w:szCs w:val="19"/>
              </w:rPr>
              <w:t xml:space="preserve">Primary function</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Woody medicinal</w:t>
            </w:r>
          </w:p>
        </w:tc>
        <w:tc>
          <w:tcPr>
            <w:tcW w:type="dxa" w:w="3610"/>
            <w:tcMar>
              <w:top w:type="dxa" w:w="60"/>
              <w:left w:type="dxa" w:w="90"/>
              <w:bottom w:type="dxa" w:w="60"/>
              <w:right w:type="dxa" w:w="90"/>
            </w:tcMar>
          </w:tcPr>
          <w:p>
            <w:pPr>
              <w:spacing w:after="40"/>
            </w:pPr>
            <w:r>
              <w:rPr>
                <w:b w:val="false"/>
                <w:bCs w:val="false"/>
                <w:sz w:val="19"/>
                <w:szCs w:val="19"/>
              </w:rPr>
              <w:t xml:space="preserve">Amla, bael, hirda, moringa</w:t>
            </w:r>
          </w:p>
        </w:tc>
        <w:tc>
          <w:tcPr>
            <w:tcW w:type="dxa" w:w="3611"/>
            <w:tcMar>
              <w:top w:type="dxa" w:w="60"/>
              <w:left w:type="dxa" w:w="90"/>
              <w:bottom w:type="dxa" w:w="60"/>
              <w:right w:type="dxa" w:w="90"/>
            </w:tcMar>
          </w:tcPr>
          <w:p>
            <w:pPr>
              <w:spacing w:after="40"/>
            </w:pPr>
            <w:r>
              <w:rPr>
                <w:b w:val="false"/>
                <w:bCs w:val="false"/>
                <w:sz w:val="19"/>
                <w:szCs w:val="19"/>
              </w:rPr>
              <w:t xml:space="preserve">Medicinal value, fruit, nutrition, biodiversity and carbon</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Fruit-bearing</w:t>
            </w:r>
          </w:p>
        </w:tc>
        <w:tc>
          <w:tcPr>
            <w:tcW w:type="dxa" w:w="3610"/>
            <w:tcMar>
              <w:top w:type="dxa" w:w="60"/>
              <w:left w:type="dxa" w:w="90"/>
              <w:bottom w:type="dxa" w:w="60"/>
              <w:right w:type="dxa" w:w="90"/>
            </w:tcMar>
          </w:tcPr>
          <w:p>
            <w:pPr>
              <w:spacing w:after="40"/>
            </w:pPr>
            <w:r>
              <w:rPr>
                <w:b w:val="false"/>
                <w:bCs w:val="false"/>
                <w:sz w:val="19"/>
                <w:szCs w:val="19"/>
              </w:rPr>
              <w:t xml:space="preserve">Mango, sitaphal, mulberry, lemon, jamun, ber, karvanda</w:t>
            </w:r>
          </w:p>
        </w:tc>
        <w:tc>
          <w:tcPr>
            <w:tcW w:type="dxa" w:w="3611"/>
            <w:tcMar>
              <w:top w:type="dxa" w:w="60"/>
              <w:left w:type="dxa" w:w="90"/>
              <w:bottom w:type="dxa" w:w="60"/>
              <w:right w:type="dxa" w:w="90"/>
            </w:tcMar>
          </w:tcPr>
          <w:p>
            <w:pPr>
              <w:spacing w:after="40"/>
            </w:pPr>
            <w:r>
              <w:rPr>
                <w:b w:val="false"/>
                <w:bCs w:val="false"/>
                <w:sz w:val="19"/>
                <w:szCs w:val="19"/>
              </w:rPr>
              <w:t xml:space="preserve">Direct sale and products</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Medicinal shrubs</w:t>
            </w:r>
          </w:p>
        </w:tc>
        <w:tc>
          <w:tcPr>
            <w:tcW w:type="dxa" w:w="3610"/>
            <w:tcMar>
              <w:top w:type="dxa" w:w="60"/>
              <w:left w:type="dxa" w:w="90"/>
              <w:bottom w:type="dxa" w:w="60"/>
              <w:right w:type="dxa" w:w="90"/>
            </w:tcMar>
          </w:tcPr>
          <w:p>
            <w:pPr>
              <w:spacing w:after="40"/>
            </w:pPr>
            <w:r>
              <w:rPr>
                <w:b w:val="false"/>
                <w:bCs w:val="false"/>
                <w:sz w:val="19"/>
                <w:szCs w:val="19"/>
              </w:rPr>
              <w:t xml:space="preserve">Ashwagandha, kalmegh, gulab, aloe vera, brahmi</w:t>
            </w:r>
          </w:p>
        </w:tc>
        <w:tc>
          <w:tcPr>
            <w:tcW w:type="dxa" w:w="3611"/>
            <w:tcMar>
              <w:top w:type="dxa" w:w="60"/>
              <w:left w:type="dxa" w:w="90"/>
              <w:bottom w:type="dxa" w:w="60"/>
              <w:right w:type="dxa" w:w="90"/>
            </w:tcMar>
          </w:tcPr>
          <w:p>
            <w:pPr>
              <w:spacing w:after="40"/>
            </w:pPr>
            <w:r>
              <w:rPr>
                <w:b w:val="false"/>
                <w:bCs w:val="false"/>
                <w:sz w:val="19"/>
                <w:szCs w:val="19"/>
              </w:rPr>
              <w:t xml:space="preserve">Herbal and Ayurvedic market; early income</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Fodder</w:t>
            </w:r>
          </w:p>
        </w:tc>
        <w:tc>
          <w:tcPr>
            <w:tcW w:type="dxa" w:w="3610"/>
            <w:tcMar>
              <w:top w:type="dxa" w:w="60"/>
              <w:left w:type="dxa" w:w="90"/>
              <w:bottom w:type="dxa" w:w="60"/>
              <w:right w:type="dxa" w:w="90"/>
            </w:tcMar>
          </w:tcPr>
          <w:p>
            <w:pPr>
              <w:spacing w:after="40"/>
            </w:pPr>
            <w:r>
              <w:rPr>
                <w:b w:val="false"/>
                <w:bCs w:val="false"/>
                <w:sz w:val="19"/>
                <w:szCs w:val="19"/>
              </w:rPr>
              <w:t xml:space="preserve">Perennial and seasonal fodder grass</w:t>
            </w:r>
          </w:p>
        </w:tc>
        <w:tc>
          <w:tcPr>
            <w:tcW w:type="dxa" w:w="3611"/>
            <w:tcMar>
              <w:top w:type="dxa" w:w="60"/>
              <w:left w:type="dxa" w:w="90"/>
              <w:bottom w:type="dxa" w:w="60"/>
              <w:right w:type="dxa" w:w="90"/>
            </w:tcMar>
          </w:tcPr>
          <w:p>
            <w:pPr>
              <w:spacing w:after="40"/>
            </w:pPr>
            <w:r>
              <w:rPr>
                <w:b w:val="false"/>
                <w:bCs w:val="false"/>
                <w:sz w:val="19"/>
                <w:szCs w:val="19"/>
              </w:rPr>
              <w:t xml:space="preserve">Year-round fodder; less pressure on forest</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Boundary</w:t>
            </w:r>
          </w:p>
        </w:tc>
        <w:tc>
          <w:tcPr>
            <w:tcW w:type="dxa" w:w="3610"/>
            <w:tcMar>
              <w:top w:type="dxa" w:w="60"/>
              <w:left w:type="dxa" w:w="90"/>
              <w:bottom w:type="dxa" w:w="60"/>
              <w:right w:type="dxa" w:w="90"/>
            </w:tcMar>
          </w:tcPr>
          <w:p>
            <w:pPr>
              <w:spacing w:after="40"/>
            </w:pPr>
            <w:r>
              <w:rPr>
                <w:b w:val="false"/>
                <w:bCs w:val="false"/>
                <w:sz w:val="19"/>
                <w:szCs w:val="19"/>
              </w:rPr>
              <w:t xml:space="preserve">Bamboo</w:t>
            </w:r>
          </w:p>
        </w:tc>
        <w:tc>
          <w:tcPr>
            <w:tcW w:type="dxa" w:w="3611"/>
            <w:tcMar>
              <w:top w:type="dxa" w:w="60"/>
              <w:left w:type="dxa" w:w="90"/>
              <w:bottom w:type="dxa" w:w="60"/>
              <w:right w:type="dxa" w:w="90"/>
            </w:tcMar>
          </w:tcPr>
          <w:p>
            <w:pPr>
              <w:spacing w:after="40"/>
            </w:pPr>
            <w:r>
              <w:rPr>
                <w:b w:val="false"/>
                <w:bCs w:val="false"/>
                <w:sz w:val="19"/>
                <w:szCs w:val="19"/>
              </w:rPr>
              <w:t xml:space="preserve">Biomass and livelihood from year six</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Candidates</w:t>
            </w:r>
          </w:p>
        </w:tc>
        <w:tc>
          <w:tcPr>
            <w:tcW w:type="dxa" w:w="3610"/>
            <w:tcMar>
              <w:top w:type="dxa" w:w="60"/>
              <w:left w:type="dxa" w:w="90"/>
              <w:bottom w:type="dxa" w:w="60"/>
              <w:right w:type="dxa" w:w="90"/>
            </w:tcMar>
          </w:tcPr>
          <w:p>
            <w:pPr>
              <w:spacing w:after="40"/>
            </w:pPr>
            <w:r>
              <w:rPr>
                <w:b w:val="false"/>
                <w:bCs w:val="false"/>
                <w:sz w:val="19"/>
                <w:szCs w:val="19"/>
              </w:rPr>
              <w:t xml:space="preserve">Lemongrass, safed musli, arjuna</w:t>
            </w:r>
          </w:p>
        </w:tc>
        <w:tc>
          <w:tcPr>
            <w:tcW w:type="dxa" w:w="3611"/>
            <w:tcMar>
              <w:top w:type="dxa" w:w="60"/>
              <w:left w:type="dxa" w:w="90"/>
              <w:bottom w:type="dxa" w:w="60"/>
              <w:right w:type="dxa" w:w="90"/>
            </w:tcMar>
          </w:tcPr>
          <w:p>
            <w:pPr>
              <w:spacing w:after="40"/>
            </w:pPr>
            <w:r>
              <w:rPr>
                <w:b w:val="false"/>
                <w:bCs w:val="false"/>
                <w:sz w:val="19"/>
                <w:szCs w:val="19"/>
              </w:rPr>
              <w:t xml:space="preserve">Subject to market demand, agronomic suitability and site assessment</w:t>
            </w:r>
          </w:p>
        </w:tc>
      </w:tr>
    </w:tbl>
    <w:p>
      <w:pPr>
        <w:spacing w:after="80"/>
      </w:pPr>
    </w:p>
    <w:p>
      <w:pPr>
        <w:spacing w:after="120" w:line="276"/>
        <w:jc w:val="both"/>
      </w:pPr>
      <w:r>
        <w:t xml:space="preserve">Selection depends on soil, rainfall, water availability, agronomic suitability and confirmed market demand. Native, low-water-use species are preferred.</w:t>
      </w:r>
    </w:p>
    <w:p>
      <w:pPr>
        <w:pStyle w:val="Heading2"/>
        <w:keepNext/>
        <w:spacing w:after="100" w:before="200"/>
      </w:pPr>
      <w:r>
        <w:t xml:space="preserve">5.2 Fodder</w:t>
      </w:r>
    </w:p>
    <w:p>
      <w:pPr>
        <w:spacing w:after="120" w:line="276"/>
        <w:jc w:val="both"/>
      </w:pPr>
      <w:r>
        <w:t xml:space="preserve">Fodder species are chosen for local agro-climate, herd size, water availability, palatability, nutrition, regeneration and farmer acceptance. Expected results: year-round fodder, less dependence on purchased fodder, less pressure on natural vegetation, better livestock productivity and productive use of fallow land — directly addressing the panchayat’s fodder deficit of about 2,000 tonnes a year.</w:t>
      </w:r>
    </w:p>
    <w:p>
      <w:pPr>
        <w:pStyle w:val="Heading2"/>
        <w:keepNext/>
        <w:spacing w:after="100" w:before="200"/>
      </w:pPr>
      <w:r>
        <w:t xml:space="preserve">5.3 Drought-proofing</w:t>
      </w:r>
    </w:p>
    <w:p>
      <w:pPr>
        <w:pStyle w:val="ListParagraph"/>
        <w:numPr>
          <w:ilvl w:val="0"/>
          <w:numId w:val="2"/>
        </w:numPr>
        <w:spacing w:after="80" w:line="264"/>
        <w:jc w:val="left"/>
      </w:pPr>
      <w:r>
        <w:rPr>
          <w:b/>
          <w:bCs/>
        </w:rPr>
        <w:t xml:space="preserve">Water budget first.</w:t>
      </w:r>
      <w:r>
        <w:t xml:space="preserve"> Irrigation from the borewell follows the panchayat water budget prepared under Project 2; drip irrigation is used throughout.</w:t>
      </w:r>
    </w:p>
    <w:p>
      <w:pPr>
        <w:pStyle w:val="ListParagraph"/>
        <w:numPr>
          <w:ilvl w:val="0"/>
          <w:numId w:val="2"/>
        </w:numPr>
        <w:spacing w:after="80" w:line="264"/>
        <w:jc w:val="left"/>
      </w:pPr>
      <w:r>
        <w:rPr>
          <w:b/>
          <w:bCs/>
        </w:rPr>
        <w:t xml:space="preserve">Recharge before extraction.</w:t>
      </w:r>
      <w:r>
        <w:t xml:space="preserve"> Recharge works on and around the site are sought through VB-G RAM G convergence in the dry season.</w:t>
      </w:r>
    </w:p>
    <w:p>
      <w:pPr>
        <w:pStyle w:val="ListParagraph"/>
        <w:numPr>
          <w:ilvl w:val="0"/>
          <w:numId w:val="2"/>
        </w:numPr>
        <w:spacing w:after="80" w:line="264"/>
        <w:jc w:val="left"/>
      </w:pPr>
      <w:r>
        <w:rPr>
          <w:b/>
          <w:bCs/>
        </w:rPr>
        <w:t xml:space="preserve">Survival standards.</w:t>
      </w:r>
      <w:r>
        <w:t xml:space="preserve"> Survival and diversity are measured for at least three to five years, not seedlings planted.</w:t>
      </w:r>
    </w:p>
    <w:p>
      <w:pPr>
        <w:pStyle w:val="ListParagraph"/>
        <w:numPr>
          <w:ilvl w:val="0"/>
          <w:numId w:val="2"/>
        </w:numPr>
        <w:spacing w:after="80" w:line="264"/>
        <w:jc w:val="left"/>
      </w:pPr>
      <w:r>
        <w:rPr>
          <w:b/>
          <w:bCs/>
        </w:rPr>
        <w:t xml:space="preserve">Stress-tested finances.</w:t>
      </w:r>
      <w:r>
        <w:t xml:space="preserve"> The financial model tests a drought in year two (section 10).</w:t>
      </w:r>
    </w:p>
    <w:p>
      <w:pPr>
        <w:pStyle w:val="Heading2"/>
        <w:keepNext/>
        <w:spacing w:after="100" w:before="200"/>
      </w:pPr>
      <w:r>
        <w:t xml:space="preserve">5.4 Market first, cultivation second</w:t>
      </w:r>
    </w:p>
    <w:p>
      <w:pPr>
        <w:spacing w:after="120" w:line="276"/>
        <w:jc w:val="both"/>
      </w:pPr>
      <w:r>
        <w:t xml:space="preserve">Before large-scale cultivation of any high-value crop, the project confirms market demand, buyer specifications, quality requirements, expected price, quantity, harvest season, processing needs and logistics. Produce moves from self-help groups or a producer organisation, through aggregation and primary processing, to Manas Ayurved as anchor buyer, and to Ayurvedic manufacturers, herbal-product companies, essential-oil processors and institutional buyers. A second buyer is developed to avoid dependence on one purchaser.</w:t>
      </w:r>
    </w:p>
    <w:p>
      <w:pPr>
        <w:pStyle w:val="Heading1"/>
        <w:keepNext/>
        <w:spacing w:after="140" w:before="300"/>
      </w:pPr>
      <w:r>
        <w:t xml:space="preserve">6. Women at the core</w:t>
      </w:r>
    </w:p>
    <w:p>
      <w:pPr>
        <w:spacing w:after="120" w:line="276"/>
        <w:jc w:val="both"/>
      </w:pPr>
      <w:r>
        <w:t xml:space="preserve">Women are the operators of the enterprise, not only its beneficiaries. The four Van Sakhi — two from Katlabodi and one each from Murli and Dhankundav — lead a pilot group of 30–50 women across the chain:</w:t>
      </w:r>
    </w:p>
    <w:p>
      <w:pPr>
        <w:spacing w:after="120" w:line="276"/>
        <w:jc w:val="center"/>
      </w:pPr>
      <w:r>
        <w:rPr>
          <w:b/>
          <w:bCs/>
        </w:rPr>
        <w:t xml:space="preserve">Nursery → Land preparation → Cultivation → Good agricultural practice → Harvest → Primary processing → Drying → Grading → Packing → Aggregation → Market</w:t>
      </w:r>
    </w:p>
    <w:p>
      <w:pPr>
        <w:spacing w:after="120" w:line="276"/>
        <w:jc w:val="both"/>
      </w:pPr>
      <w:r>
        <w:t xml:space="preserve">Selected members progress to master trainers, nursery managers, cultivation coordinators, quality-control representatives and village entrepreneurs. Training covers group decision-making, financial literacy, enterprise management, record keeping, negotiation and digital tools. IPBES rates the distributional equity of medicinal-plant options as a risk (option H04); the women-led model, published selection rules and reporting of who earns are the programme’s response. In the cluster phase, Van Sakhi become the trainers of neighbouring panchayats.</w:t>
      </w:r>
    </w:p>
    <w:p>
      <w:pPr>
        <w:pStyle w:val="Heading1"/>
        <w:keepNext/>
        <w:spacing w:after="140" w:before="300"/>
      </w:pPr>
      <w:r>
        <w:t xml:space="preserve">7. Digital: VanaGram OS</w:t>
      </w:r>
    </w:p>
    <w:p>
      <w:pPr>
        <w:spacing w:after="120" w:line="276"/>
        <w:jc w:val="both"/>
      </w:pPr>
      <w:r>
        <w:t xml:space="preserve">VanaGram OS is the DEVTech module for biodiversity and agroforestry. A farmer, Van Sakhi or Panchayat Secretary enters land details — district, land category, soil, area and water source — and receives recommendations drawn from government documents, each cited to its clause and date:</w:t>
      </w:r>
    </w:p>
    <w:p>
      <w:pPr>
        <w:pStyle w:val="ListParagraph"/>
        <w:numPr>
          <w:ilvl w:val="0"/>
          <w:numId w:val="2"/>
        </w:numPr>
        <w:spacing w:after="80" w:line="264"/>
        <w:jc w:val="left"/>
      </w:pPr>
      <w:r>
        <w:t xml:space="preserve">National Agroforestry Policy (2014) and the 2025 model rules for felling trees on agricultural land</w:t>
      </w:r>
    </w:p>
    <w:p>
      <w:pPr>
        <w:pStyle w:val="ListParagraph"/>
        <w:numPr>
          <w:ilvl w:val="0"/>
          <w:numId w:val="2"/>
        </w:numPr>
        <w:spacing w:after="80" w:line="264"/>
        <w:jc w:val="left"/>
      </w:pPr>
      <w:r>
        <w:t xml:space="preserve">Maharashtra’s tree-felling and transit rules [verify current version]</w:t>
      </w:r>
    </w:p>
    <w:p>
      <w:pPr>
        <w:pStyle w:val="ListParagraph"/>
        <w:numPr>
          <w:ilvl w:val="0"/>
          <w:numId w:val="2"/>
        </w:numPr>
        <w:spacing w:after="80" w:line="264"/>
        <w:jc w:val="left"/>
      </w:pPr>
      <w:r>
        <w:t xml:space="preserve">NABARD Wadi model and Tribal Development Fund guidelines</w:t>
      </w:r>
    </w:p>
    <w:p>
      <w:pPr>
        <w:pStyle w:val="ListParagraph"/>
        <w:numPr>
          <w:ilvl w:val="0"/>
          <w:numId w:val="2"/>
        </w:numPr>
        <w:spacing w:after="80" w:line="264"/>
        <w:jc w:val="left"/>
      </w:pPr>
      <w:r>
        <w:t xml:space="preserve">National Medicinal Plants Board and National AYUSH Mission schemes</w:t>
      </w:r>
    </w:p>
    <w:p>
      <w:pPr>
        <w:pStyle w:val="ListParagraph"/>
        <w:numPr>
          <w:ilvl w:val="0"/>
          <w:numId w:val="2"/>
        </w:numPr>
        <w:spacing w:after="80" w:line="264"/>
        <w:jc w:val="left"/>
      </w:pPr>
      <w:r>
        <w:t xml:space="preserve">VB-G RAM G permissible works; Biological Diversity Act and the 2025 benefit-sharing regulations; Forest Rights Act where relevant</w:t>
      </w:r>
    </w:p>
    <w:p>
      <w:pPr>
        <w:spacing w:after="120" w:line="276"/>
        <w:jc w:val="both"/>
      </w:pPr>
      <w:r>
        <w:t xml:space="preserve">Each recommendation is classified as a direct VB-G RAM G work, a component of an existing work, or a convergence action, and tagged to its IPBES response option. Rules, recommendations and scientific evidence are kept separate, and documents carry their issue date so superseded clauses are flagged. The module also holds the nursery, cultivation, harvest, income and survival records and the PBR — the parcel-level data that later supports nexus modelling. Land records are personal data; the Gram Panchayat is the data fiduciary.</w:t>
      </w:r>
    </w:p>
    <w:p>
      <w:pPr>
        <w:pStyle w:val="Heading1"/>
        <w:keepNext/>
        <w:spacing w:after="140" w:before="300"/>
      </w:pPr>
      <w:r>
        <w:t xml:space="preserve">8. Institutional roles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45"/>
        <w:gridCol w:w="6581"/>
      </w:tblGrid>
      <w:tr>
        <w:trPr>
          <w:tblHeader/>
        </w:trPr>
        <w:tc>
          <w:tcPr>
            <w:tcW w:type="dxa" w:w="2445"/>
            <w:shd w:fill="EAF1EE" w:color="auto" w:val="clear"/>
            <w:tcMar>
              <w:top w:type="dxa" w:w="60"/>
              <w:left w:type="dxa" w:w="90"/>
              <w:bottom w:type="dxa" w:w="60"/>
              <w:right w:type="dxa" w:w="90"/>
            </w:tcMar>
          </w:tcPr>
          <w:p>
            <w:pPr>
              <w:spacing w:after="40"/>
            </w:pPr>
            <w:r>
              <w:rPr>
                <w:b/>
                <w:bCs/>
                <w:sz w:val="19"/>
                <w:szCs w:val="19"/>
              </w:rPr>
              <w:t xml:space="preserve">Party</w:t>
            </w:r>
          </w:p>
        </w:tc>
        <w:tc>
          <w:tcPr>
            <w:tcW w:type="dxa" w:w="6581"/>
            <w:shd w:fill="EAF1EE" w:color="auto" w:val="clear"/>
            <w:tcMar>
              <w:top w:type="dxa" w:w="60"/>
              <w:left w:type="dxa" w:w="90"/>
              <w:bottom w:type="dxa" w:w="60"/>
              <w:right w:type="dxa" w:w="90"/>
            </w:tcMar>
          </w:tcPr>
          <w:p>
            <w:pPr>
              <w:spacing w:after="40"/>
            </w:pPr>
            <w:r>
              <w:rPr>
                <w:b/>
                <w:bCs/>
                <w:sz w:val="19"/>
                <w:szCs w:val="19"/>
              </w:rPr>
              <w:t xml:space="preserve">Role</w:t>
            </w:r>
          </w:p>
        </w:tc>
      </w:tr>
      <w:tr>
        <w:trPr>
          <w:cantSplit/>
        </w:trPr>
        <w:tc>
          <w:tcPr>
            <w:tcW w:type="dxa" w:w="2445"/>
            <w:tcMar>
              <w:top w:type="dxa" w:w="60"/>
              <w:left w:type="dxa" w:w="90"/>
              <w:bottom w:type="dxa" w:w="60"/>
              <w:right w:type="dxa" w:w="90"/>
            </w:tcMar>
          </w:tcPr>
          <w:p>
            <w:pPr>
              <w:spacing w:after="40"/>
            </w:pPr>
            <w:r>
              <w:rPr>
                <w:b w:val="false"/>
                <w:bCs w:val="false"/>
                <w:sz w:val="19"/>
                <w:szCs w:val="19"/>
              </w:rPr>
              <w:t xml:space="preserve">Gram Panchayat Katlabodi</w:t>
            </w:r>
          </w:p>
        </w:tc>
        <w:tc>
          <w:tcPr>
            <w:tcW w:type="dxa" w:w="6581"/>
            <w:tcMar>
              <w:top w:type="dxa" w:w="60"/>
              <w:left w:type="dxa" w:w="90"/>
              <w:bottom w:type="dxa" w:w="60"/>
              <w:right w:type="dxa" w:w="90"/>
            </w:tcMar>
          </w:tcPr>
          <w:p>
            <w:pPr>
              <w:spacing w:after="40"/>
            </w:pPr>
            <w:r>
              <w:rPr>
                <w:b w:val="false"/>
                <w:bCs w:val="false"/>
                <w:sz w:val="19"/>
                <w:szCs w:val="19"/>
              </w:rPr>
              <w:t xml:space="preserve">Land identification and allocation; approvals; convergence with panchayat programmes; constitution or activation of the BMC; Gram Panchayat resolutions</w:t>
            </w:r>
          </w:p>
        </w:tc>
      </w:tr>
      <w:tr>
        <w:trPr>
          <w:cantSplit/>
        </w:trPr>
        <w:tc>
          <w:tcPr>
            <w:tcW w:type="dxa" w:w="2445"/>
            <w:tcMar>
              <w:top w:type="dxa" w:w="60"/>
              <w:left w:type="dxa" w:w="90"/>
              <w:bottom w:type="dxa" w:w="60"/>
              <w:right w:type="dxa" w:w="90"/>
            </w:tcMar>
          </w:tcPr>
          <w:p>
            <w:pPr>
              <w:spacing w:after="40"/>
            </w:pPr>
            <w:r>
              <w:rPr>
                <w:b w:val="false"/>
                <w:bCs w:val="false"/>
                <w:sz w:val="19"/>
                <w:szCs w:val="19"/>
              </w:rPr>
              <w:t xml:space="preserve">Ayurvan Foundation — lead</w:t>
            </w:r>
          </w:p>
        </w:tc>
        <w:tc>
          <w:tcPr>
            <w:tcW w:type="dxa" w:w="6581"/>
            <w:tcMar>
              <w:top w:type="dxa" w:w="60"/>
              <w:left w:type="dxa" w:w="90"/>
              <w:bottom w:type="dxa" w:w="60"/>
              <w:right w:type="dxa" w:w="90"/>
            </w:tcMar>
          </w:tcPr>
          <w:p>
            <w:pPr>
              <w:spacing w:after="40"/>
            </w:pPr>
            <w:r>
              <w:rPr>
                <w:b w:val="false"/>
                <w:bCs w:val="false"/>
                <w:sz w:val="19"/>
                <w:szCs w:val="19"/>
              </w:rPr>
              <w:t xml:space="preserve">Technical leadership; species selection; plantation planning; nursery; cultivation protocols; training; processing guidance; market facilitation; biodiversity assessment and PBR support; holder of site assets with the Gram Panchayat</w:t>
            </w:r>
          </w:p>
        </w:tc>
      </w:tr>
      <w:tr>
        <w:trPr>
          <w:cantSplit/>
        </w:trPr>
        <w:tc>
          <w:tcPr>
            <w:tcW w:type="dxa" w:w="2445"/>
            <w:tcMar>
              <w:top w:type="dxa" w:w="60"/>
              <w:left w:type="dxa" w:w="90"/>
              <w:bottom w:type="dxa" w:w="60"/>
              <w:right w:type="dxa" w:w="90"/>
            </w:tcMar>
          </w:tcPr>
          <w:p>
            <w:pPr>
              <w:spacing w:after="40"/>
            </w:pPr>
            <w:r>
              <w:rPr>
                <w:b w:val="false"/>
                <w:bCs w:val="false"/>
                <w:sz w:val="19"/>
                <w:szCs w:val="19"/>
              </w:rPr>
              <w:t xml:space="preserve">UrjaGram Innovations</w:t>
            </w:r>
          </w:p>
        </w:tc>
        <w:tc>
          <w:tcPr>
            <w:tcW w:type="dxa" w:w="6581"/>
            <w:tcMar>
              <w:top w:type="dxa" w:w="60"/>
              <w:left w:type="dxa" w:w="90"/>
              <w:bottom w:type="dxa" w:w="60"/>
              <w:right w:type="dxa" w:w="90"/>
            </w:tcMar>
          </w:tcPr>
          <w:p>
            <w:pPr>
              <w:spacing w:after="40"/>
            </w:pPr>
            <w:r>
              <w:rPr>
                <w:b w:val="false"/>
                <w:bCs w:val="false"/>
                <w:sz w:val="19"/>
                <w:szCs w:val="19"/>
              </w:rPr>
              <w:t xml:space="preserve">VanaGram OS and records; monitoring; carbon accounting through the net-zero platform (Project 6); convergence planning; GP-IIP and VGPP preparation; policy and institutional support</w:t>
            </w:r>
          </w:p>
        </w:tc>
      </w:tr>
      <w:tr>
        <w:trPr>
          <w:cantSplit/>
        </w:trPr>
        <w:tc>
          <w:tcPr>
            <w:tcW w:type="dxa" w:w="2445"/>
            <w:tcMar>
              <w:top w:type="dxa" w:w="60"/>
              <w:left w:type="dxa" w:w="90"/>
              <w:bottom w:type="dxa" w:w="60"/>
              <w:right w:type="dxa" w:w="90"/>
            </w:tcMar>
          </w:tcPr>
          <w:p>
            <w:pPr>
              <w:spacing w:after="40"/>
            </w:pPr>
            <w:r>
              <w:rPr>
                <w:b w:val="false"/>
                <w:bCs w:val="false"/>
                <w:sz w:val="19"/>
                <w:szCs w:val="19"/>
              </w:rPr>
              <w:t xml:space="preserve">Self-help groups and Van Sakhi</w:t>
            </w:r>
          </w:p>
        </w:tc>
        <w:tc>
          <w:tcPr>
            <w:tcW w:type="dxa" w:w="6581"/>
            <w:tcMar>
              <w:top w:type="dxa" w:w="60"/>
              <w:left w:type="dxa" w:w="90"/>
              <w:bottom w:type="dxa" w:w="60"/>
              <w:right w:type="dxa" w:w="90"/>
            </w:tcMar>
          </w:tcPr>
          <w:p>
            <w:pPr>
              <w:spacing w:after="40"/>
            </w:pPr>
            <w:r>
              <w:rPr>
                <w:b w:val="false"/>
                <w:bCs w:val="false"/>
                <w:sz w:val="19"/>
                <w:szCs w:val="19"/>
              </w:rPr>
              <w:t xml:space="preserve">Nursery work; cultivation; farm records; harvest; primary processing; aggregation; enterprise; market linkage</w:t>
            </w:r>
          </w:p>
        </w:tc>
      </w:tr>
      <w:tr>
        <w:trPr>
          <w:cantSplit/>
        </w:trPr>
        <w:tc>
          <w:tcPr>
            <w:tcW w:type="dxa" w:w="2445"/>
            <w:tcMar>
              <w:top w:type="dxa" w:w="60"/>
              <w:left w:type="dxa" w:w="90"/>
              <w:bottom w:type="dxa" w:w="60"/>
              <w:right w:type="dxa" w:w="90"/>
            </w:tcMar>
          </w:tcPr>
          <w:p>
            <w:pPr>
              <w:spacing w:after="40"/>
            </w:pPr>
            <w:r>
              <w:rPr>
                <w:b w:val="false"/>
                <w:bCs w:val="false"/>
                <w:sz w:val="19"/>
                <w:szCs w:val="19"/>
              </w:rPr>
              <w:t xml:space="preserve">Market partners</w:t>
            </w:r>
          </w:p>
        </w:tc>
        <w:tc>
          <w:tcPr>
            <w:tcW w:type="dxa" w:w="6581"/>
            <w:tcMar>
              <w:top w:type="dxa" w:w="60"/>
              <w:left w:type="dxa" w:w="90"/>
              <w:bottom w:type="dxa" w:w="60"/>
              <w:right w:type="dxa" w:w="90"/>
            </w:tcMar>
          </w:tcPr>
          <w:p>
            <w:pPr>
              <w:spacing w:after="40"/>
            </w:pPr>
            <w:r>
              <w:rPr>
                <w:b w:val="false"/>
                <w:bCs w:val="false"/>
                <w:sz w:val="19"/>
                <w:szCs w:val="19"/>
              </w:rPr>
              <w:t xml:space="preserve">Manas Ayurved as anchor buyer; a second buyer to be developed</w:t>
            </w:r>
          </w:p>
        </w:tc>
      </w:tr>
    </w:tbl>
    <w:p>
      <w:pPr>
        <w:spacing w:after="80"/>
      </w:pPr>
    </w:p>
    <w:p>
      <w:pPr>
        <w:spacing w:after="120" w:line="276"/>
        <w:jc w:val="both"/>
      </w:pPr>
      <w:r>
        <w:t xml:space="preserve">A village steering committee — the Gram Panchayat, Ayurvan, UrjaGram and self-help group representatives — reviews land use, plantation progress, participation, production, finances, market linkage, risks and environmental indicators.</w:t>
      </w:r>
    </w:p>
    <w:p>
      <w:pPr>
        <w:pStyle w:val="Heading1"/>
        <w:keepNext/>
        <w:spacing w:after="140" w:before="300"/>
      </w:pPr>
      <w:r>
        <w:t xml:space="preserve">9. Convergence and funding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385"/>
        <w:gridCol w:w="5641"/>
      </w:tblGrid>
      <w:tr>
        <w:trPr>
          <w:tblHeader/>
        </w:trPr>
        <w:tc>
          <w:tcPr>
            <w:tcW w:type="dxa" w:w="3385"/>
            <w:shd w:fill="EAF1EE" w:color="auto" w:val="clear"/>
            <w:tcMar>
              <w:top w:type="dxa" w:w="60"/>
              <w:left w:type="dxa" w:w="90"/>
              <w:bottom w:type="dxa" w:w="60"/>
              <w:right w:type="dxa" w:w="90"/>
            </w:tcMar>
          </w:tcPr>
          <w:p>
            <w:pPr>
              <w:spacing w:after="40"/>
            </w:pPr>
            <w:r>
              <w:rPr>
                <w:b/>
                <w:bCs/>
                <w:sz w:val="19"/>
                <w:szCs w:val="19"/>
              </w:rPr>
              <w:t xml:space="preserve">Source</w:t>
            </w:r>
          </w:p>
        </w:tc>
        <w:tc>
          <w:tcPr>
            <w:tcW w:type="dxa" w:w="5641"/>
            <w:shd w:fill="EAF1EE" w:color="auto" w:val="clear"/>
            <w:tcMar>
              <w:top w:type="dxa" w:w="60"/>
              <w:left w:type="dxa" w:w="90"/>
              <w:bottom w:type="dxa" w:w="60"/>
              <w:right w:type="dxa" w:w="90"/>
            </w:tcMar>
          </w:tcPr>
          <w:p>
            <w:pPr>
              <w:spacing w:after="40"/>
            </w:pPr>
            <w:r>
              <w:rPr>
                <w:b/>
                <w:bCs/>
                <w:sz w:val="19"/>
                <w:szCs w:val="19"/>
              </w:rPr>
              <w:t xml:space="preserve">Potential support</w:t>
            </w:r>
          </w:p>
        </w:tc>
      </w:tr>
      <w:tr>
        <w:trPr>
          <w:cantSplit/>
        </w:trPr>
        <w:tc>
          <w:tcPr>
            <w:tcW w:type="dxa" w:w="3385"/>
            <w:tcMar>
              <w:top w:type="dxa" w:w="60"/>
              <w:left w:type="dxa" w:w="90"/>
              <w:bottom w:type="dxa" w:w="60"/>
              <w:right w:type="dxa" w:w="90"/>
            </w:tcMar>
          </w:tcPr>
          <w:p>
            <w:pPr>
              <w:spacing w:after="40"/>
            </w:pPr>
            <w:r>
              <w:rPr>
                <w:b w:val="false"/>
                <w:bCs w:val="false"/>
                <w:sz w:val="19"/>
                <w:szCs w:val="19"/>
              </w:rPr>
              <w:t xml:space="preserve">CSR grant (this proposal)</w:t>
            </w:r>
          </w:p>
        </w:tc>
        <w:tc>
          <w:tcPr>
            <w:tcW w:type="dxa" w:w="5641"/>
            <w:tcMar>
              <w:top w:type="dxa" w:w="60"/>
              <w:left w:type="dxa" w:w="90"/>
              <w:bottom w:type="dxa" w:w="60"/>
              <w:right w:type="dxa" w:w="90"/>
            </w:tcMar>
          </w:tcPr>
          <w:p>
            <w:pPr>
              <w:spacing w:after="40"/>
            </w:pPr>
            <w:r>
              <w:rPr>
                <w:b w:val="false"/>
                <w:bCs w:val="false"/>
                <w:sz w:val="19"/>
                <w:szCs w:val="19"/>
              </w:rPr>
              <w:t xml:space="preserve">Year-one capital and operating shortfall of the hub site</w:t>
            </w:r>
          </w:p>
        </w:tc>
      </w:tr>
      <w:tr>
        <w:trPr>
          <w:cantSplit/>
        </w:trPr>
        <w:tc>
          <w:tcPr>
            <w:tcW w:type="dxa" w:w="3385"/>
            <w:tcMar>
              <w:top w:type="dxa" w:w="60"/>
              <w:left w:type="dxa" w:w="90"/>
              <w:bottom w:type="dxa" w:w="60"/>
              <w:right w:type="dxa" w:w="90"/>
            </w:tcMar>
          </w:tcPr>
          <w:p>
            <w:pPr>
              <w:spacing w:after="40"/>
            </w:pPr>
            <w:r>
              <w:rPr>
                <w:b w:val="false"/>
                <w:bCs w:val="false"/>
                <w:sz w:val="19"/>
                <w:szCs w:val="19"/>
              </w:rPr>
              <w:t xml:space="preserve">VB-G RAM G</w:t>
            </w:r>
          </w:p>
        </w:tc>
        <w:tc>
          <w:tcPr>
            <w:tcW w:type="dxa" w:w="5641"/>
            <w:tcMar>
              <w:top w:type="dxa" w:w="60"/>
              <w:left w:type="dxa" w:w="90"/>
              <w:bottom w:type="dxa" w:w="60"/>
              <w:right w:type="dxa" w:w="90"/>
            </w:tcMar>
          </w:tcPr>
          <w:p>
            <w:pPr>
              <w:spacing w:after="40"/>
            </w:pPr>
            <w:r>
              <w:rPr>
                <w:b w:val="false"/>
                <w:bCs w:val="false"/>
                <w:sz w:val="19"/>
                <w:szCs w:val="19"/>
              </w:rPr>
              <w:t xml:space="preserve">Nursery and plantation labour, land preparation, pits, bunding, soil and moisture conservation, water harvesting and recharge</w:t>
            </w:r>
          </w:p>
        </w:tc>
      </w:tr>
      <w:tr>
        <w:trPr>
          <w:cantSplit/>
        </w:trPr>
        <w:tc>
          <w:tcPr>
            <w:tcW w:type="dxa" w:w="3385"/>
            <w:tcMar>
              <w:top w:type="dxa" w:w="60"/>
              <w:left w:type="dxa" w:w="90"/>
              <w:bottom w:type="dxa" w:w="60"/>
              <w:right w:type="dxa" w:w="90"/>
            </w:tcMar>
          </w:tcPr>
          <w:p>
            <w:pPr>
              <w:spacing w:after="40"/>
            </w:pPr>
            <w:r>
              <w:rPr>
                <w:b w:val="false"/>
                <w:bCs w:val="false"/>
                <w:sz w:val="19"/>
                <w:szCs w:val="19"/>
              </w:rPr>
              <w:t xml:space="preserve">National Medicinal Plants Board; National AYUSH Mission</w:t>
            </w:r>
          </w:p>
        </w:tc>
        <w:tc>
          <w:tcPr>
            <w:tcW w:type="dxa" w:w="5641"/>
            <w:tcMar>
              <w:top w:type="dxa" w:w="60"/>
              <w:left w:type="dxa" w:w="90"/>
              <w:bottom w:type="dxa" w:w="60"/>
              <w:right w:type="dxa" w:w="90"/>
            </w:tcMar>
          </w:tcPr>
          <w:p>
            <w:pPr>
              <w:spacing w:after="40"/>
            </w:pPr>
            <w:r>
              <w:rPr>
                <w:b w:val="false"/>
                <w:bCs w:val="false"/>
                <w:sz w:val="19"/>
                <w:szCs w:val="19"/>
              </w:rPr>
              <w:t xml:space="preserve">Cultivation support, planting material, post-harvest infrastructure, training, good practice and certification — at rates applicable under the prevailing scheme</w:t>
            </w:r>
          </w:p>
        </w:tc>
      </w:tr>
      <w:tr>
        <w:trPr>
          <w:cantSplit/>
        </w:trPr>
        <w:tc>
          <w:tcPr>
            <w:tcW w:type="dxa" w:w="3385"/>
            <w:tcMar>
              <w:top w:type="dxa" w:w="60"/>
              <w:left w:type="dxa" w:w="90"/>
              <w:bottom w:type="dxa" w:w="60"/>
              <w:right w:type="dxa" w:w="90"/>
            </w:tcMar>
          </w:tcPr>
          <w:p>
            <w:pPr>
              <w:spacing w:after="40"/>
            </w:pPr>
            <w:r>
              <w:rPr>
                <w:b w:val="false"/>
                <w:bCs w:val="false"/>
                <w:sz w:val="19"/>
                <w:szCs w:val="19"/>
              </w:rPr>
              <w:t xml:space="preserve">NABARD Wadi model and Tribal Development Fund</w:t>
            </w:r>
          </w:p>
        </w:tc>
        <w:tc>
          <w:tcPr>
            <w:tcW w:type="dxa" w:w="5641"/>
            <w:tcMar>
              <w:top w:type="dxa" w:w="60"/>
              <w:left w:type="dxa" w:w="90"/>
              <w:bottom w:type="dxa" w:w="60"/>
              <w:right w:type="dxa" w:w="90"/>
            </w:tcMar>
          </w:tcPr>
          <w:p>
            <w:pPr>
              <w:spacing w:after="40"/>
            </w:pPr>
            <w:r>
              <w:rPr>
                <w:b w:val="false"/>
                <w:bCs w:val="false"/>
                <w:sz w:val="19"/>
                <w:szCs w:val="19"/>
              </w:rPr>
              <w:t xml:space="preserve">Orchard-agroforestry for tribal households — relevant to a panchayat that is 52% Scheduled Tribe</w:t>
            </w:r>
          </w:p>
        </w:tc>
      </w:tr>
      <w:tr>
        <w:trPr>
          <w:cantSplit/>
        </w:trPr>
        <w:tc>
          <w:tcPr>
            <w:tcW w:type="dxa" w:w="3385"/>
            <w:tcMar>
              <w:top w:type="dxa" w:w="60"/>
              <w:left w:type="dxa" w:w="90"/>
              <w:bottom w:type="dxa" w:w="60"/>
              <w:right w:type="dxa" w:w="90"/>
            </w:tcMar>
          </w:tcPr>
          <w:p>
            <w:pPr>
              <w:spacing w:after="40"/>
            </w:pPr>
            <w:r>
              <w:rPr>
                <w:b w:val="false"/>
                <w:bCs w:val="false"/>
                <w:sz w:val="19"/>
                <w:szCs w:val="19"/>
              </w:rPr>
              <w:t xml:space="preserve">JICA-supported Capacity Enhancement for Effective Forest Management project (2025–26 to 2031–32)</w:t>
            </w:r>
          </w:p>
        </w:tc>
        <w:tc>
          <w:tcPr>
            <w:tcW w:type="dxa" w:w="5641"/>
            <w:tcMar>
              <w:top w:type="dxa" w:w="60"/>
              <w:left w:type="dxa" w:w="90"/>
              <w:bottom w:type="dxa" w:w="60"/>
              <w:right w:type="dxa" w:w="90"/>
            </w:tcMar>
          </w:tcPr>
          <w:p>
            <w:pPr>
              <w:spacing w:after="40"/>
            </w:pPr>
            <w:r>
              <w:rPr>
                <w:b w:val="false"/>
                <w:bCs w:val="false"/>
                <w:sz w:val="19"/>
                <w:szCs w:val="19"/>
              </w:rPr>
              <w:t xml:space="preserve">Pilot site for joint training of forest frontline staff and the Van Sakhi cadre; digital forest-fringe management [verify Maharashtra’s participation]</w:t>
            </w:r>
          </w:p>
        </w:tc>
      </w:tr>
      <w:tr>
        <w:trPr>
          <w:cantSplit/>
        </w:trPr>
        <w:tc>
          <w:tcPr>
            <w:tcW w:type="dxa" w:w="3385"/>
            <w:tcMar>
              <w:top w:type="dxa" w:w="60"/>
              <w:left w:type="dxa" w:w="90"/>
              <w:bottom w:type="dxa" w:w="60"/>
              <w:right w:type="dxa" w:w="90"/>
            </w:tcMar>
          </w:tcPr>
          <w:p>
            <w:pPr>
              <w:spacing w:after="40"/>
            </w:pPr>
            <w:r>
              <w:rPr>
                <w:b w:val="false"/>
                <w:bCs w:val="false"/>
                <w:sz w:val="19"/>
                <w:szCs w:val="19"/>
              </w:rPr>
              <w:t xml:space="preserve">Maharashtra State Biodiversity Board</w:t>
            </w:r>
          </w:p>
        </w:tc>
        <w:tc>
          <w:tcPr>
            <w:tcW w:type="dxa" w:w="5641"/>
            <w:tcMar>
              <w:top w:type="dxa" w:w="60"/>
              <w:left w:type="dxa" w:w="90"/>
              <w:bottom w:type="dxa" w:w="60"/>
              <w:right w:type="dxa" w:w="90"/>
            </w:tcMar>
          </w:tcPr>
          <w:p>
            <w:pPr>
              <w:spacing w:after="40"/>
            </w:pPr>
            <w:r>
              <w:rPr>
                <w:b w:val="false"/>
                <w:bCs w:val="false"/>
                <w:sz w:val="19"/>
                <w:szCs w:val="19"/>
              </w:rPr>
              <w:t xml:space="preserve">Grants to the BMC’s Local Biodiversity Fund</w:t>
            </w:r>
          </w:p>
        </w:tc>
      </w:tr>
      <w:tr>
        <w:trPr>
          <w:cantSplit/>
        </w:trPr>
        <w:tc>
          <w:tcPr>
            <w:tcW w:type="dxa" w:w="3385"/>
            <w:tcMar>
              <w:top w:type="dxa" w:w="60"/>
              <w:left w:type="dxa" w:w="90"/>
              <w:bottom w:type="dxa" w:w="60"/>
              <w:right w:type="dxa" w:w="90"/>
            </w:tcMar>
          </w:tcPr>
          <w:p>
            <w:pPr>
              <w:spacing w:after="40"/>
            </w:pPr>
            <w:r>
              <w:rPr>
                <w:b w:val="false"/>
                <w:bCs w:val="false"/>
                <w:sz w:val="19"/>
                <w:szCs w:val="19"/>
              </w:rPr>
              <w:t xml:space="preserve">Agriculture and horticulture schemes; State Rural Livelihoods Mission</w:t>
            </w:r>
          </w:p>
        </w:tc>
        <w:tc>
          <w:tcPr>
            <w:tcW w:type="dxa" w:w="5641"/>
            <w:tcMar>
              <w:top w:type="dxa" w:w="60"/>
              <w:left w:type="dxa" w:w="90"/>
              <w:bottom w:type="dxa" w:w="60"/>
              <w:right w:type="dxa" w:w="90"/>
            </w:tcMar>
          </w:tcPr>
          <w:p>
            <w:pPr>
              <w:spacing w:after="40"/>
            </w:pPr>
            <w:r>
              <w:rPr>
                <w:b w:val="false"/>
                <w:bCs w:val="false"/>
                <w:sz w:val="19"/>
                <w:szCs w:val="19"/>
              </w:rPr>
              <w:t xml:space="preserve">Farmer support, enterprise finance and cadre certification</w:t>
            </w:r>
          </w:p>
        </w:tc>
      </w:tr>
      <w:tr>
        <w:trPr>
          <w:cantSplit/>
        </w:trPr>
        <w:tc>
          <w:tcPr>
            <w:tcW w:type="dxa" w:w="3385"/>
            <w:tcMar>
              <w:top w:type="dxa" w:w="60"/>
              <w:left w:type="dxa" w:w="90"/>
              <w:bottom w:type="dxa" w:w="60"/>
              <w:right w:type="dxa" w:w="90"/>
            </w:tcMar>
          </w:tcPr>
          <w:p>
            <w:pPr>
              <w:spacing w:after="40"/>
            </w:pPr>
            <w:r>
              <w:rPr>
                <w:b w:val="false"/>
                <w:bCs w:val="false"/>
                <w:sz w:val="19"/>
                <w:szCs w:val="19"/>
              </w:rPr>
              <w:t xml:space="preserve">Carbon finance</w:t>
            </w:r>
          </w:p>
        </w:tc>
        <w:tc>
          <w:tcPr>
            <w:tcW w:type="dxa" w:w="5641"/>
            <w:tcMar>
              <w:top w:type="dxa" w:w="60"/>
              <w:left w:type="dxa" w:w="90"/>
              <w:bottom w:type="dxa" w:w="60"/>
              <w:right w:type="dxa" w:w="90"/>
            </w:tcMar>
          </w:tcPr>
          <w:p>
            <w:pPr>
              <w:spacing w:after="40"/>
            </w:pPr>
            <w:r>
              <w:rPr>
                <w:b w:val="false"/>
                <w:bCs w:val="false"/>
                <w:sz w:val="19"/>
                <w:szCs w:val="19"/>
              </w:rPr>
              <w:t xml:space="preserve">Supplementary, after verification, through the net-zero platform — not assured income</w:t>
            </w:r>
          </w:p>
        </w:tc>
      </w:tr>
    </w:tbl>
    <w:p>
      <w:pPr>
        <w:spacing w:after="80"/>
      </w:pPr>
    </w:p>
    <w:p>
      <w:pPr>
        <w:pStyle w:val="Heading1"/>
        <w:keepNext/>
        <w:spacing w:after="140" w:before="300"/>
      </w:pPr>
      <w:r>
        <w:t xml:space="preserve">10. Financials</w:t>
      </w:r>
    </w:p>
    <w:p>
      <w:pPr>
        <w:spacing w:after="120" w:line="276"/>
        <w:jc w:val="both"/>
      </w:pPr>
      <w:r>
        <w:t xml:space="preserve">The ten-year model (Project1_Agroforestry_Finances_v2.xlsx) carries over Ayurvan’s cost and revenue estimates unchanged and corrects the calculation structure: revenue now sums species rows only; operation and maintenance is deducted once; and capital cost is included in the cash flow.</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43"/>
        <w:gridCol w:w="1017"/>
        <w:gridCol w:w="1017"/>
        <w:gridCol w:w="1017"/>
        <w:gridCol w:w="1017"/>
        <w:gridCol w:w="1017"/>
        <w:gridCol w:w="1398"/>
      </w:tblGrid>
      <w:tr>
        <w:trPr>
          <w:tblHeader/>
        </w:trPr>
        <w:tc>
          <w:tcPr>
            <w:tcW w:type="dxa" w:w="2543"/>
            <w:shd w:fill="EAF1EE" w:color="auto" w:val="clear"/>
            <w:tcMar>
              <w:top w:type="dxa" w:w="60"/>
              <w:left w:type="dxa" w:w="90"/>
              <w:bottom w:type="dxa" w:w="60"/>
              <w:right w:type="dxa" w:w="90"/>
            </w:tcMar>
          </w:tcPr>
          <w:p>
            <w:pPr>
              <w:spacing w:after="40"/>
            </w:pPr>
            <w:r>
              <w:rPr>
                <w:b/>
                <w:bCs/>
                <w:sz w:val="19"/>
                <w:szCs w:val="19"/>
              </w:rPr>
              <w:t xml:space="preserve">₹ lakh</w:t>
            </w:r>
          </w:p>
        </w:tc>
        <w:tc>
          <w:tcPr>
            <w:tcW w:type="dxa" w:w="1017"/>
            <w:shd w:fill="EAF1EE" w:color="auto" w:val="clear"/>
            <w:tcMar>
              <w:top w:type="dxa" w:w="60"/>
              <w:left w:type="dxa" w:w="90"/>
              <w:bottom w:type="dxa" w:w="60"/>
              <w:right w:type="dxa" w:w="90"/>
            </w:tcMar>
          </w:tcPr>
          <w:p>
            <w:pPr>
              <w:spacing w:after="40"/>
            </w:pPr>
            <w:r>
              <w:rPr>
                <w:b/>
                <w:bCs/>
                <w:sz w:val="19"/>
                <w:szCs w:val="19"/>
              </w:rPr>
              <w:t xml:space="preserve">Year 1</w:t>
            </w:r>
          </w:p>
        </w:tc>
        <w:tc>
          <w:tcPr>
            <w:tcW w:type="dxa" w:w="1017"/>
            <w:shd w:fill="EAF1EE" w:color="auto" w:val="clear"/>
            <w:tcMar>
              <w:top w:type="dxa" w:w="60"/>
              <w:left w:type="dxa" w:w="90"/>
              <w:bottom w:type="dxa" w:w="60"/>
              <w:right w:type="dxa" w:w="90"/>
            </w:tcMar>
          </w:tcPr>
          <w:p>
            <w:pPr>
              <w:spacing w:after="40"/>
            </w:pPr>
            <w:r>
              <w:rPr>
                <w:b/>
                <w:bCs/>
                <w:sz w:val="19"/>
                <w:szCs w:val="19"/>
              </w:rPr>
              <w:t xml:space="preserve">Year 2</w:t>
            </w:r>
          </w:p>
        </w:tc>
        <w:tc>
          <w:tcPr>
            <w:tcW w:type="dxa" w:w="1017"/>
            <w:shd w:fill="EAF1EE" w:color="auto" w:val="clear"/>
            <w:tcMar>
              <w:top w:type="dxa" w:w="60"/>
              <w:left w:type="dxa" w:w="90"/>
              <w:bottom w:type="dxa" w:w="60"/>
              <w:right w:type="dxa" w:w="90"/>
            </w:tcMar>
          </w:tcPr>
          <w:p>
            <w:pPr>
              <w:spacing w:after="40"/>
            </w:pPr>
            <w:r>
              <w:rPr>
                <w:b/>
                <w:bCs/>
                <w:sz w:val="19"/>
                <w:szCs w:val="19"/>
              </w:rPr>
              <w:t xml:space="preserve">Year 3</w:t>
            </w:r>
          </w:p>
        </w:tc>
        <w:tc>
          <w:tcPr>
            <w:tcW w:type="dxa" w:w="1017"/>
            <w:shd w:fill="EAF1EE" w:color="auto" w:val="clear"/>
            <w:tcMar>
              <w:top w:type="dxa" w:w="60"/>
              <w:left w:type="dxa" w:w="90"/>
              <w:bottom w:type="dxa" w:w="60"/>
              <w:right w:type="dxa" w:w="90"/>
            </w:tcMar>
          </w:tcPr>
          <w:p>
            <w:pPr>
              <w:spacing w:after="40"/>
            </w:pPr>
            <w:r>
              <w:rPr>
                <w:b/>
                <w:bCs/>
                <w:sz w:val="19"/>
                <w:szCs w:val="19"/>
              </w:rPr>
              <w:t xml:space="preserve">Year 5</w:t>
            </w:r>
          </w:p>
        </w:tc>
        <w:tc>
          <w:tcPr>
            <w:tcW w:type="dxa" w:w="1017"/>
            <w:shd w:fill="EAF1EE" w:color="auto" w:val="clear"/>
            <w:tcMar>
              <w:top w:type="dxa" w:w="60"/>
              <w:left w:type="dxa" w:w="90"/>
              <w:bottom w:type="dxa" w:w="60"/>
              <w:right w:type="dxa" w:w="90"/>
            </w:tcMar>
          </w:tcPr>
          <w:p>
            <w:pPr>
              <w:spacing w:after="40"/>
            </w:pPr>
            <w:r>
              <w:rPr>
                <w:b/>
                <w:bCs/>
                <w:sz w:val="19"/>
                <w:szCs w:val="19"/>
              </w:rPr>
              <w:t xml:space="preserve">Year 10</w:t>
            </w:r>
          </w:p>
        </w:tc>
        <w:tc>
          <w:tcPr>
            <w:tcW w:type="dxa" w:w="1398"/>
            <w:shd w:fill="EAF1EE" w:color="auto" w:val="clear"/>
            <w:tcMar>
              <w:top w:type="dxa" w:w="60"/>
              <w:left w:type="dxa" w:w="90"/>
              <w:bottom w:type="dxa" w:w="60"/>
              <w:right w:type="dxa" w:w="90"/>
            </w:tcMar>
          </w:tcPr>
          <w:p>
            <w:pPr>
              <w:spacing w:after="40"/>
            </w:pPr>
            <w:r>
              <w:rPr>
                <w:b/>
                <w:bCs/>
                <w:sz w:val="19"/>
                <w:szCs w:val="19"/>
              </w:rPr>
              <w:t xml:space="preserve">10-year total</w:t>
            </w:r>
          </w:p>
        </w:tc>
      </w:tr>
      <w:tr>
        <w:trPr>
          <w:cantSplit/>
        </w:trPr>
        <w:tc>
          <w:tcPr>
            <w:tcW w:type="dxa" w:w="2543"/>
            <w:tcMar>
              <w:top w:type="dxa" w:w="60"/>
              <w:left w:type="dxa" w:w="90"/>
              <w:bottom w:type="dxa" w:w="60"/>
              <w:right w:type="dxa" w:w="90"/>
            </w:tcMar>
          </w:tcPr>
          <w:p>
            <w:pPr>
              <w:spacing w:after="40"/>
            </w:pPr>
            <w:r>
              <w:rPr>
                <w:b w:val="false"/>
                <w:bCs w:val="false"/>
                <w:sz w:val="19"/>
                <w:szCs w:val="19"/>
              </w:rPr>
              <w:t xml:space="preserve">Revenue</w:t>
            </w:r>
          </w:p>
        </w:tc>
        <w:tc>
          <w:tcPr>
            <w:tcW w:type="dxa" w:w="1017"/>
            <w:tcMar>
              <w:top w:type="dxa" w:w="60"/>
              <w:left w:type="dxa" w:w="90"/>
              <w:bottom w:type="dxa" w:w="60"/>
              <w:right w:type="dxa" w:w="90"/>
            </w:tcMar>
          </w:tcPr>
          <w:p>
            <w:pPr>
              <w:spacing w:after="40"/>
            </w:pPr>
            <w:r>
              <w:rPr>
                <w:b w:val="false"/>
                <w:bCs w:val="false"/>
                <w:sz w:val="19"/>
                <w:szCs w:val="19"/>
              </w:rPr>
              <w:t xml:space="preserve">28.2</w:t>
            </w:r>
          </w:p>
        </w:tc>
        <w:tc>
          <w:tcPr>
            <w:tcW w:type="dxa" w:w="1017"/>
            <w:tcMar>
              <w:top w:type="dxa" w:w="60"/>
              <w:left w:type="dxa" w:w="90"/>
              <w:bottom w:type="dxa" w:w="60"/>
              <w:right w:type="dxa" w:w="90"/>
            </w:tcMar>
          </w:tcPr>
          <w:p>
            <w:pPr>
              <w:spacing w:after="40"/>
            </w:pPr>
            <w:r>
              <w:rPr>
                <w:b w:val="false"/>
                <w:bCs w:val="false"/>
                <w:sz w:val="19"/>
                <w:szCs w:val="19"/>
              </w:rPr>
              <w:t xml:space="preserve">35.7</w:t>
            </w:r>
          </w:p>
        </w:tc>
        <w:tc>
          <w:tcPr>
            <w:tcW w:type="dxa" w:w="1017"/>
            <w:tcMar>
              <w:top w:type="dxa" w:w="60"/>
              <w:left w:type="dxa" w:w="90"/>
              <w:bottom w:type="dxa" w:w="60"/>
              <w:right w:type="dxa" w:w="90"/>
            </w:tcMar>
          </w:tcPr>
          <w:p>
            <w:pPr>
              <w:spacing w:after="40"/>
            </w:pPr>
            <w:r>
              <w:rPr>
                <w:b w:val="false"/>
                <w:bCs w:val="false"/>
                <w:sz w:val="19"/>
                <w:szCs w:val="19"/>
              </w:rPr>
              <w:t xml:space="preserve">47.6</w:t>
            </w:r>
          </w:p>
        </w:tc>
        <w:tc>
          <w:tcPr>
            <w:tcW w:type="dxa" w:w="1017"/>
            <w:tcMar>
              <w:top w:type="dxa" w:w="60"/>
              <w:left w:type="dxa" w:w="90"/>
              <w:bottom w:type="dxa" w:w="60"/>
              <w:right w:type="dxa" w:w="90"/>
            </w:tcMar>
          </w:tcPr>
          <w:p>
            <w:pPr>
              <w:spacing w:after="40"/>
            </w:pPr>
            <w:r>
              <w:rPr>
                <w:b w:val="false"/>
                <w:bCs w:val="false"/>
                <w:sz w:val="19"/>
                <w:szCs w:val="19"/>
              </w:rPr>
              <w:t xml:space="preserve">68.6</w:t>
            </w:r>
          </w:p>
        </w:tc>
        <w:tc>
          <w:tcPr>
            <w:tcW w:type="dxa" w:w="1017"/>
            <w:tcMar>
              <w:top w:type="dxa" w:w="60"/>
              <w:left w:type="dxa" w:w="90"/>
              <w:bottom w:type="dxa" w:w="60"/>
              <w:right w:type="dxa" w:w="90"/>
            </w:tcMar>
          </w:tcPr>
          <w:p>
            <w:pPr>
              <w:spacing w:after="40"/>
            </w:pPr>
            <w:r>
              <w:rPr>
                <w:b w:val="false"/>
                <w:bCs w:val="false"/>
                <w:sz w:val="19"/>
                <w:szCs w:val="19"/>
              </w:rPr>
              <w:t xml:space="preserve">106.7</w:t>
            </w:r>
          </w:p>
        </w:tc>
        <w:tc>
          <w:tcPr>
            <w:tcW w:type="dxa" w:w="1398"/>
            <w:tcMar>
              <w:top w:type="dxa" w:w="60"/>
              <w:left w:type="dxa" w:w="90"/>
              <w:bottom w:type="dxa" w:w="60"/>
              <w:right w:type="dxa" w:w="90"/>
            </w:tcMar>
          </w:tcPr>
          <w:p>
            <w:pPr>
              <w:spacing w:after="40"/>
            </w:pPr>
            <w:r>
              <w:rPr>
                <w:b w:val="false"/>
                <w:bCs w:val="false"/>
                <w:sz w:val="19"/>
                <w:szCs w:val="19"/>
              </w:rPr>
              <w:t xml:space="preserve">709.9</w:t>
            </w:r>
          </w:p>
        </w:tc>
      </w:tr>
      <w:tr>
        <w:trPr>
          <w:cantSplit/>
        </w:trPr>
        <w:tc>
          <w:tcPr>
            <w:tcW w:type="dxa" w:w="2543"/>
            <w:tcMar>
              <w:top w:type="dxa" w:w="60"/>
              <w:left w:type="dxa" w:w="90"/>
              <w:bottom w:type="dxa" w:w="60"/>
              <w:right w:type="dxa" w:w="90"/>
            </w:tcMar>
          </w:tcPr>
          <w:p>
            <w:pPr>
              <w:spacing w:after="40"/>
            </w:pPr>
            <w:r>
              <w:rPr>
                <w:b w:val="false"/>
                <w:bCs w:val="false"/>
                <w:sz w:val="19"/>
                <w:szCs w:val="19"/>
              </w:rPr>
              <w:t xml:space="preserve">Operation and maintenance</w:t>
            </w:r>
          </w:p>
        </w:tc>
        <w:tc>
          <w:tcPr>
            <w:tcW w:type="dxa" w:w="1017"/>
            <w:tcMar>
              <w:top w:type="dxa" w:w="60"/>
              <w:left w:type="dxa" w:w="90"/>
              <w:bottom w:type="dxa" w:w="60"/>
              <w:right w:type="dxa" w:w="90"/>
            </w:tcMar>
          </w:tcPr>
          <w:p>
            <w:pPr>
              <w:spacing w:after="40"/>
            </w:pPr>
            <w:r>
              <w:rPr>
                <w:b w:val="false"/>
                <w:bCs w:val="false"/>
                <w:sz w:val="19"/>
                <w:szCs w:val="19"/>
              </w:rPr>
              <w:t xml:space="preserve">44.6</w:t>
            </w:r>
          </w:p>
        </w:tc>
        <w:tc>
          <w:tcPr>
            <w:tcW w:type="dxa" w:w="1017"/>
            <w:tcMar>
              <w:top w:type="dxa" w:w="60"/>
              <w:left w:type="dxa" w:w="90"/>
              <w:bottom w:type="dxa" w:w="60"/>
              <w:right w:type="dxa" w:w="90"/>
            </w:tcMar>
          </w:tcPr>
          <w:p>
            <w:pPr>
              <w:spacing w:after="40"/>
            </w:pPr>
            <w:r>
              <w:rPr>
                <w:b w:val="false"/>
                <w:bCs w:val="false"/>
                <w:sz w:val="19"/>
                <w:szCs w:val="19"/>
              </w:rPr>
              <w:t xml:space="preserve">45.0</w:t>
            </w:r>
          </w:p>
        </w:tc>
        <w:tc>
          <w:tcPr>
            <w:tcW w:type="dxa" w:w="1017"/>
            <w:tcMar>
              <w:top w:type="dxa" w:w="60"/>
              <w:left w:type="dxa" w:w="90"/>
              <w:bottom w:type="dxa" w:w="60"/>
              <w:right w:type="dxa" w:w="90"/>
            </w:tcMar>
          </w:tcPr>
          <w:p>
            <w:pPr>
              <w:spacing w:after="40"/>
            </w:pPr>
            <w:r>
              <w:rPr>
                <w:b w:val="false"/>
                <w:bCs w:val="false"/>
                <w:sz w:val="19"/>
                <w:szCs w:val="19"/>
              </w:rPr>
              <w:t xml:space="preserve">45.0</w:t>
            </w:r>
          </w:p>
        </w:tc>
        <w:tc>
          <w:tcPr>
            <w:tcW w:type="dxa" w:w="1017"/>
            <w:tcMar>
              <w:top w:type="dxa" w:w="60"/>
              <w:left w:type="dxa" w:w="90"/>
              <w:bottom w:type="dxa" w:w="60"/>
              <w:right w:type="dxa" w:w="90"/>
            </w:tcMar>
          </w:tcPr>
          <w:p>
            <w:pPr>
              <w:spacing w:after="40"/>
            </w:pPr>
            <w:r>
              <w:rPr>
                <w:b w:val="false"/>
                <w:bCs w:val="false"/>
                <w:sz w:val="19"/>
                <w:szCs w:val="19"/>
              </w:rPr>
              <w:t xml:space="preserve">45.0</w:t>
            </w:r>
          </w:p>
        </w:tc>
        <w:tc>
          <w:tcPr>
            <w:tcW w:type="dxa" w:w="1017"/>
            <w:tcMar>
              <w:top w:type="dxa" w:w="60"/>
              <w:left w:type="dxa" w:w="90"/>
              <w:bottom w:type="dxa" w:w="60"/>
              <w:right w:type="dxa" w:w="90"/>
            </w:tcMar>
          </w:tcPr>
          <w:p>
            <w:pPr>
              <w:spacing w:after="40"/>
            </w:pPr>
            <w:r>
              <w:rPr>
                <w:b w:val="false"/>
                <w:bCs w:val="false"/>
                <w:sz w:val="19"/>
                <w:szCs w:val="19"/>
              </w:rPr>
              <w:t xml:space="preserve">47.0</w:t>
            </w:r>
          </w:p>
        </w:tc>
        <w:tc>
          <w:tcPr>
            <w:tcW w:type="dxa" w:w="1398"/>
            <w:tcMar>
              <w:top w:type="dxa" w:w="60"/>
              <w:left w:type="dxa" w:w="90"/>
              <w:bottom w:type="dxa" w:w="60"/>
              <w:right w:type="dxa" w:w="90"/>
            </w:tcMar>
          </w:tcPr>
          <w:p>
            <w:pPr>
              <w:spacing w:after="40"/>
            </w:pPr>
            <w:r>
              <w:rPr>
                <w:b w:val="false"/>
                <w:bCs w:val="false"/>
                <w:sz w:val="19"/>
                <w:szCs w:val="19"/>
              </w:rPr>
              <w:t xml:space="preserve">459.6</w:t>
            </w:r>
          </w:p>
        </w:tc>
      </w:tr>
      <w:tr>
        <w:trPr>
          <w:cantSplit/>
        </w:trPr>
        <w:tc>
          <w:tcPr>
            <w:tcW w:type="dxa" w:w="2543"/>
            <w:shd w:fill="F7F9F8" w:color="auto" w:val="clear"/>
            <w:tcMar>
              <w:top w:type="dxa" w:w="60"/>
              <w:left w:type="dxa" w:w="90"/>
              <w:bottom w:type="dxa" w:w="60"/>
              <w:right w:type="dxa" w:w="90"/>
            </w:tcMar>
          </w:tcPr>
          <w:p>
            <w:pPr>
              <w:spacing w:after="40"/>
            </w:pPr>
            <w:r>
              <w:rPr>
                <w:b/>
                <w:bCs/>
                <w:sz w:val="19"/>
                <w:szCs w:val="19"/>
              </w:rPr>
              <w:t xml:space="preserve">Operating surplus / (shortfall)</w:t>
            </w:r>
          </w:p>
        </w:tc>
        <w:tc>
          <w:tcPr>
            <w:tcW w:type="dxa" w:w="1017"/>
            <w:shd w:fill="F7F9F8" w:color="auto" w:val="clear"/>
            <w:tcMar>
              <w:top w:type="dxa" w:w="60"/>
              <w:left w:type="dxa" w:w="90"/>
              <w:bottom w:type="dxa" w:w="60"/>
              <w:right w:type="dxa" w:w="90"/>
            </w:tcMar>
          </w:tcPr>
          <w:p>
            <w:pPr>
              <w:spacing w:after="40"/>
            </w:pPr>
            <w:r>
              <w:rPr>
                <w:b/>
                <w:bCs/>
                <w:sz w:val="19"/>
                <w:szCs w:val="19"/>
              </w:rPr>
              <w:t xml:space="preserve">(16.4)</w:t>
            </w:r>
          </w:p>
        </w:tc>
        <w:tc>
          <w:tcPr>
            <w:tcW w:type="dxa" w:w="1017"/>
            <w:shd w:fill="F7F9F8" w:color="auto" w:val="clear"/>
            <w:tcMar>
              <w:top w:type="dxa" w:w="60"/>
              <w:left w:type="dxa" w:w="90"/>
              <w:bottom w:type="dxa" w:w="60"/>
              <w:right w:type="dxa" w:w="90"/>
            </w:tcMar>
          </w:tcPr>
          <w:p>
            <w:pPr>
              <w:spacing w:after="40"/>
            </w:pPr>
            <w:r>
              <w:rPr>
                <w:b/>
                <w:bCs/>
                <w:sz w:val="19"/>
                <w:szCs w:val="19"/>
              </w:rPr>
              <w:t xml:space="preserve">(9.3)</w:t>
            </w:r>
          </w:p>
        </w:tc>
        <w:tc>
          <w:tcPr>
            <w:tcW w:type="dxa" w:w="1017"/>
            <w:shd w:fill="F7F9F8" w:color="auto" w:val="clear"/>
            <w:tcMar>
              <w:top w:type="dxa" w:w="60"/>
              <w:left w:type="dxa" w:w="90"/>
              <w:bottom w:type="dxa" w:w="60"/>
              <w:right w:type="dxa" w:w="90"/>
            </w:tcMar>
          </w:tcPr>
          <w:p>
            <w:pPr>
              <w:spacing w:after="40"/>
            </w:pPr>
            <w:r>
              <w:rPr>
                <w:b/>
                <w:bCs/>
                <w:sz w:val="19"/>
                <w:szCs w:val="19"/>
              </w:rPr>
              <w:t xml:space="preserve">2.6</w:t>
            </w:r>
          </w:p>
        </w:tc>
        <w:tc>
          <w:tcPr>
            <w:tcW w:type="dxa" w:w="1017"/>
            <w:shd w:fill="F7F9F8" w:color="auto" w:val="clear"/>
            <w:tcMar>
              <w:top w:type="dxa" w:w="60"/>
              <w:left w:type="dxa" w:w="90"/>
              <w:bottom w:type="dxa" w:w="60"/>
              <w:right w:type="dxa" w:w="90"/>
            </w:tcMar>
          </w:tcPr>
          <w:p>
            <w:pPr>
              <w:spacing w:after="40"/>
            </w:pPr>
            <w:r>
              <w:rPr>
                <w:b/>
                <w:bCs/>
                <w:sz w:val="19"/>
                <w:szCs w:val="19"/>
              </w:rPr>
              <w:t xml:space="preserve">23.6</w:t>
            </w:r>
          </w:p>
        </w:tc>
        <w:tc>
          <w:tcPr>
            <w:tcW w:type="dxa" w:w="1017"/>
            <w:shd w:fill="F7F9F8" w:color="auto" w:val="clear"/>
            <w:tcMar>
              <w:top w:type="dxa" w:w="60"/>
              <w:left w:type="dxa" w:w="90"/>
              <w:bottom w:type="dxa" w:w="60"/>
              <w:right w:type="dxa" w:w="90"/>
            </w:tcMar>
          </w:tcPr>
          <w:p>
            <w:pPr>
              <w:spacing w:after="40"/>
            </w:pPr>
            <w:r>
              <w:rPr>
                <w:b/>
                <w:bCs/>
                <w:sz w:val="19"/>
                <w:szCs w:val="19"/>
              </w:rPr>
              <w:t xml:space="preserve">59.7</w:t>
            </w:r>
          </w:p>
        </w:tc>
        <w:tc>
          <w:tcPr>
            <w:tcW w:type="dxa" w:w="1398"/>
            <w:shd w:fill="F7F9F8" w:color="auto" w:val="clear"/>
            <w:tcMar>
              <w:top w:type="dxa" w:w="60"/>
              <w:left w:type="dxa" w:w="90"/>
              <w:bottom w:type="dxa" w:w="60"/>
              <w:right w:type="dxa" w:w="90"/>
            </w:tcMar>
          </w:tcPr>
          <w:p>
            <w:pPr>
              <w:spacing w:after="40"/>
            </w:pPr>
            <w:r>
              <w:rPr>
                <w:b/>
                <w:bCs/>
                <w:sz w:val="19"/>
                <w:szCs w:val="19"/>
              </w:rPr>
              <w:t xml:space="preserve">250.3</w:t>
            </w:r>
          </w:p>
        </w:tc>
      </w:tr>
      <w:tr>
        <w:trPr>
          <w:cantSplit/>
        </w:trPr>
        <w:tc>
          <w:tcPr>
            <w:tcW w:type="dxa" w:w="2543"/>
            <w:tcMar>
              <w:top w:type="dxa" w:w="60"/>
              <w:left w:type="dxa" w:w="90"/>
              <w:bottom w:type="dxa" w:w="60"/>
              <w:right w:type="dxa" w:w="90"/>
            </w:tcMar>
          </w:tcPr>
          <w:p>
            <w:pPr>
              <w:spacing w:after="40"/>
            </w:pPr>
            <w:r>
              <w:rPr>
                <w:b w:val="false"/>
                <w:bCs w:val="false"/>
                <w:sz w:val="19"/>
                <w:szCs w:val="19"/>
              </w:rPr>
              <w:t xml:space="preserve">Capital expenditure</w:t>
            </w:r>
          </w:p>
        </w:tc>
        <w:tc>
          <w:tcPr>
            <w:tcW w:type="dxa" w:w="1017"/>
            <w:tcMar>
              <w:top w:type="dxa" w:w="60"/>
              <w:left w:type="dxa" w:w="90"/>
              <w:bottom w:type="dxa" w:w="60"/>
              <w:right w:type="dxa" w:w="90"/>
            </w:tcMar>
          </w:tcPr>
          <w:p>
            <w:pPr>
              <w:spacing w:after="40"/>
            </w:pPr>
            <w:r>
              <w:rPr>
                <w:b w:val="false"/>
                <w:bCs w:val="false"/>
                <w:sz w:val="19"/>
                <w:szCs w:val="19"/>
              </w:rPr>
              <w:t xml:space="preserve">165.1</w:t>
            </w:r>
          </w:p>
        </w:tc>
        <w:tc>
          <w:tcPr>
            <w:tcW w:type="dxa" w:w="1017"/>
            <w:tcMar>
              <w:top w:type="dxa" w:w="60"/>
              <w:left w:type="dxa" w:w="90"/>
              <w:bottom w:type="dxa" w:w="60"/>
              <w:right w:type="dxa" w:w="90"/>
            </w:tcMar>
          </w:tcPr>
          <w:p>
            <w:pPr>
              <w:spacing w:after="40"/>
            </w:pPr>
            <w:r>
              <w:rPr>
                <w:b w:val="false"/>
                <w:bCs w:val="false"/>
                <w:sz w:val="19"/>
                <w:szCs w:val="19"/>
              </w:rPr>
              <w:t xml:space="preserve">—</w:t>
            </w:r>
          </w:p>
        </w:tc>
        <w:tc>
          <w:tcPr>
            <w:tcW w:type="dxa" w:w="1017"/>
            <w:tcMar>
              <w:top w:type="dxa" w:w="60"/>
              <w:left w:type="dxa" w:w="90"/>
              <w:bottom w:type="dxa" w:w="60"/>
              <w:right w:type="dxa" w:w="90"/>
            </w:tcMar>
          </w:tcPr>
          <w:p>
            <w:pPr>
              <w:spacing w:after="40"/>
            </w:pPr>
            <w:r>
              <w:rPr>
                <w:b w:val="false"/>
                <w:bCs w:val="false"/>
                <w:sz w:val="19"/>
                <w:szCs w:val="19"/>
              </w:rPr>
              <w:t xml:space="preserve">—</w:t>
            </w:r>
          </w:p>
        </w:tc>
        <w:tc>
          <w:tcPr>
            <w:tcW w:type="dxa" w:w="1017"/>
            <w:tcMar>
              <w:top w:type="dxa" w:w="60"/>
              <w:left w:type="dxa" w:w="90"/>
              <w:bottom w:type="dxa" w:w="60"/>
              <w:right w:type="dxa" w:w="90"/>
            </w:tcMar>
          </w:tcPr>
          <w:p>
            <w:pPr>
              <w:spacing w:after="40"/>
            </w:pPr>
            <w:r>
              <w:rPr>
                <w:b w:val="false"/>
                <w:bCs w:val="false"/>
                <w:sz w:val="19"/>
                <w:szCs w:val="19"/>
              </w:rPr>
              <w:t xml:space="preserve">—</w:t>
            </w:r>
          </w:p>
        </w:tc>
        <w:tc>
          <w:tcPr>
            <w:tcW w:type="dxa" w:w="1017"/>
            <w:tcMar>
              <w:top w:type="dxa" w:w="60"/>
              <w:left w:type="dxa" w:w="90"/>
              <w:bottom w:type="dxa" w:w="60"/>
              <w:right w:type="dxa" w:w="90"/>
            </w:tcMar>
          </w:tcPr>
          <w:p>
            <w:pPr>
              <w:spacing w:after="40"/>
            </w:pPr>
            <w:r>
              <w:rPr>
                <w:b w:val="false"/>
                <w:bCs w:val="false"/>
                <w:sz w:val="19"/>
                <w:szCs w:val="19"/>
              </w:rPr>
              <w:t xml:space="preserve">—</w:t>
            </w:r>
          </w:p>
        </w:tc>
        <w:tc>
          <w:tcPr>
            <w:tcW w:type="dxa" w:w="1398"/>
            <w:tcMar>
              <w:top w:type="dxa" w:w="60"/>
              <w:left w:type="dxa" w:w="90"/>
              <w:bottom w:type="dxa" w:w="60"/>
              <w:right w:type="dxa" w:w="90"/>
            </w:tcMar>
          </w:tcPr>
          <w:p>
            <w:pPr>
              <w:spacing w:after="40"/>
            </w:pPr>
            <w:r>
              <w:rPr>
                <w:b w:val="false"/>
                <w:bCs w:val="false"/>
                <w:sz w:val="19"/>
                <w:szCs w:val="19"/>
              </w:rPr>
              <w:t xml:space="preserve">165.1</w:t>
            </w:r>
          </w:p>
        </w:tc>
      </w:tr>
      <w:tr>
        <w:trPr>
          <w:cantSplit/>
        </w:trPr>
        <w:tc>
          <w:tcPr>
            <w:tcW w:type="dxa" w:w="2543"/>
            <w:shd w:fill="F7F9F8" w:color="auto" w:val="clear"/>
            <w:tcMar>
              <w:top w:type="dxa" w:w="60"/>
              <w:left w:type="dxa" w:w="90"/>
              <w:bottom w:type="dxa" w:w="60"/>
              <w:right w:type="dxa" w:w="90"/>
            </w:tcMar>
          </w:tcPr>
          <w:p>
            <w:pPr>
              <w:spacing w:after="40"/>
            </w:pPr>
            <w:r>
              <w:rPr>
                <w:b/>
                <w:bCs/>
                <w:sz w:val="19"/>
                <w:szCs w:val="19"/>
              </w:rPr>
              <w:t xml:space="preserve">Cumulative net position</w:t>
            </w:r>
          </w:p>
        </w:tc>
        <w:tc>
          <w:tcPr>
            <w:tcW w:type="dxa" w:w="1017"/>
            <w:shd w:fill="F7F9F8" w:color="auto" w:val="clear"/>
            <w:tcMar>
              <w:top w:type="dxa" w:w="60"/>
              <w:left w:type="dxa" w:w="90"/>
              <w:bottom w:type="dxa" w:w="60"/>
              <w:right w:type="dxa" w:w="90"/>
            </w:tcMar>
          </w:tcPr>
          <w:p>
            <w:pPr>
              <w:spacing w:after="40"/>
            </w:pPr>
            <w:r>
              <w:rPr>
                <w:b/>
                <w:bCs/>
                <w:sz w:val="19"/>
                <w:szCs w:val="19"/>
              </w:rPr>
              <w:t xml:space="preserve">(181.5)</w:t>
            </w:r>
          </w:p>
        </w:tc>
        <w:tc>
          <w:tcPr>
            <w:tcW w:type="dxa" w:w="1017"/>
            <w:shd w:fill="F7F9F8" w:color="auto" w:val="clear"/>
            <w:tcMar>
              <w:top w:type="dxa" w:w="60"/>
              <w:left w:type="dxa" w:w="90"/>
              <w:bottom w:type="dxa" w:w="60"/>
              <w:right w:type="dxa" w:w="90"/>
            </w:tcMar>
          </w:tcPr>
          <w:p>
            <w:pPr>
              <w:spacing w:after="40"/>
            </w:pPr>
            <w:r>
              <w:rPr>
                <w:b/>
                <w:bCs/>
                <w:sz w:val="19"/>
                <w:szCs w:val="19"/>
              </w:rPr>
              <w:t xml:space="preserve">(190.8)</w:t>
            </w:r>
          </w:p>
        </w:tc>
        <w:tc>
          <w:tcPr>
            <w:tcW w:type="dxa" w:w="1017"/>
            <w:shd w:fill="F7F9F8" w:color="auto" w:val="clear"/>
            <w:tcMar>
              <w:top w:type="dxa" w:w="60"/>
              <w:left w:type="dxa" w:w="90"/>
              <w:bottom w:type="dxa" w:w="60"/>
              <w:right w:type="dxa" w:w="90"/>
            </w:tcMar>
          </w:tcPr>
          <w:p>
            <w:pPr>
              <w:spacing w:after="40"/>
            </w:pPr>
            <w:r>
              <w:rPr>
                <w:b/>
                <w:bCs/>
                <w:sz w:val="19"/>
                <w:szCs w:val="19"/>
              </w:rPr>
              <w:t xml:space="preserve">(188.2)</w:t>
            </w:r>
          </w:p>
        </w:tc>
        <w:tc>
          <w:tcPr>
            <w:tcW w:type="dxa" w:w="1017"/>
            <w:shd w:fill="F7F9F8" w:color="auto" w:val="clear"/>
            <w:tcMar>
              <w:top w:type="dxa" w:w="60"/>
              <w:left w:type="dxa" w:w="90"/>
              <w:bottom w:type="dxa" w:w="60"/>
              <w:right w:type="dxa" w:w="90"/>
            </w:tcMar>
          </w:tcPr>
          <w:p>
            <w:pPr>
              <w:spacing w:after="40"/>
            </w:pPr>
            <w:r>
              <w:rPr>
                <w:b/>
                <w:bCs/>
                <w:sz w:val="19"/>
                <w:szCs w:val="19"/>
              </w:rPr>
              <w:t xml:space="preserve">(151.0)</w:t>
            </w:r>
          </w:p>
        </w:tc>
        <w:tc>
          <w:tcPr>
            <w:tcW w:type="dxa" w:w="1017"/>
            <w:shd w:fill="F7F9F8" w:color="auto" w:val="clear"/>
            <w:tcMar>
              <w:top w:type="dxa" w:w="60"/>
              <w:left w:type="dxa" w:w="90"/>
              <w:bottom w:type="dxa" w:w="60"/>
              <w:right w:type="dxa" w:w="90"/>
            </w:tcMar>
          </w:tcPr>
          <w:p>
            <w:pPr>
              <w:spacing w:after="40"/>
            </w:pPr>
            <w:r>
              <w:rPr>
                <w:b/>
                <w:bCs/>
                <w:sz w:val="19"/>
                <w:szCs w:val="19"/>
              </w:rPr>
              <w:t xml:space="preserve">85.2</w:t>
            </w:r>
          </w:p>
        </w:tc>
        <w:tc>
          <w:tcPr>
            <w:tcW w:type="dxa" w:w="1398"/>
            <w:shd w:fill="F7F9F8" w:color="auto" w:val="clear"/>
            <w:tcMar>
              <w:top w:type="dxa" w:w="60"/>
              <w:left w:type="dxa" w:w="90"/>
              <w:bottom w:type="dxa" w:w="60"/>
              <w:right w:type="dxa" w:w="90"/>
            </w:tcMar>
          </w:tcPr>
          <w:p>
            <w:pPr>
              <w:spacing w:after="40"/>
            </w:pPr>
            <w:r>
              <w:rPr>
                <w:b/>
                <w:bCs/>
                <w:sz w:val="19"/>
                <w:szCs w:val="19"/>
              </w:rPr>
              <w:t xml:space="preserve">85.2</w:t>
            </w:r>
          </w:p>
        </w:tc>
      </w:tr>
    </w:tbl>
    <w:p>
      <w:pPr>
        <w:spacing w:after="80"/>
      </w:pPr>
    </w:p>
    <w:p>
      <w:pPr>
        <w:pStyle w:val="ListParagraph"/>
        <w:numPr>
          <w:ilvl w:val="0"/>
          <w:numId w:val="2"/>
        </w:numPr>
        <w:spacing w:after="80" w:line="264"/>
        <w:jc w:val="left"/>
      </w:pPr>
      <w:r>
        <w:rPr>
          <w:b/>
          <w:bCs/>
        </w:rPr>
        <w:t xml:space="preserve">Grant.</w:t>
      </w:r>
      <w:r>
        <w:t xml:space="preserve"> Capital of ₹1.65 crore and the year-one shortfall of ₹16.4 lakh are sought within the CSR grant (budget line D, ₹1.81 crore).</w:t>
      </w:r>
    </w:p>
    <w:p>
      <w:pPr>
        <w:pStyle w:val="ListParagraph"/>
        <w:numPr>
          <w:ilvl w:val="0"/>
          <w:numId w:val="2"/>
        </w:numPr>
        <w:spacing w:after="80" w:line="264"/>
        <w:jc w:val="left"/>
      </w:pPr>
      <w:r>
        <w:rPr>
          <w:b/>
          <w:bCs/>
        </w:rPr>
        <w:t xml:space="preserve">Operating position.</w:t>
      </w:r>
      <w:r>
        <w:t xml:space="preserve"> Surplus from year three; ten-year operating surplus of ₹2.50 crore; capital recovered in year nine; ten-year net position ₹0.85 crore, undiscounted.</w:t>
      </w:r>
    </w:p>
    <w:p>
      <w:pPr>
        <w:pStyle w:val="ListParagraph"/>
        <w:numPr>
          <w:ilvl w:val="0"/>
          <w:numId w:val="2"/>
        </w:numPr>
        <w:spacing w:after="80" w:line="264"/>
        <w:jc w:val="left"/>
      </w:pPr>
      <w:r>
        <w:rPr>
          <w:b/>
          <w:bCs/>
        </w:rPr>
        <w:t xml:space="preserve">Drought test.</w:t>
      </w:r>
      <w:r>
        <w:t xml:space="preserve"> A drought in year two with illustrative yield losses (30% woody and fruit, 60% fodder, 50% shrubs, 40% nursery, 10% bamboo) reduces ten-year revenue by ₹14.6 lakh and the net position to ₹0.71 crore; payback remains in year nine.</w:t>
      </w:r>
    </w:p>
    <w:p>
      <w:pPr>
        <w:pStyle w:val="ListParagraph"/>
        <w:numPr>
          <w:ilvl w:val="0"/>
          <w:numId w:val="2"/>
        </w:numPr>
        <w:spacing w:after="80" w:line="264"/>
        <w:jc w:val="left"/>
      </w:pPr>
      <w:r>
        <w:rPr>
          <w:b/>
          <w:bCs/>
        </w:rPr>
        <w:t xml:space="preserve">Dependence on the nursery.</w:t>
      </w:r>
      <w:r>
        <w:t xml:space="preserve"> Nursery sales are ₹24.75 lakh of ₹28.2 lakh revenue in year one. Their basis is to be documented; demand from the Katol cluster and VB-G RAM G plantation works is the intended market.</w:t>
      </w:r>
    </w:p>
    <w:p>
      <w:pPr>
        <w:pStyle w:val="ListParagraph"/>
        <w:numPr>
          <w:ilvl w:val="0"/>
          <w:numId w:val="2"/>
        </w:numPr>
        <w:spacing w:after="80" w:line="264"/>
        <w:jc w:val="left"/>
      </w:pPr>
      <w:r>
        <w:rPr>
          <w:b/>
          <w:bCs/>
        </w:rPr>
        <w:t xml:space="preserve">Points to confirm.</w:t>
      </w:r>
      <w:r>
        <w:t xml:space="preserve"> The year-two shortfall of ₹9.3 lakh falls after the grant period and needs a funding source; the establishment-staff line in capital cost may overlap with year-one operation and maintenance; candidate species are not yet costed.</w:t>
      </w:r>
    </w:p>
    <w:p>
      <w:pPr>
        <w:pStyle w:val="Heading1"/>
        <w:keepNext/>
        <w:spacing w:after="140" w:before="300"/>
      </w:pPr>
      <w:r>
        <w:t xml:space="preserve">11. Monitoring, carbon and biodiversity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137"/>
        <w:gridCol w:w="4889"/>
      </w:tblGrid>
      <w:tr>
        <w:trPr>
          <w:tblHeader/>
        </w:trPr>
        <w:tc>
          <w:tcPr>
            <w:tcW w:type="dxa" w:w="4137"/>
            <w:shd w:fill="EAF1EE" w:color="auto" w:val="clear"/>
            <w:tcMar>
              <w:top w:type="dxa" w:w="60"/>
              <w:left w:type="dxa" w:w="90"/>
              <w:bottom w:type="dxa" w:w="60"/>
              <w:right w:type="dxa" w:w="90"/>
            </w:tcMar>
          </w:tcPr>
          <w:p>
            <w:pPr>
              <w:spacing w:after="40"/>
            </w:pPr>
            <w:r>
              <w:rPr>
                <w:b/>
                <w:bCs/>
                <w:sz w:val="19"/>
                <w:szCs w:val="19"/>
              </w:rPr>
              <w:t xml:space="preserve">Indicator</w:t>
            </w:r>
          </w:p>
        </w:tc>
        <w:tc>
          <w:tcPr>
            <w:tcW w:type="dxa" w:w="4889"/>
            <w:shd w:fill="EAF1EE" w:color="auto" w:val="clear"/>
            <w:tcMar>
              <w:top w:type="dxa" w:w="60"/>
              <w:left w:type="dxa" w:w="90"/>
              <w:bottom w:type="dxa" w:w="60"/>
              <w:right w:type="dxa" w:w="90"/>
            </w:tcMar>
          </w:tcPr>
          <w:p>
            <w:pPr>
              <w:spacing w:after="40"/>
            </w:pPr>
            <w:r>
              <w:rPr>
                <w:b/>
                <w:bCs/>
                <w:sz w:val="19"/>
                <w:szCs w:val="19"/>
              </w:rPr>
              <w:t xml:space="preserve">Measure</w:t>
            </w:r>
          </w:p>
        </w:tc>
      </w:tr>
      <w:tr>
        <w:trPr>
          <w:cantSplit/>
        </w:trPr>
        <w:tc>
          <w:tcPr>
            <w:tcW w:type="dxa" w:w="4137"/>
            <w:tcMar>
              <w:top w:type="dxa" w:w="60"/>
              <w:left w:type="dxa" w:w="90"/>
              <w:bottom w:type="dxa" w:w="60"/>
              <w:right w:type="dxa" w:w="90"/>
            </w:tcMar>
          </w:tcPr>
          <w:p>
            <w:pPr>
              <w:spacing w:after="40"/>
            </w:pPr>
            <w:r>
              <w:rPr>
                <w:b w:val="false"/>
                <w:bCs w:val="false"/>
                <w:sz w:val="19"/>
                <w:szCs w:val="19"/>
              </w:rPr>
              <w:t xml:space="preserve">Women engaged; self-help group participation</w:t>
            </w:r>
          </w:p>
        </w:tc>
        <w:tc>
          <w:tcPr>
            <w:tcW w:type="dxa" w:w="4889"/>
            <w:tcMar>
              <w:top w:type="dxa" w:w="60"/>
              <w:left w:type="dxa" w:w="90"/>
              <w:bottom w:type="dxa" w:w="60"/>
              <w:right w:type="dxa" w:w="90"/>
            </w:tcMar>
          </w:tcPr>
          <w:p>
            <w:pPr>
              <w:spacing w:after="40"/>
            </w:pPr>
            <w:r>
              <w:rPr>
                <w:b w:val="false"/>
                <w:bCs w:val="false"/>
                <w:sz w:val="19"/>
                <w:szCs w:val="19"/>
              </w:rPr>
              <w:t xml:space="preserve">Number; by village</w:t>
            </w:r>
          </w:p>
        </w:tc>
      </w:tr>
      <w:tr>
        <w:trPr>
          <w:cantSplit/>
        </w:trPr>
        <w:tc>
          <w:tcPr>
            <w:tcW w:type="dxa" w:w="4137"/>
            <w:tcMar>
              <w:top w:type="dxa" w:w="60"/>
              <w:left w:type="dxa" w:w="90"/>
              <w:bottom w:type="dxa" w:w="60"/>
              <w:right w:type="dxa" w:w="90"/>
            </w:tcMar>
          </w:tcPr>
          <w:p>
            <w:pPr>
              <w:spacing w:after="40"/>
            </w:pPr>
            <w:r>
              <w:rPr>
                <w:b w:val="false"/>
                <w:bCs w:val="false"/>
                <w:sz w:val="19"/>
                <w:szCs w:val="19"/>
              </w:rPr>
              <w:t xml:space="preserve">Area under cultivation</w:t>
            </w:r>
          </w:p>
        </w:tc>
        <w:tc>
          <w:tcPr>
            <w:tcW w:type="dxa" w:w="4889"/>
            <w:tcMar>
              <w:top w:type="dxa" w:w="60"/>
              <w:left w:type="dxa" w:w="90"/>
              <w:bottom w:type="dxa" w:w="60"/>
              <w:right w:type="dxa" w:w="90"/>
            </w:tcMar>
          </w:tcPr>
          <w:p>
            <w:pPr>
              <w:spacing w:after="40"/>
            </w:pPr>
            <w:r>
              <w:rPr>
                <w:b w:val="false"/>
                <w:bCs w:val="false"/>
                <w:sz w:val="19"/>
                <w:szCs w:val="19"/>
              </w:rPr>
              <w:t xml:space="preserve">Hectares, by component</w:t>
            </w:r>
          </w:p>
        </w:tc>
      </w:tr>
      <w:tr>
        <w:trPr>
          <w:cantSplit/>
        </w:trPr>
        <w:tc>
          <w:tcPr>
            <w:tcW w:type="dxa" w:w="4137"/>
            <w:tcMar>
              <w:top w:type="dxa" w:w="60"/>
              <w:left w:type="dxa" w:w="90"/>
              <w:bottom w:type="dxa" w:w="60"/>
              <w:right w:type="dxa" w:w="90"/>
            </w:tcMar>
          </w:tcPr>
          <w:p>
            <w:pPr>
              <w:spacing w:after="40"/>
            </w:pPr>
            <w:r>
              <w:rPr>
                <w:b w:val="false"/>
                <w:bCs w:val="false"/>
                <w:sz w:val="19"/>
                <w:szCs w:val="19"/>
              </w:rPr>
              <w:t xml:space="preserve">Nursery production and sales</w:t>
            </w:r>
          </w:p>
        </w:tc>
        <w:tc>
          <w:tcPr>
            <w:tcW w:type="dxa" w:w="4889"/>
            <w:tcMar>
              <w:top w:type="dxa" w:w="60"/>
              <w:left w:type="dxa" w:w="90"/>
              <w:bottom w:type="dxa" w:w="60"/>
              <w:right w:type="dxa" w:w="90"/>
            </w:tcMar>
          </w:tcPr>
          <w:p>
            <w:pPr>
              <w:spacing w:after="40"/>
            </w:pPr>
            <w:r>
              <w:rPr>
                <w:b w:val="false"/>
                <w:bCs w:val="false"/>
                <w:sz w:val="19"/>
                <w:szCs w:val="19"/>
              </w:rPr>
              <w:t xml:space="preserve">Plants; ₹; buyers in the Katol cluster</w:t>
            </w:r>
          </w:p>
        </w:tc>
      </w:tr>
      <w:tr>
        <w:trPr>
          <w:cantSplit/>
        </w:trPr>
        <w:tc>
          <w:tcPr>
            <w:tcW w:type="dxa" w:w="4137"/>
            <w:tcMar>
              <w:top w:type="dxa" w:w="60"/>
              <w:left w:type="dxa" w:w="90"/>
              <w:bottom w:type="dxa" w:w="60"/>
              <w:right w:type="dxa" w:w="90"/>
            </w:tcMar>
          </w:tcPr>
          <w:p>
            <w:pPr>
              <w:spacing w:after="40"/>
            </w:pPr>
            <w:r>
              <w:rPr>
                <w:b w:val="false"/>
                <w:bCs w:val="false"/>
                <w:sz w:val="19"/>
                <w:szCs w:val="19"/>
              </w:rPr>
              <w:t xml:space="preserve">Medicinal and fruit production; offtake</w:t>
            </w:r>
          </w:p>
        </w:tc>
        <w:tc>
          <w:tcPr>
            <w:tcW w:type="dxa" w:w="4889"/>
            <w:tcMar>
              <w:top w:type="dxa" w:w="60"/>
              <w:left w:type="dxa" w:w="90"/>
              <w:bottom w:type="dxa" w:w="60"/>
              <w:right w:type="dxa" w:w="90"/>
            </w:tcMar>
          </w:tcPr>
          <w:p>
            <w:pPr>
              <w:spacing w:after="40"/>
            </w:pPr>
            <w:r>
              <w:rPr>
                <w:b w:val="false"/>
                <w:bCs w:val="false"/>
                <w:sz w:val="19"/>
                <w:szCs w:val="19"/>
              </w:rPr>
              <w:t xml:space="preserve">kg or tonnes; ₹; buyers linked</w:t>
            </w:r>
          </w:p>
        </w:tc>
      </w:tr>
      <w:tr>
        <w:trPr>
          <w:cantSplit/>
        </w:trPr>
        <w:tc>
          <w:tcPr>
            <w:tcW w:type="dxa" w:w="4137"/>
            <w:tcMar>
              <w:top w:type="dxa" w:w="60"/>
              <w:left w:type="dxa" w:w="90"/>
              <w:bottom w:type="dxa" w:w="60"/>
              <w:right w:type="dxa" w:w="90"/>
            </w:tcMar>
          </w:tcPr>
          <w:p>
            <w:pPr>
              <w:spacing w:after="40"/>
            </w:pPr>
            <w:r>
              <w:rPr>
                <w:b w:val="false"/>
                <w:bCs w:val="false"/>
                <w:sz w:val="19"/>
                <w:szCs w:val="19"/>
              </w:rPr>
              <w:t xml:space="preserve">Fodder production</w:t>
            </w:r>
          </w:p>
        </w:tc>
        <w:tc>
          <w:tcPr>
            <w:tcW w:type="dxa" w:w="4889"/>
            <w:tcMar>
              <w:top w:type="dxa" w:w="60"/>
              <w:left w:type="dxa" w:w="90"/>
              <w:bottom w:type="dxa" w:w="60"/>
              <w:right w:type="dxa" w:w="90"/>
            </w:tcMar>
          </w:tcPr>
          <w:p>
            <w:pPr>
              <w:spacing w:after="40"/>
            </w:pPr>
            <w:r>
              <w:rPr>
                <w:b w:val="false"/>
                <w:bCs w:val="false"/>
                <w:sz w:val="19"/>
                <w:szCs w:val="19"/>
              </w:rPr>
              <w:t xml:space="preserve">Tonnes a year; share of herd requirement met</w:t>
            </w:r>
          </w:p>
        </w:tc>
      </w:tr>
      <w:tr>
        <w:trPr>
          <w:cantSplit/>
        </w:trPr>
        <w:tc>
          <w:tcPr>
            <w:tcW w:type="dxa" w:w="4137"/>
            <w:tcMar>
              <w:top w:type="dxa" w:w="60"/>
              <w:left w:type="dxa" w:w="90"/>
              <w:bottom w:type="dxa" w:w="60"/>
              <w:right w:type="dxa" w:w="90"/>
            </w:tcMar>
          </w:tcPr>
          <w:p>
            <w:pPr>
              <w:spacing w:after="40"/>
            </w:pPr>
            <w:r>
              <w:rPr>
                <w:b w:val="false"/>
                <w:bCs w:val="false"/>
                <w:sz w:val="19"/>
                <w:szCs w:val="19"/>
              </w:rPr>
              <w:t xml:space="preserve">Woody plants planted; survival</w:t>
            </w:r>
          </w:p>
        </w:tc>
        <w:tc>
          <w:tcPr>
            <w:tcW w:type="dxa" w:w="4889"/>
            <w:tcMar>
              <w:top w:type="dxa" w:w="60"/>
              <w:left w:type="dxa" w:w="90"/>
              <w:bottom w:type="dxa" w:w="60"/>
              <w:right w:type="dxa" w:w="90"/>
            </w:tcMar>
          </w:tcPr>
          <w:p>
            <w:pPr>
              <w:spacing w:after="40"/>
            </w:pPr>
            <w:r>
              <w:rPr>
                <w:b w:val="false"/>
                <w:bCs w:val="false"/>
                <w:sz w:val="19"/>
                <w:szCs w:val="19"/>
              </w:rPr>
              <w:t xml:space="preserve">Number; % at years 1, 3 and 5</w:t>
            </w:r>
          </w:p>
        </w:tc>
      </w:tr>
      <w:tr>
        <w:trPr>
          <w:cantSplit/>
        </w:trPr>
        <w:tc>
          <w:tcPr>
            <w:tcW w:type="dxa" w:w="4137"/>
            <w:tcMar>
              <w:top w:type="dxa" w:w="60"/>
              <w:left w:type="dxa" w:w="90"/>
              <w:bottom w:type="dxa" w:w="60"/>
              <w:right w:type="dxa" w:w="90"/>
            </w:tcMar>
          </w:tcPr>
          <w:p>
            <w:pPr>
              <w:spacing w:after="40"/>
            </w:pPr>
            <w:r>
              <w:rPr>
                <w:b w:val="false"/>
                <w:bCs w:val="false"/>
                <w:sz w:val="19"/>
                <w:szCs w:val="19"/>
              </w:rPr>
              <w:t xml:space="preserve">Income generated</w:t>
            </w:r>
          </w:p>
        </w:tc>
        <w:tc>
          <w:tcPr>
            <w:tcW w:type="dxa" w:w="4889"/>
            <w:tcMar>
              <w:top w:type="dxa" w:w="60"/>
              <w:left w:type="dxa" w:w="90"/>
              <w:bottom w:type="dxa" w:w="60"/>
              <w:right w:type="dxa" w:w="90"/>
            </w:tcMar>
          </w:tcPr>
          <w:p>
            <w:pPr>
              <w:spacing w:after="40"/>
            </w:pPr>
            <w:r>
              <w:rPr>
                <w:b w:val="false"/>
                <w:bCs w:val="false"/>
                <w:sz w:val="19"/>
                <w:szCs w:val="19"/>
              </w:rPr>
              <w:t xml:space="preserve">₹ per woman per cycle; share reaching new participants</w:t>
            </w:r>
          </w:p>
        </w:tc>
      </w:tr>
      <w:tr>
        <w:trPr>
          <w:cantSplit/>
        </w:trPr>
        <w:tc>
          <w:tcPr>
            <w:tcW w:type="dxa" w:w="4137"/>
            <w:tcMar>
              <w:top w:type="dxa" w:w="60"/>
              <w:left w:type="dxa" w:w="90"/>
              <w:bottom w:type="dxa" w:w="60"/>
              <w:right w:type="dxa" w:w="90"/>
            </w:tcMar>
          </w:tcPr>
          <w:p>
            <w:pPr>
              <w:spacing w:after="40"/>
            </w:pPr>
            <w:r>
              <w:rPr>
                <w:b w:val="false"/>
                <w:bCs w:val="false"/>
                <w:sz w:val="19"/>
                <w:szCs w:val="19"/>
              </w:rPr>
              <w:t xml:space="preserve">Soil and biodiversity</w:t>
            </w:r>
          </w:p>
        </w:tc>
        <w:tc>
          <w:tcPr>
            <w:tcW w:type="dxa" w:w="4889"/>
            <w:tcMar>
              <w:top w:type="dxa" w:w="60"/>
              <w:left w:type="dxa" w:w="90"/>
              <w:bottom w:type="dxa" w:w="60"/>
              <w:right w:type="dxa" w:w="90"/>
            </w:tcMar>
          </w:tcPr>
          <w:p>
            <w:pPr>
              <w:spacing w:after="40"/>
            </w:pPr>
            <w:r>
              <w:rPr>
                <w:b w:val="false"/>
                <w:bCs w:val="false"/>
                <w:sz w:val="19"/>
                <w:szCs w:val="19"/>
              </w:rPr>
              <w:t xml:space="preserve">Selected soil parameters; species diversity; PBR entries</w:t>
            </w:r>
          </w:p>
        </w:tc>
      </w:tr>
      <w:tr>
        <w:trPr>
          <w:cantSplit/>
        </w:trPr>
        <w:tc>
          <w:tcPr>
            <w:tcW w:type="dxa" w:w="4137"/>
            <w:tcMar>
              <w:top w:type="dxa" w:w="60"/>
              <w:left w:type="dxa" w:w="90"/>
              <w:bottom w:type="dxa" w:w="60"/>
              <w:right w:type="dxa" w:w="90"/>
            </w:tcMar>
          </w:tcPr>
          <w:p>
            <w:pPr>
              <w:spacing w:after="40"/>
            </w:pPr>
            <w:r>
              <w:rPr>
                <w:b w:val="false"/>
                <w:bCs w:val="false"/>
                <w:sz w:val="19"/>
                <w:szCs w:val="19"/>
              </w:rPr>
              <w:t xml:space="preserve">Carbon sequestration</w:t>
            </w:r>
          </w:p>
        </w:tc>
        <w:tc>
          <w:tcPr>
            <w:tcW w:type="dxa" w:w="4889"/>
            <w:tcMar>
              <w:top w:type="dxa" w:w="60"/>
              <w:left w:type="dxa" w:w="90"/>
              <w:bottom w:type="dxa" w:w="60"/>
              <w:right w:type="dxa" w:w="90"/>
            </w:tcMar>
          </w:tcPr>
          <w:p>
            <w:pPr>
              <w:spacing w:after="40"/>
            </w:pPr>
            <w:r>
              <w:rPr>
                <w:b w:val="false"/>
                <w:bCs w:val="false"/>
                <w:sz w:val="19"/>
                <w:szCs w:val="19"/>
              </w:rPr>
              <w:t xml:space="preserve">tCO₂e by an approved method, estimated and verified volumes kept separate</w:t>
            </w:r>
          </w:p>
        </w:tc>
      </w:tr>
    </w:tbl>
    <w:p>
      <w:pPr>
        <w:spacing w:after="80"/>
      </w:pPr>
    </w:p>
    <w:p>
      <w:pPr>
        <w:spacing w:after="120" w:line="276"/>
        <w:jc w:val="both"/>
      </w:pPr>
      <w:r>
        <w:t xml:space="preserve">Carbon accounting may cover above- and below-ground biomass, soil organic carbon where measurable, survival and growth. Carbon revenue is not treated as project income at this stage: any credit programme requires an eligible boundary, an approved methodology, a baseline, additionality, monitoring, third-party validation and verification, and registration under the selected standard. Accounting runs through the net-zero platform so that Project 1 is counted once, alongside the other projects.</w:t>
      </w:r>
    </w:p>
    <w:p>
      <w:pPr>
        <w:spacing w:after="120" w:line="276"/>
        <w:jc w:val="both"/>
      </w:pPr>
      <w:r>
        <w:rPr>
          <w:b/>
          <w:bCs/>
        </w:rPr>
        <w:t xml:space="preserve">Diversity within productivity.</w:t>
      </w:r>
      <w:r>
        <w:t xml:space="preserve"> The mix of herbs, aromatic plants, fruit trees, multipurpose trees, bamboo and fodder avoids monoculture and supports habitat, pollinators and soil biology.</w:t>
      </w:r>
    </w:p>
    <w:p>
      <w:pPr>
        <w:pStyle w:val="Heading1"/>
        <w:keepNext/>
        <w:spacing w:after="140" w:before="300"/>
      </w:pPr>
      <w:r>
        <w:t xml:space="preserve">12. Risks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27"/>
        <w:gridCol w:w="2166"/>
        <w:gridCol w:w="4333"/>
      </w:tblGrid>
      <w:tr>
        <w:trPr>
          <w:tblHeader/>
        </w:trPr>
        <w:tc>
          <w:tcPr>
            <w:tcW w:type="dxa" w:w="2527"/>
            <w:shd w:fill="EAF1EE" w:color="auto" w:val="clear"/>
            <w:tcMar>
              <w:top w:type="dxa" w:w="60"/>
              <w:left w:type="dxa" w:w="90"/>
              <w:bottom w:type="dxa" w:w="60"/>
              <w:right w:type="dxa" w:w="90"/>
            </w:tcMar>
          </w:tcPr>
          <w:p>
            <w:pPr>
              <w:spacing w:after="40"/>
            </w:pPr>
            <w:r>
              <w:rPr>
                <w:b/>
                <w:bCs/>
                <w:sz w:val="19"/>
                <w:szCs w:val="19"/>
              </w:rPr>
              <w:t xml:space="preserve">Risk</w:t>
            </w:r>
          </w:p>
        </w:tc>
        <w:tc>
          <w:tcPr>
            <w:tcW w:type="dxa" w:w="2166"/>
            <w:shd w:fill="EAF1EE" w:color="auto" w:val="clear"/>
            <w:tcMar>
              <w:top w:type="dxa" w:w="60"/>
              <w:left w:type="dxa" w:w="90"/>
              <w:bottom w:type="dxa" w:w="60"/>
              <w:right w:type="dxa" w:w="90"/>
            </w:tcMar>
          </w:tcPr>
          <w:p>
            <w:pPr>
              <w:spacing w:after="40"/>
            </w:pPr>
            <w:r>
              <w:rPr>
                <w:b/>
                <w:bCs/>
                <w:sz w:val="19"/>
                <w:szCs w:val="19"/>
              </w:rPr>
              <w:t xml:space="preserve">Impact</w:t>
            </w:r>
          </w:p>
        </w:tc>
        <w:tc>
          <w:tcPr>
            <w:tcW w:type="dxa" w:w="4333"/>
            <w:shd w:fill="EAF1EE" w:color="auto" w:val="clear"/>
            <w:tcMar>
              <w:top w:type="dxa" w:w="60"/>
              <w:left w:type="dxa" w:w="90"/>
              <w:bottom w:type="dxa" w:w="60"/>
              <w:right w:type="dxa" w:w="90"/>
            </w:tcMar>
          </w:tcPr>
          <w:p>
            <w:pPr>
              <w:spacing w:after="40"/>
            </w:pPr>
            <w:r>
              <w:rPr>
                <w:b/>
                <w:bCs/>
                <w:sz w:val="19"/>
                <w:szCs w:val="19"/>
              </w:rPr>
              <w:t xml:space="preserve">Mitigation</w:t>
            </w:r>
          </w:p>
        </w:tc>
      </w:tr>
      <w:tr>
        <w:trPr>
          <w:cantSplit/>
        </w:trPr>
        <w:tc>
          <w:tcPr>
            <w:tcW w:type="dxa" w:w="2527"/>
            <w:tcMar>
              <w:top w:type="dxa" w:w="60"/>
              <w:left w:type="dxa" w:w="90"/>
              <w:bottom w:type="dxa" w:w="60"/>
              <w:right w:type="dxa" w:w="90"/>
            </w:tcMar>
          </w:tcPr>
          <w:p>
            <w:pPr>
              <w:spacing w:after="40"/>
            </w:pPr>
            <w:r>
              <w:rPr>
                <w:b w:val="false"/>
                <w:bCs w:val="false"/>
                <w:sz w:val="19"/>
                <w:szCs w:val="19"/>
              </w:rPr>
              <w:t xml:space="preserve">Drought recurs</w:t>
            </w:r>
          </w:p>
        </w:tc>
        <w:tc>
          <w:tcPr>
            <w:tcW w:type="dxa" w:w="2166"/>
            <w:tcMar>
              <w:top w:type="dxa" w:w="60"/>
              <w:left w:type="dxa" w:w="90"/>
              <w:bottom w:type="dxa" w:w="60"/>
              <w:right w:type="dxa" w:w="90"/>
            </w:tcMar>
          </w:tcPr>
          <w:p>
            <w:pPr>
              <w:spacing w:after="40"/>
            </w:pPr>
            <w:r>
              <w:rPr>
                <w:b w:val="false"/>
                <w:bCs w:val="false"/>
                <w:sz w:val="19"/>
                <w:szCs w:val="19"/>
              </w:rPr>
              <w:t xml:space="preserve">Lower yields and survival</w:t>
            </w:r>
          </w:p>
        </w:tc>
        <w:tc>
          <w:tcPr>
            <w:tcW w:type="dxa" w:w="4333"/>
            <w:tcMar>
              <w:top w:type="dxa" w:w="60"/>
              <w:left w:type="dxa" w:w="90"/>
              <w:bottom w:type="dxa" w:w="60"/>
              <w:right w:type="dxa" w:w="90"/>
            </w:tcMar>
          </w:tcPr>
          <w:p>
            <w:pPr>
              <w:spacing w:after="40"/>
            </w:pPr>
            <w:r>
              <w:rPr>
                <w:b w:val="false"/>
                <w:bCs w:val="false"/>
                <w:sz w:val="19"/>
                <w:szCs w:val="19"/>
              </w:rPr>
              <w:t xml:space="preserve">Low-water species; drip; water budget; recharge; stress-tested finances</w:t>
            </w:r>
          </w:p>
        </w:tc>
      </w:tr>
      <w:tr>
        <w:trPr>
          <w:cantSplit/>
        </w:trPr>
        <w:tc>
          <w:tcPr>
            <w:tcW w:type="dxa" w:w="2527"/>
            <w:tcMar>
              <w:top w:type="dxa" w:w="60"/>
              <w:left w:type="dxa" w:w="90"/>
              <w:bottom w:type="dxa" w:w="60"/>
              <w:right w:type="dxa" w:w="90"/>
            </w:tcMar>
          </w:tcPr>
          <w:p>
            <w:pPr>
              <w:spacing w:after="40"/>
            </w:pPr>
            <w:r>
              <w:rPr>
                <w:b w:val="false"/>
                <w:bCs w:val="false"/>
                <w:sz w:val="19"/>
                <w:szCs w:val="19"/>
              </w:rPr>
              <w:t xml:space="preserve">Market price volatility</w:t>
            </w:r>
          </w:p>
        </w:tc>
        <w:tc>
          <w:tcPr>
            <w:tcW w:type="dxa" w:w="2166"/>
            <w:tcMar>
              <w:top w:type="dxa" w:w="60"/>
              <w:left w:type="dxa" w:w="90"/>
              <w:bottom w:type="dxa" w:w="60"/>
              <w:right w:type="dxa" w:w="90"/>
            </w:tcMar>
          </w:tcPr>
          <w:p>
            <w:pPr>
              <w:spacing w:after="40"/>
            </w:pPr>
            <w:r>
              <w:rPr>
                <w:b w:val="false"/>
                <w:bCs w:val="false"/>
                <w:sz w:val="19"/>
                <w:szCs w:val="19"/>
              </w:rPr>
              <w:t xml:space="preserve">Lower income</w:t>
            </w:r>
          </w:p>
        </w:tc>
        <w:tc>
          <w:tcPr>
            <w:tcW w:type="dxa" w:w="4333"/>
            <w:tcMar>
              <w:top w:type="dxa" w:w="60"/>
              <w:left w:type="dxa" w:w="90"/>
              <w:bottom w:type="dxa" w:w="60"/>
              <w:right w:type="dxa" w:w="90"/>
            </w:tcMar>
          </w:tcPr>
          <w:p>
            <w:pPr>
              <w:spacing w:after="40"/>
            </w:pPr>
            <w:r>
              <w:rPr>
                <w:b w:val="false"/>
                <w:bCs w:val="false"/>
                <w:sz w:val="19"/>
                <w:szCs w:val="19"/>
              </w:rPr>
              <w:t xml:space="preserve">Market first; anchor buyer plus a second buyer</w:t>
            </w:r>
          </w:p>
        </w:tc>
      </w:tr>
      <w:tr>
        <w:trPr>
          <w:cantSplit/>
        </w:trPr>
        <w:tc>
          <w:tcPr>
            <w:tcW w:type="dxa" w:w="2527"/>
            <w:tcMar>
              <w:top w:type="dxa" w:w="60"/>
              <w:left w:type="dxa" w:w="90"/>
              <w:bottom w:type="dxa" w:w="60"/>
              <w:right w:type="dxa" w:w="90"/>
            </w:tcMar>
          </w:tcPr>
          <w:p>
            <w:pPr>
              <w:spacing w:after="40"/>
            </w:pPr>
            <w:r>
              <w:rPr>
                <w:b w:val="false"/>
                <w:bCs w:val="false"/>
                <w:sz w:val="19"/>
                <w:szCs w:val="19"/>
              </w:rPr>
              <w:t xml:space="preserve">Nursery demand below estimate</w:t>
            </w:r>
          </w:p>
        </w:tc>
        <w:tc>
          <w:tcPr>
            <w:tcW w:type="dxa" w:w="2166"/>
            <w:tcMar>
              <w:top w:type="dxa" w:w="60"/>
              <w:left w:type="dxa" w:w="90"/>
              <w:bottom w:type="dxa" w:w="60"/>
              <w:right w:type="dxa" w:w="90"/>
            </w:tcMar>
          </w:tcPr>
          <w:p>
            <w:pPr>
              <w:spacing w:after="40"/>
            </w:pPr>
            <w:r>
              <w:rPr>
                <w:b w:val="false"/>
                <w:bCs w:val="false"/>
                <w:sz w:val="19"/>
                <w:szCs w:val="19"/>
              </w:rPr>
              <w:t xml:space="preserve">Operating shortfall</w:t>
            </w:r>
          </w:p>
        </w:tc>
        <w:tc>
          <w:tcPr>
            <w:tcW w:type="dxa" w:w="4333"/>
            <w:tcMar>
              <w:top w:type="dxa" w:w="60"/>
              <w:left w:type="dxa" w:w="90"/>
              <w:bottom w:type="dxa" w:w="60"/>
              <w:right w:type="dxa" w:w="90"/>
            </w:tcMar>
          </w:tcPr>
          <w:p>
            <w:pPr>
              <w:spacing w:after="40"/>
            </w:pPr>
            <w:r>
              <w:rPr>
                <w:b w:val="false"/>
                <w:bCs w:val="false"/>
                <w:sz w:val="19"/>
                <w:szCs w:val="19"/>
              </w:rPr>
              <w:t xml:space="preserve">Supply to the Katol cluster and VB-G RAM G works; documented demand before scaling</w:t>
            </w:r>
          </w:p>
        </w:tc>
      </w:tr>
      <w:tr>
        <w:trPr>
          <w:cantSplit/>
        </w:trPr>
        <w:tc>
          <w:tcPr>
            <w:tcW w:type="dxa" w:w="2527"/>
            <w:tcMar>
              <w:top w:type="dxa" w:w="60"/>
              <w:left w:type="dxa" w:w="90"/>
              <w:bottom w:type="dxa" w:w="60"/>
              <w:right w:type="dxa" w:w="90"/>
            </w:tcMar>
          </w:tcPr>
          <w:p>
            <w:pPr>
              <w:spacing w:after="40"/>
            </w:pPr>
            <w:r>
              <w:rPr>
                <w:b w:val="false"/>
                <w:bCs w:val="false"/>
                <w:sz w:val="19"/>
                <w:szCs w:val="19"/>
              </w:rPr>
              <w:t xml:space="preserve">Poor planting material or low tree survival</w:t>
            </w:r>
          </w:p>
        </w:tc>
        <w:tc>
          <w:tcPr>
            <w:tcW w:type="dxa" w:w="2166"/>
            <w:tcMar>
              <w:top w:type="dxa" w:w="60"/>
              <w:left w:type="dxa" w:w="90"/>
              <w:bottom w:type="dxa" w:w="60"/>
              <w:right w:type="dxa" w:w="90"/>
            </w:tcMar>
          </w:tcPr>
          <w:p>
            <w:pPr>
              <w:spacing w:after="40"/>
            </w:pPr>
            <w:r>
              <w:rPr>
                <w:b w:val="false"/>
                <w:bCs w:val="false"/>
                <w:sz w:val="19"/>
                <w:szCs w:val="19"/>
              </w:rPr>
              <w:t xml:space="preserve">Ecological and economic loss</w:t>
            </w:r>
          </w:p>
        </w:tc>
        <w:tc>
          <w:tcPr>
            <w:tcW w:type="dxa" w:w="4333"/>
            <w:tcMar>
              <w:top w:type="dxa" w:w="60"/>
              <w:left w:type="dxa" w:w="90"/>
              <w:bottom w:type="dxa" w:w="60"/>
              <w:right w:type="dxa" w:w="90"/>
            </w:tcMar>
          </w:tcPr>
          <w:p>
            <w:pPr>
              <w:spacing w:after="40"/>
            </w:pPr>
            <w:r>
              <w:rPr>
                <w:b w:val="false"/>
                <w:bCs w:val="false"/>
                <w:sz w:val="19"/>
                <w:szCs w:val="19"/>
              </w:rPr>
              <w:t xml:space="preserve">Quality nursery; site selection; survival monitoring</w:t>
            </w:r>
          </w:p>
        </w:tc>
      </w:tr>
      <w:tr>
        <w:trPr>
          <w:cantSplit/>
        </w:trPr>
        <w:tc>
          <w:tcPr>
            <w:tcW w:type="dxa" w:w="2527"/>
            <w:tcMar>
              <w:top w:type="dxa" w:w="60"/>
              <w:left w:type="dxa" w:w="90"/>
              <w:bottom w:type="dxa" w:w="60"/>
              <w:right w:type="dxa" w:w="90"/>
            </w:tcMar>
          </w:tcPr>
          <w:p>
            <w:pPr>
              <w:spacing w:after="40"/>
            </w:pPr>
            <w:r>
              <w:rPr>
                <w:b w:val="false"/>
                <w:bCs w:val="false"/>
                <w:sz w:val="19"/>
                <w:szCs w:val="19"/>
              </w:rPr>
              <w:t xml:space="preserve">Pests and disease; crop failure</w:t>
            </w:r>
          </w:p>
        </w:tc>
        <w:tc>
          <w:tcPr>
            <w:tcW w:type="dxa" w:w="2166"/>
            <w:tcMar>
              <w:top w:type="dxa" w:w="60"/>
              <w:left w:type="dxa" w:w="90"/>
              <w:bottom w:type="dxa" w:w="60"/>
              <w:right w:type="dxa" w:w="90"/>
            </w:tcMar>
          </w:tcPr>
          <w:p>
            <w:pPr>
              <w:spacing w:after="40"/>
            </w:pPr>
            <w:r>
              <w:rPr>
                <w:b w:val="false"/>
                <w:bCs w:val="false"/>
                <w:sz w:val="19"/>
                <w:szCs w:val="19"/>
              </w:rPr>
              <w:t xml:space="preserve">Production loss</w:t>
            </w:r>
          </w:p>
        </w:tc>
        <w:tc>
          <w:tcPr>
            <w:tcW w:type="dxa" w:w="4333"/>
            <w:tcMar>
              <w:top w:type="dxa" w:w="60"/>
              <w:left w:type="dxa" w:w="90"/>
              <w:bottom w:type="dxa" w:w="60"/>
              <w:right w:type="dxa" w:w="90"/>
            </w:tcMar>
          </w:tcPr>
          <w:p>
            <w:pPr>
              <w:spacing w:after="40"/>
            </w:pPr>
            <w:r>
              <w:rPr>
                <w:b w:val="false"/>
                <w:bCs w:val="false"/>
                <w:sz w:val="19"/>
                <w:szCs w:val="19"/>
              </w:rPr>
              <w:t xml:space="preserve">Diversification; good practice; technical advisory</w:t>
            </w:r>
          </w:p>
        </w:tc>
      </w:tr>
      <w:tr>
        <w:trPr>
          <w:cantSplit/>
        </w:trPr>
        <w:tc>
          <w:tcPr>
            <w:tcW w:type="dxa" w:w="2527"/>
            <w:tcMar>
              <w:top w:type="dxa" w:w="60"/>
              <w:left w:type="dxa" w:w="90"/>
              <w:bottom w:type="dxa" w:w="60"/>
              <w:right w:type="dxa" w:w="90"/>
            </w:tcMar>
          </w:tcPr>
          <w:p>
            <w:pPr>
              <w:spacing w:after="40"/>
            </w:pPr>
            <w:r>
              <w:rPr>
                <w:b w:val="false"/>
                <w:bCs w:val="false"/>
                <w:sz w:val="19"/>
                <w:szCs w:val="19"/>
              </w:rPr>
              <w:t xml:space="preserve">Low participation or elite capture</w:t>
            </w:r>
          </w:p>
        </w:tc>
        <w:tc>
          <w:tcPr>
            <w:tcW w:type="dxa" w:w="2166"/>
            <w:tcMar>
              <w:top w:type="dxa" w:w="60"/>
              <w:left w:type="dxa" w:w="90"/>
              <w:bottom w:type="dxa" w:w="60"/>
              <w:right w:type="dxa" w:w="90"/>
            </w:tcMar>
          </w:tcPr>
          <w:p>
            <w:pPr>
              <w:spacing w:after="40"/>
            </w:pPr>
            <w:r>
              <w:rPr>
                <w:b w:val="false"/>
                <w:bCs w:val="false"/>
                <w:sz w:val="19"/>
                <w:szCs w:val="19"/>
              </w:rPr>
              <w:t xml:space="preserve">Slow delivery; narrow benefits</w:t>
            </w:r>
          </w:p>
        </w:tc>
        <w:tc>
          <w:tcPr>
            <w:tcW w:type="dxa" w:w="4333"/>
            <w:tcMar>
              <w:top w:type="dxa" w:w="60"/>
              <w:left w:type="dxa" w:w="90"/>
              <w:bottom w:type="dxa" w:w="60"/>
              <w:right w:type="dxa" w:w="90"/>
            </w:tcMar>
          </w:tcPr>
          <w:p>
            <w:pPr>
              <w:spacing w:after="40"/>
            </w:pPr>
            <w:r>
              <w:rPr>
                <w:b w:val="false"/>
                <w:bCs w:val="false"/>
                <w:sz w:val="19"/>
                <w:szCs w:val="19"/>
              </w:rPr>
              <w:t xml:space="preserve">Continuous mobilisation; published selection rules; reporting of who earns</w:t>
            </w:r>
          </w:p>
        </w:tc>
      </w:tr>
      <w:tr>
        <w:trPr>
          <w:cantSplit/>
        </w:trPr>
        <w:tc>
          <w:tcPr>
            <w:tcW w:type="dxa" w:w="2527"/>
            <w:tcMar>
              <w:top w:type="dxa" w:w="60"/>
              <w:left w:type="dxa" w:w="90"/>
              <w:bottom w:type="dxa" w:w="60"/>
              <w:right w:type="dxa" w:w="90"/>
            </w:tcMar>
          </w:tcPr>
          <w:p>
            <w:pPr>
              <w:spacing w:after="40"/>
            </w:pPr>
            <w:r>
              <w:rPr>
                <w:b w:val="false"/>
                <w:bCs w:val="false"/>
                <w:sz w:val="19"/>
                <w:szCs w:val="19"/>
              </w:rPr>
              <w:t xml:space="preserve">Regulatory and land issues</w:t>
            </w:r>
          </w:p>
        </w:tc>
        <w:tc>
          <w:tcPr>
            <w:tcW w:type="dxa" w:w="2166"/>
            <w:tcMar>
              <w:top w:type="dxa" w:w="60"/>
              <w:left w:type="dxa" w:w="90"/>
              <w:bottom w:type="dxa" w:w="60"/>
              <w:right w:type="dxa" w:w="90"/>
            </w:tcMar>
          </w:tcPr>
          <w:p>
            <w:pPr>
              <w:spacing w:after="40"/>
            </w:pPr>
            <w:r>
              <w:rPr>
                <w:b w:val="false"/>
                <w:bCs w:val="false"/>
                <w:sz w:val="19"/>
                <w:szCs w:val="19"/>
              </w:rPr>
              <w:t xml:space="preserve">Delays</w:t>
            </w:r>
          </w:p>
        </w:tc>
        <w:tc>
          <w:tcPr>
            <w:tcW w:type="dxa" w:w="4333"/>
            <w:tcMar>
              <w:top w:type="dxa" w:w="60"/>
              <w:left w:type="dxa" w:w="90"/>
              <w:bottom w:type="dxa" w:w="60"/>
              <w:right w:type="dxa" w:w="90"/>
            </w:tcMar>
          </w:tcPr>
          <w:p>
            <w:pPr>
              <w:spacing w:after="40"/>
            </w:pPr>
            <w:r>
              <w:rPr>
                <w:b w:val="false"/>
                <w:bCs w:val="false"/>
                <w:sz w:val="19"/>
                <w:szCs w:val="19"/>
              </w:rPr>
              <w:t xml:space="preserve">Land-status verification; prior permissions; VanaGram OS rule checks</w:t>
            </w:r>
          </w:p>
        </w:tc>
      </w:tr>
      <w:tr>
        <w:trPr>
          <w:cantSplit/>
        </w:trPr>
        <w:tc>
          <w:tcPr>
            <w:tcW w:type="dxa" w:w="2527"/>
            <w:tcMar>
              <w:top w:type="dxa" w:w="60"/>
              <w:left w:type="dxa" w:w="90"/>
              <w:bottom w:type="dxa" w:w="60"/>
              <w:right w:type="dxa" w:w="90"/>
            </w:tcMar>
          </w:tcPr>
          <w:p>
            <w:pPr>
              <w:spacing w:after="40"/>
            </w:pPr>
            <w:r>
              <w:rPr>
                <w:b w:val="false"/>
                <w:bCs w:val="false"/>
                <w:sz w:val="19"/>
                <w:szCs w:val="19"/>
              </w:rPr>
              <w:t xml:space="preserve">Carbon-credit uncertainty</w:t>
            </w:r>
          </w:p>
        </w:tc>
        <w:tc>
          <w:tcPr>
            <w:tcW w:type="dxa" w:w="2166"/>
            <w:tcMar>
              <w:top w:type="dxa" w:w="60"/>
              <w:left w:type="dxa" w:w="90"/>
              <w:bottom w:type="dxa" w:w="60"/>
              <w:right w:type="dxa" w:w="90"/>
            </w:tcMar>
          </w:tcPr>
          <w:p>
            <w:pPr>
              <w:spacing w:after="40"/>
            </w:pPr>
            <w:r>
              <w:rPr>
                <w:b w:val="false"/>
                <w:bCs w:val="false"/>
                <w:sz w:val="19"/>
                <w:szCs w:val="19"/>
              </w:rPr>
              <w:t xml:space="preserve">Revenue uncertainty</w:t>
            </w:r>
          </w:p>
        </w:tc>
        <w:tc>
          <w:tcPr>
            <w:tcW w:type="dxa" w:w="4333"/>
            <w:tcMar>
              <w:top w:type="dxa" w:w="60"/>
              <w:left w:type="dxa" w:w="90"/>
              <w:bottom w:type="dxa" w:w="60"/>
              <w:right w:type="dxa" w:w="90"/>
            </w:tcMar>
          </w:tcPr>
          <w:p>
            <w:pPr>
              <w:spacing w:after="40"/>
            </w:pPr>
            <w:r>
              <w:rPr>
                <w:b w:val="false"/>
                <w:bCs w:val="false"/>
                <w:sz w:val="19"/>
                <w:szCs w:val="19"/>
              </w:rPr>
              <w:t xml:space="preserve">Treated as supplementary, not assured</w:t>
            </w:r>
          </w:p>
        </w:tc>
      </w:tr>
    </w:tbl>
    <w:p>
      <w:pPr>
        <w:spacing w:after="80"/>
      </w:pPr>
    </w:p>
    <w:p>
      <w:pPr>
        <w:pStyle w:val="Heading1"/>
        <w:keepNext/>
        <w:spacing w:after="140" w:before="300"/>
      </w:pPr>
      <w:r>
        <w:t xml:space="preserve">13. Five-year plan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179"/>
        <w:gridCol w:w="2179"/>
        <w:gridCol w:w="4668"/>
      </w:tblGrid>
      <w:tr>
        <w:trPr>
          <w:tblHeader/>
        </w:trPr>
        <w:tc>
          <w:tcPr>
            <w:tcW w:type="dxa" w:w="2179"/>
            <w:shd w:fill="EAF1EE" w:color="auto" w:val="clear"/>
            <w:tcMar>
              <w:top w:type="dxa" w:w="60"/>
              <w:left w:type="dxa" w:w="90"/>
              <w:bottom w:type="dxa" w:w="60"/>
              <w:right w:type="dxa" w:w="90"/>
            </w:tcMar>
          </w:tcPr>
          <w:p>
            <w:pPr>
              <w:spacing w:after="40"/>
            </w:pPr>
            <w:r>
              <w:rPr>
                <w:b/>
                <w:bCs/>
                <w:sz w:val="19"/>
                <w:szCs w:val="19"/>
              </w:rPr>
              <w:t xml:space="preserve">Period</w:t>
            </w:r>
          </w:p>
        </w:tc>
        <w:tc>
          <w:tcPr>
            <w:tcW w:type="dxa" w:w="2179"/>
            <w:shd w:fill="EAF1EE" w:color="auto" w:val="clear"/>
            <w:tcMar>
              <w:top w:type="dxa" w:w="60"/>
              <w:left w:type="dxa" w:w="90"/>
              <w:bottom w:type="dxa" w:w="60"/>
              <w:right w:type="dxa" w:w="90"/>
            </w:tcMar>
          </w:tcPr>
          <w:p>
            <w:pPr>
              <w:spacing w:after="40"/>
            </w:pPr>
            <w:r>
              <w:rPr>
                <w:b/>
                <w:bCs/>
                <w:sz w:val="19"/>
                <w:szCs w:val="19"/>
              </w:rPr>
              <w:t xml:space="preserve">Focus</w:t>
            </w:r>
          </w:p>
        </w:tc>
        <w:tc>
          <w:tcPr>
            <w:tcW w:type="dxa" w:w="4668"/>
            <w:shd w:fill="EAF1EE" w:color="auto" w:val="clear"/>
            <w:tcMar>
              <w:top w:type="dxa" w:w="60"/>
              <w:left w:type="dxa" w:w="90"/>
              <w:bottom w:type="dxa" w:w="60"/>
              <w:right w:type="dxa" w:w="90"/>
            </w:tcMar>
          </w:tcPr>
          <w:p>
            <w:pPr>
              <w:spacing w:after="40"/>
            </w:pPr>
            <w:r>
              <w:rPr>
                <w:b/>
                <w:bCs/>
                <w:sz w:val="19"/>
                <w:szCs w:val="19"/>
              </w:rPr>
              <w:t xml:space="preserve">Key activities</w:t>
            </w:r>
          </w:p>
        </w:tc>
      </w:tr>
      <w:tr>
        <w:trPr>
          <w:cantSplit/>
        </w:trPr>
        <w:tc>
          <w:tcPr>
            <w:tcW w:type="dxa" w:w="2179"/>
            <w:tcMar>
              <w:top w:type="dxa" w:w="60"/>
              <w:left w:type="dxa" w:w="90"/>
              <w:bottom w:type="dxa" w:w="60"/>
              <w:right w:type="dxa" w:w="90"/>
            </w:tcMar>
          </w:tcPr>
          <w:p>
            <w:pPr>
              <w:spacing w:after="40"/>
            </w:pPr>
            <w:r>
              <w:rPr>
                <w:b w:val="false"/>
                <w:bCs w:val="false"/>
                <w:sz w:val="19"/>
                <w:szCs w:val="19"/>
              </w:rPr>
              <w:t xml:space="preserve">Year 1 — establish the hub</w:t>
            </w:r>
            <w:r>
              <w:rPr>
                <w:b w:val="false"/>
                <w:bCs w:val="false"/>
                <w:sz w:val="19"/>
                <w:szCs w:val="19"/>
              </w:rPr>
              <w:t xml:space="preserve"> (CSR grant)</w:t>
            </w:r>
          </w:p>
        </w:tc>
        <w:tc>
          <w:tcPr>
            <w:tcW w:type="dxa" w:w="2179"/>
            <w:tcMar>
              <w:top w:type="dxa" w:w="60"/>
              <w:left w:type="dxa" w:w="90"/>
              <w:bottom w:type="dxa" w:w="60"/>
              <w:right w:type="dxa" w:w="90"/>
            </w:tcMar>
          </w:tcPr>
          <w:p>
            <w:pPr>
              <w:spacing w:after="40"/>
            </w:pPr>
            <w:r>
              <w:rPr>
                <w:b w:val="false"/>
                <w:bCs w:val="false"/>
                <w:sz w:val="19"/>
                <w:szCs w:val="19"/>
              </w:rPr>
              <w:t xml:space="preserve">A functioning demonstration and women-led enterprise</w:t>
            </w:r>
          </w:p>
        </w:tc>
        <w:tc>
          <w:tcPr>
            <w:tcW w:type="dxa" w:w="4668"/>
            <w:tcMar>
              <w:top w:type="dxa" w:w="60"/>
              <w:left w:type="dxa" w:w="90"/>
              <w:bottom w:type="dxa" w:w="60"/>
              <w:right w:type="dxa" w:w="90"/>
            </w:tcMar>
          </w:tcPr>
          <w:p>
            <w:pPr>
              <w:spacing w:after="40"/>
            </w:pPr>
            <w:r>
              <w:rPr>
                <w:b w:val="false"/>
                <w:bCs w:val="false"/>
                <w:sz w:val="19"/>
                <w:szCs w:val="19"/>
              </w:rPr>
              <w:t xml:space="preserve">Baseline; land and permissions; soil and water assessment; nursery; first crop cycle; woody, fruit and fodder planting with the 2027 monsoon; training; primary processing; first offtake; VanaGram OS live; PBR updated</w:t>
            </w:r>
          </w:p>
        </w:tc>
      </w:tr>
      <w:tr>
        <w:trPr>
          <w:cantSplit/>
        </w:trPr>
        <w:tc>
          <w:tcPr>
            <w:tcW w:type="dxa" w:w="2179"/>
            <w:tcMar>
              <w:top w:type="dxa" w:w="60"/>
              <w:left w:type="dxa" w:w="90"/>
              <w:bottom w:type="dxa" w:w="60"/>
              <w:right w:type="dxa" w:w="90"/>
            </w:tcMar>
          </w:tcPr>
          <w:p>
            <w:pPr>
              <w:spacing w:after="40"/>
            </w:pPr>
            <w:r>
              <w:rPr>
                <w:b w:val="false"/>
                <w:bCs w:val="false"/>
                <w:sz w:val="19"/>
                <w:szCs w:val="19"/>
              </w:rPr>
              <w:t xml:space="preserve">Years 2–3 — serve the cluster</w:t>
            </w:r>
          </w:p>
        </w:tc>
        <w:tc>
          <w:tcPr>
            <w:tcW w:type="dxa" w:w="2179"/>
            <w:tcMar>
              <w:top w:type="dxa" w:w="60"/>
              <w:left w:type="dxa" w:w="90"/>
              <w:bottom w:type="dxa" w:w="60"/>
              <w:right w:type="dxa" w:w="90"/>
            </w:tcMar>
          </w:tcPr>
          <w:p>
            <w:pPr>
              <w:spacing w:after="40"/>
            </w:pPr>
            <w:r>
              <w:rPr>
                <w:b w:val="false"/>
                <w:bCs w:val="false"/>
                <w:sz w:val="19"/>
                <w:szCs w:val="19"/>
              </w:rPr>
              <w:t xml:space="preserve">Supply and extension across Katol block</w:t>
            </w:r>
          </w:p>
        </w:tc>
        <w:tc>
          <w:tcPr>
            <w:tcW w:type="dxa" w:w="4668"/>
            <w:tcMar>
              <w:top w:type="dxa" w:w="60"/>
              <w:left w:type="dxa" w:w="90"/>
              <w:bottom w:type="dxa" w:w="60"/>
              <w:right w:type="dxa" w:w="90"/>
            </w:tcMar>
          </w:tcPr>
          <w:p>
            <w:pPr>
              <w:spacing w:after="40"/>
            </w:pPr>
            <w:r>
              <w:rPr>
                <w:b w:val="false"/>
                <w:bCs w:val="false"/>
                <w:sz w:val="19"/>
                <w:szCs w:val="19"/>
              </w:rPr>
              <w:t xml:space="preserve">Nursery supplies neighbouring panchayats and VB-G RAM G works; Van Sakhi train cluster cadres; buyer agreements; quality protocols; digital crop records; biodiversity and carbon monitoring</w:t>
            </w:r>
          </w:p>
        </w:tc>
      </w:tr>
      <w:tr>
        <w:trPr>
          <w:cantSplit/>
        </w:trPr>
        <w:tc>
          <w:tcPr>
            <w:tcW w:type="dxa" w:w="2179"/>
            <w:tcMar>
              <w:top w:type="dxa" w:w="60"/>
              <w:left w:type="dxa" w:w="90"/>
              <w:bottom w:type="dxa" w:w="60"/>
              <w:right w:type="dxa" w:w="90"/>
            </w:tcMar>
          </w:tcPr>
          <w:p>
            <w:pPr>
              <w:spacing w:after="40"/>
            </w:pPr>
            <w:r>
              <w:rPr>
                <w:b w:val="false"/>
                <w:bCs w:val="false"/>
                <w:sz w:val="19"/>
                <w:szCs w:val="19"/>
              </w:rPr>
              <w:t xml:space="preserve">Years 4–5 — enterprise and replication</w:t>
            </w:r>
          </w:p>
        </w:tc>
        <w:tc>
          <w:tcPr>
            <w:tcW w:type="dxa" w:w="2179"/>
            <w:tcMar>
              <w:top w:type="dxa" w:w="60"/>
              <w:left w:type="dxa" w:w="90"/>
              <w:bottom w:type="dxa" w:w="60"/>
              <w:right w:type="dxa" w:w="90"/>
            </w:tcMar>
          </w:tcPr>
          <w:p>
            <w:pPr>
              <w:spacing w:after="40"/>
            </w:pPr>
            <w:r>
              <w:rPr>
                <w:b w:val="false"/>
                <w:bCs w:val="false"/>
                <w:sz w:val="19"/>
                <w:szCs w:val="19"/>
              </w:rPr>
              <w:t xml:space="preserve">A financially sustainable enterprise and a State-ready model</w:t>
            </w:r>
          </w:p>
        </w:tc>
        <w:tc>
          <w:tcPr>
            <w:tcW w:type="dxa" w:w="4668"/>
            <w:tcMar>
              <w:top w:type="dxa" w:w="60"/>
              <w:left w:type="dxa" w:w="90"/>
              <w:bottom w:type="dxa" w:w="60"/>
              <w:right w:type="dxa" w:w="90"/>
            </w:tcMar>
          </w:tcPr>
          <w:p>
            <w:pPr>
              <w:spacing w:after="40"/>
            </w:pPr>
            <w:r>
              <w:rPr>
                <w:b w:val="false"/>
                <w:bCs w:val="false"/>
                <w:sz w:val="19"/>
                <w:szCs w:val="19"/>
              </w:rPr>
              <w:t xml:space="preserve">Scale and diversify species; processing and branding where permissible; certification; carbon and biodiversity accounting; independent assessment; replication package for other talukas</w:t>
            </w:r>
          </w:p>
        </w:tc>
      </w:tr>
    </w:tbl>
    <w:p>
      <w:pPr>
        <w:spacing w:after="8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25"/>
        <w:gridCol w:w="1873"/>
        <w:gridCol w:w="2214"/>
        <w:gridCol w:w="2214"/>
      </w:tblGrid>
      <w:tr>
        <w:trPr>
          <w:tblHeader/>
        </w:trPr>
        <w:tc>
          <w:tcPr>
            <w:tcW w:type="dxa" w:w="2725"/>
            <w:shd w:fill="EAF1EE" w:color="auto" w:val="clear"/>
            <w:tcMar>
              <w:top w:type="dxa" w:w="60"/>
              <w:left w:type="dxa" w:w="90"/>
              <w:bottom w:type="dxa" w:w="60"/>
              <w:right w:type="dxa" w:w="90"/>
            </w:tcMar>
          </w:tcPr>
          <w:p>
            <w:pPr>
              <w:spacing w:after="40"/>
            </w:pPr>
            <w:r>
              <w:rPr>
                <w:b/>
                <w:bCs/>
                <w:sz w:val="19"/>
                <w:szCs w:val="19"/>
              </w:rPr>
              <w:t xml:space="preserve">Indicator</w:t>
            </w:r>
          </w:p>
        </w:tc>
        <w:tc>
          <w:tcPr>
            <w:tcW w:type="dxa" w:w="1873"/>
            <w:shd w:fill="EAF1EE" w:color="auto" w:val="clear"/>
            <w:tcMar>
              <w:top w:type="dxa" w:w="60"/>
              <w:left w:type="dxa" w:w="90"/>
              <w:bottom w:type="dxa" w:w="60"/>
              <w:right w:type="dxa" w:w="90"/>
            </w:tcMar>
          </w:tcPr>
          <w:p>
            <w:pPr>
              <w:spacing w:after="40"/>
            </w:pPr>
            <w:r>
              <w:rPr>
                <w:b/>
                <w:bCs/>
                <w:sz w:val="19"/>
                <w:szCs w:val="19"/>
              </w:rPr>
              <w:t xml:space="preserve">Year 1</w:t>
            </w:r>
          </w:p>
        </w:tc>
        <w:tc>
          <w:tcPr>
            <w:tcW w:type="dxa" w:w="2214"/>
            <w:shd w:fill="EAF1EE" w:color="auto" w:val="clear"/>
            <w:tcMar>
              <w:top w:type="dxa" w:w="60"/>
              <w:left w:type="dxa" w:w="90"/>
              <w:bottom w:type="dxa" w:w="60"/>
              <w:right w:type="dxa" w:w="90"/>
            </w:tcMar>
          </w:tcPr>
          <w:p>
            <w:pPr>
              <w:spacing w:after="40"/>
            </w:pPr>
            <w:r>
              <w:rPr>
                <w:b/>
                <w:bCs/>
                <w:sz w:val="19"/>
                <w:szCs w:val="19"/>
              </w:rPr>
              <w:t xml:space="preserve">Years 2–3</w:t>
            </w:r>
          </w:p>
        </w:tc>
        <w:tc>
          <w:tcPr>
            <w:tcW w:type="dxa" w:w="2214"/>
            <w:shd w:fill="EAF1EE" w:color="auto" w:val="clear"/>
            <w:tcMar>
              <w:top w:type="dxa" w:w="60"/>
              <w:left w:type="dxa" w:w="90"/>
              <w:bottom w:type="dxa" w:w="60"/>
              <w:right w:type="dxa" w:w="90"/>
            </w:tcMar>
          </w:tcPr>
          <w:p>
            <w:pPr>
              <w:spacing w:after="40"/>
            </w:pPr>
            <w:r>
              <w:rPr>
                <w:b/>
                <w:bCs/>
                <w:sz w:val="19"/>
                <w:szCs w:val="19"/>
              </w:rPr>
              <w:t xml:space="preserve">Years 4–5</w:t>
            </w:r>
          </w:p>
        </w:tc>
      </w:tr>
      <w:tr>
        <w:trPr>
          <w:cantSplit/>
        </w:trPr>
        <w:tc>
          <w:tcPr>
            <w:tcW w:type="dxa" w:w="2725"/>
            <w:tcMar>
              <w:top w:type="dxa" w:w="60"/>
              <w:left w:type="dxa" w:w="90"/>
              <w:bottom w:type="dxa" w:w="60"/>
              <w:right w:type="dxa" w:w="90"/>
            </w:tcMar>
          </w:tcPr>
          <w:p>
            <w:pPr>
              <w:spacing w:after="40"/>
            </w:pPr>
            <w:r>
              <w:rPr>
                <w:b w:val="false"/>
                <w:bCs w:val="false"/>
                <w:sz w:val="19"/>
                <w:szCs w:val="19"/>
              </w:rPr>
              <w:t xml:space="preserve">Women engaged</w:t>
            </w:r>
          </w:p>
        </w:tc>
        <w:tc>
          <w:tcPr>
            <w:tcW w:type="dxa" w:w="1873"/>
            <w:tcMar>
              <w:top w:type="dxa" w:w="60"/>
              <w:left w:type="dxa" w:w="90"/>
              <w:bottom w:type="dxa" w:w="60"/>
              <w:right w:type="dxa" w:w="90"/>
            </w:tcMar>
          </w:tcPr>
          <w:p>
            <w:pPr>
              <w:spacing w:after="40"/>
            </w:pPr>
            <w:r>
              <w:rPr>
                <w:b w:val="false"/>
                <w:bCs w:val="false"/>
                <w:sz w:val="19"/>
                <w:szCs w:val="19"/>
              </w:rPr>
              <w:t xml:space="preserve">30–50</w:t>
            </w:r>
          </w:p>
        </w:tc>
        <w:tc>
          <w:tcPr>
            <w:tcW w:type="dxa" w:w="2214"/>
            <w:tcMar>
              <w:top w:type="dxa" w:w="60"/>
              <w:left w:type="dxa" w:w="90"/>
              <w:bottom w:type="dxa" w:w="60"/>
              <w:right w:type="dxa" w:w="90"/>
            </w:tcMar>
          </w:tcPr>
          <w:p>
            <w:pPr>
              <w:spacing w:after="40"/>
            </w:pPr>
            <w:r>
              <w:rPr>
                <w:b w:val="false"/>
                <w:bCs w:val="false"/>
                <w:sz w:val="19"/>
                <w:szCs w:val="19"/>
              </w:rPr>
              <w:t xml:space="preserve">75–150</w:t>
            </w:r>
          </w:p>
        </w:tc>
        <w:tc>
          <w:tcPr>
            <w:tcW w:type="dxa" w:w="2214"/>
            <w:tcMar>
              <w:top w:type="dxa" w:w="60"/>
              <w:left w:type="dxa" w:w="90"/>
              <w:bottom w:type="dxa" w:w="60"/>
              <w:right w:type="dxa" w:w="90"/>
            </w:tcMar>
          </w:tcPr>
          <w:p>
            <w:pPr>
              <w:spacing w:after="40"/>
            </w:pPr>
            <w:r>
              <w:rPr>
                <w:b w:val="false"/>
                <w:bCs w:val="false"/>
                <w:sz w:val="19"/>
                <w:szCs w:val="19"/>
              </w:rPr>
              <w:t xml:space="preserve">150+</w:t>
            </w:r>
          </w:p>
        </w:tc>
      </w:tr>
      <w:tr>
        <w:trPr>
          <w:cantSplit/>
        </w:trPr>
        <w:tc>
          <w:tcPr>
            <w:tcW w:type="dxa" w:w="2725"/>
            <w:tcMar>
              <w:top w:type="dxa" w:w="60"/>
              <w:left w:type="dxa" w:w="90"/>
              <w:bottom w:type="dxa" w:w="60"/>
              <w:right w:type="dxa" w:w="90"/>
            </w:tcMar>
          </w:tcPr>
          <w:p>
            <w:pPr>
              <w:spacing w:after="40"/>
            </w:pPr>
            <w:r>
              <w:rPr>
                <w:b w:val="false"/>
                <w:bCs w:val="false"/>
                <w:sz w:val="19"/>
                <w:szCs w:val="19"/>
              </w:rPr>
              <w:t xml:space="preserve">Nursery</w:t>
            </w:r>
          </w:p>
        </w:tc>
        <w:tc>
          <w:tcPr>
            <w:tcW w:type="dxa" w:w="1873"/>
            <w:tcMar>
              <w:top w:type="dxa" w:w="60"/>
              <w:left w:type="dxa" w:w="90"/>
              <w:bottom w:type="dxa" w:w="60"/>
              <w:right w:type="dxa" w:w="90"/>
            </w:tcMar>
          </w:tcPr>
          <w:p>
            <w:pPr>
              <w:spacing w:after="40"/>
            </w:pPr>
            <w:r>
              <w:rPr>
                <w:b w:val="false"/>
                <w:bCs w:val="false"/>
                <w:sz w:val="19"/>
                <w:szCs w:val="19"/>
              </w:rPr>
              <w:t xml:space="preserve">Established</w:t>
            </w:r>
          </w:p>
        </w:tc>
        <w:tc>
          <w:tcPr>
            <w:tcW w:type="dxa" w:w="2214"/>
            <w:tcMar>
              <w:top w:type="dxa" w:w="60"/>
              <w:left w:type="dxa" w:w="90"/>
              <w:bottom w:type="dxa" w:w="60"/>
              <w:right w:type="dxa" w:w="90"/>
            </w:tcMar>
          </w:tcPr>
          <w:p>
            <w:pPr>
              <w:spacing w:after="40"/>
            </w:pPr>
            <w:r>
              <w:rPr>
                <w:b w:val="false"/>
                <w:bCs w:val="false"/>
                <w:sz w:val="19"/>
                <w:szCs w:val="19"/>
              </w:rPr>
              <w:t xml:space="preserve">Supplying the cluster</w:t>
            </w:r>
          </w:p>
        </w:tc>
        <w:tc>
          <w:tcPr>
            <w:tcW w:type="dxa" w:w="2214"/>
            <w:tcMar>
              <w:top w:type="dxa" w:w="60"/>
              <w:left w:type="dxa" w:w="90"/>
              <w:bottom w:type="dxa" w:w="60"/>
              <w:right w:type="dxa" w:w="90"/>
            </w:tcMar>
          </w:tcPr>
          <w:p>
            <w:pPr>
              <w:spacing w:after="40"/>
            </w:pPr>
            <w:r>
              <w:rPr>
                <w:b w:val="false"/>
                <w:bCs w:val="false"/>
                <w:sz w:val="19"/>
                <w:szCs w:val="19"/>
              </w:rPr>
              <w:t xml:space="preserve">Sustainable enterprise</w:t>
            </w:r>
          </w:p>
        </w:tc>
      </w:tr>
      <w:tr>
        <w:trPr>
          <w:cantSplit/>
        </w:trPr>
        <w:tc>
          <w:tcPr>
            <w:tcW w:type="dxa" w:w="2725"/>
            <w:tcMar>
              <w:top w:type="dxa" w:w="60"/>
              <w:left w:type="dxa" w:w="90"/>
              <w:bottom w:type="dxa" w:w="60"/>
              <w:right w:type="dxa" w:w="90"/>
            </w:tcMar>
          </w:tcPr>
          <w:p>
            <w:pPr>
              <w:spacing w:after="40"/>
            </w:pPr>
            <w:r>
              <w:rPr>
                <w:b w:val="false"/>
                <w:bCs w:val="false"/>
                <w:sz w:val="19"/>
                <w:szCs w:val="19"/>
              </w:rPr>
              <w:t xml:space="preserve">Medicinal cultivation</w:t>
            </w:r>
          </w:p>
        </w:tc>
        <w:tc>
          <w:tcPr>
            <w:tcW w:type="dxa" w:w="1873"/>
            <w:tcMar>
              <w:top w:type="dxa" w:w="60"/>
              <w:left w:type="dxa" w:w="90"/>
              <w:bottom w:type="dxa" w:w="60"/>
              <w:right w:type="dxa" w:w="90"/>
            </w:tcMar>
          </w:tcPr>
          <w:p>
            <w:pPr>
              <w:spacing w:after="40"/>
            </w:pPr>
            <w:r>
              <w:rPr>
                <w:b w:val="false"/>
                <w:bCs w:val="false"/>
                <w:sz w:val="19"/>
                <w:szCs w:val="19"/>
              </w:rPr>
              <w:t xml:space="preserve">Pilot</w:t>
            </w:r>
          </w:p>
        </w:tc>
        <w:tc>
          <w:tcPr>
            <w:tcW w:type="dxa" w:w="2214"/>
            <w:tcMar>
              <w:top w:type="dxa" w:w="60"/>
              <w:left w:type="dxa" w:w="90"/>
              <w:bottom w:type="dxa" w:w="60"/>
              <w:right w:type="dxa" w:w="90"/>
            </w:tcMar>
          </w:tcPr>
          <w:p>
            <w:pPr>
              <w:spacing w:after="40"/>
            </w:pPr>
            <w:r>
              <w:rPr>
                <w:b w:val="false"/>
                <w:bCs w:val="false"/>
                <w:sz w:val="19"/>
                <w:szCs w:val="19"/>
              </w:rPr>
              <w:t xml:space="preserve">Expanded</w:t>
            </w:r>
          </w:p>
        </w:tc>
        <w:tc>
          <w:tcPr>
            <w:tcW w:type="dxa" w:w="2214"/>
            <w:tcMar>
              <w:top w:type="dxa" w:w="60"/>
              <w:left w:type="dxa" w:w="90"/>
              <w:bottom w:type="dxa" w:w="60"/>
              <w:right w:type="dxa" w:w="90"/>
            </w:tcMar>
          </w:tcPr>
          <w:p>
            <w:pPr>
              <w:spacing w:after="40"/>
            </w:pPr>
            <w:r>
              <w:rPr>
                <w:b w:val="false"/>
                <w:bCs w:val="false"/>
                <w:sz w:val="19"/>
                <w:szCs w:val="19"/>
              </w:rPr>
              <w:t xml:space="preserve">Scaled</w:t>
            </w:r>
          </w:p>
        </w:tc>
      </w:tr>
      <w:tr>
        <w:trPr>
          <w:cantSplit/>
        </w:trPr>
        <w:tc>
          <w:tcPr>
            <w:tcW w:type="dxa" w:w="2725"/>
            <w:tcMar>
              <w:top w:type="dxa" w:w="60"/>
              <w:left w:type="dxa" w:w="90"/>
              <w:bottom w:type="dxa" w:w="60"/>
              <w:right w:type="dxa" w:w="90"/>
            </w:tcMar>
          </w:tcPr>
          <w:p>
            <w:pPr>
              <w:spacing w:after="40"/>
            </w:pPr>
            <w:r>
              <w:rPr>
                <w:b w:val="false"/>
                <w:bCs w:val="false"/>
                <w:sz w:val="19"/>
                <w:szCs w:val="19"/>
              </w:rPr>
              <w:t xml:space="preserve">Fodder</w:t>
            </w:r>
          </w:p>
        </w:tc>
        <w:tc>
          <w:tcPr>
            <w:tcW w:type="dxa" w:w="1873"/>
            <w:tcMar>
              <w:top w:type="dxa" w:w="60"/>
              <w:left w:type="dxa" w:w="90"/>
              <w:bottom w:type="dxa" w:w="60"/>
              <w:right w:type="dxa" w:w="90"/>
            </w:tcMar>
          </w:tcPr>
          <w:p>
            <w:pPr>
              <w:spacing w:after="40"/>
            </w:pPr>
            <w:r>
              <w:rPr>
                <w:b w:val="false"/>
                <w:bCs w:val="false"/>
                <w:sz w:val="19"/>
                <w:szCs w:val="19"/>
              </w:rPr>
              <w:t xml:space="preserve">Demonstration</w:t>
            </w:r>
          </w:p>
        </w:tc>
        <w:tc>
          <w:tcPr>
            <w:tcW w:type="dxa" w:w="2214"/>
            <w:tcMar>
              <w:top w:type="dxa" w:w="60"/>
              <w:left w:type="dxa" w:w="90"/>
              <w:bottom w:type="dxa" w:w="60"/>
              <w:right w:type="dxa" w:w="90"/>
            </w:tcMar>
          </w:tcPr>
          <w:p>
            <w:pPr>
              <w:spacing w:after="40"/>
            </w:pPr>
            <w:r>
              <w:rPr>
                <w:b w:val="false"/>
                <w:bCs w:val="false"/>
                <w:sz w:val="19"/>
                <w:szCs w:val="19"/>
              </w:rPr>
              <w:t xml:space="preserve">Expansion</w:t>
            </w:r>
          </w:p>
        </w:tc>
        <w:tc>
          <w:tcPr>
            <w:tcW w:type="dxa" w:w="2214"/>
            <w:tcMar>
              <w:top w:type="dxa" w:w="60"/>
              <w:left w:type="dxa" w:w="90"/>
              <w:bottom w:type="dxa" w:w="60"/>
              <w:right w:type="dxa" w:w="90"/>
            </w:tcMar>
          </w:tcPr>
          <w:p>
            <w:pPr>
              <w:spacing w:after="40"/>
            </w:pPr>
            <w:r>
              <w:rPr>
                <w:b w:val="false"/>
                <w:bCs w:val="false"/>
                <w:sz w:val="19"/>
                <w:szCs w:val="19"/>
              </w:rPr>
              <w:t xml:space="preserve">Village-level coverage</w:t>
            </w:r>
          </w:p>
        </w:tc>
      </w:tr>
      <w:tr>
        <w:trPr>
          <w:cantSplit/>
        </w:trPr>
        <w:tc>
          <w:tcPr>
            <w:tcW w:type="dxa" w:w="2725"/>
            <w:tcMar>
              <w:top w:type="dxa" w:w="60"/>
              <w:left w:type="dxa" w:w="90"/>
              <w:bottom w:type="dxa" w:w="60"/>
              <w:right w:type="dxa" w:w="90"/>
            </w:tcMar>
          </w:tcPr>
          <w:p>
            <w:pPr>
              <w:spacing w:after="40"/>
            </w:pPr>
            <w:r>
              <w:rPr>
                <w:b w:val="false"/>
                <w:bCs w:val="false"/>
                <w:sz w:val="19"/>
                <w:szCs w:val="19"/>
              </w:rPr>
              <w:t xml:space="preserve">Woody plantation</w:t>
            </w:r>
          </w:p>
        </w:tc>
        <w:tc>
          <w:tcPr>
            <w:tcW w:type="dxa" w:w="1873"/>
            <w:tcMar>
              <w:top w:type="dxa" w:w="60"/>
              <w:left w:type="dxa" w:w="90"/>
              <w:bottom w:type="dxa" w:w="60"/>
              <w:right w:type="dxa" w:w="90"/>
            </w:tcMar>
          </w:tcPr>
          <w:p>
            <w:pPr>
              <w:spacing w:after="40"/>
            </w:pPr>
            <w:r>
              <w:rPr>
                <w:b w:val="false"/>
                <w:bCs w:val="false"/>
                <w:sz w:val="19"/>
                <w:szCs w:val="19"/>
              </w:rPr>
              <w:t xml:space="preserve">Established</w:t>
            </w:r>
          </w:p>
        </w:tc>
        <w:tc>
          <w:tcPr>
            <w:tcW w:type="dxa" w:w="2214"/>
            <w:tcMar>
              <w:top w:type="dxa" w:w="60"/>
              <w:left w:type="dxa" w:w="90"/>
              <w:bottom w:type="dxa" w:w="60"/>
              <w:right w:type="dxa" w:w="90"/>
            </w:tcMar>
          </w:tcPr>
          <w:p>
            <w:pPr>
              <w:spacing w:after="40"/>
            </w:pPr>
            <w:r>
              <w:rPr>
                <w:b w:val="false"/>
                <w:bCs w:val="false"/>
                <w:sz w:val="19"/>
                <w:szCs w:val="19"/>
              </w:rPr>
              <w:t xml:space="preserve">Expanded</w:t>
            </w:r>
          </w:p>
        </w:tc>
        <w:tc>
          <w:tcPr>
            <w:tcW w:type="dxa" w:w="2214"/>
            <w:tcMar>
              <w:top w:type="dxa" w:w="60"/>
              <w:left w:type="dxa" w:w="90"/>
              <w:bottom w:type="dxa" w:w="60"/>
              <w:right w:type="dxa" w:w="90"/>
            </w:tcMar>
          </w:tcPr>
          <w:p>
            <w:pPr>
              <w:spacing w:after="40"/>
            </w:pPr>
            <w:r>
              <w:rPr>
                <w:b w:val="false"/>
                <w:bCs w:val="false"/>
                <w:sz w:val="19"/>
                <w:szCs w:val="19"/>
              </w:rPr>
              <w:t xml:space="preserve">Maintained</w:t>
            </w:r>
          </w:p>
        </w:tc>
      </w:tr>
      <w:tr>
        <w:trPr>
          <w:cantSplit/>
        </w:trPr>
        <w:tc>
          <w:tcPr>
            <w:tcW w:type="dxa" w:w="2725"/>
            <w:tcMar>
              <w:top w:type="dxa" w:w="60"/>
              <w:left w:type="dxa" w:w="90"/>
              <w:bottom w:type="dxa" w:w="60"/>
              <w:right w:type="dxa" w:w="90"/>
            </w:tcMar>
          </w:tcPr>
          <w:p>
            <w:pPr>
              <w:spacing w:after="40"/>
            </w:pPr>
            <w:r>
              <w:rPr>
                <w:b w:val="false"/>
                <w:bCs w:val="false"/>
                <w:sz w:val="19"/>
                <w:szCs w:val="19"/>
              </w:rPr>
              <w:t xml:space="preserve">Processing and market</w:t>
            </w:r>
          </w:p>
        </w:tc>
        <w:tc>
          <w:tcPr>
            <w:tcW w:type="dxa" w:w="1873"/>
            <w:tcMar>
              <w:top w:type="dxa" w:w="60"/>
              <w:left w:type="dxa" w:w="90"/>
              <w:bottom w:type="dxa" w:w="60"/>
              <w:right w:type="dxa" w:w="90"/>
            </w:tcMar>
          </w:tcPr>
          <w:p>
            <w:pPr>
              <w:spacing w:after="40"/>
            </w:pPr>
            <w:r>
              <w:rPr>
                <w:b w:val="false"/>
                <w:bCs w:val="false"/>
                <w:sz w:val="19"/>
                <w:szCs w:val="19"/>
              </w:rPr>
              <w:t xml:space="preserve">Basic; first offtake</w:t>
            </w:r>
          </w:p>
        </w:tc>
        <w:tc>
          <w:tcPr>
            <w:tcW w:type="dxa" w:w="2214"/>
            <w:tcMar>
              <w:top w:type="dxa" w:w="60"/>
              <w:left w:type="dxa" w:w="90"/>
              <w:bottom w:type="dxa" w:w="60"/>
              <w:right w:type="dxa" w:w="90"/>
            </w:tcMar>
          </w:tcPr>
          <w:p>
            <w:pPr>
              <w:spacing w:after="40"/>
            </w:pPr>
            <w:r>
              <w:rPr>
                <w:b w:val="false"/>
                <w:bCs w:val="false"/>
                <w:sz w:val="19"/>
                <w:szCs w:val="19"/>
              </w:rPr>
              <w:t xml:space="preserve">Operational; multiple buyers</w:t>
            </w:r>
          </w:p>
        </w:tc>
        <w:tc>
          <w:tcPr>
            <w:tcW w:type="dxa" w:w="2214"/>
            <w:tcMar>
              <w:top w:type="dxa" w:w="60"/>
              <w:left w:type="dxa" w:w="90"/>
              <w:bottom w:type="dxa" w:w="60"/>
              <w:right w:type="dxa" w:w="90"/>
            </w:tcMar>
          </w:tcPr>
          <w:p>
            <w:pPr>
              <w:spacing w:after="40"/>
            </w:pPr>
            <w:r>
              <w:rPr>
                <w:b w:val="false"/>
                <w:bCs w:val="false"/>
                <w:sz w:val="19"/>
                <w:szCs w:val="19"/>
              </w:rPr>
              <w:t xml:space="preserve">Enterprise level; long-term buyers</w:t>
            </w:r>
          </w:p>
        </w:tc>
      </w:tr>
      <w:tr>
        <w:trPr>
          <w:cantSplit/>
        </w:trPr>
        <w:tc>
          <w:tcPr>
            <w:tcW w:type="dxa" w:w="2725"/>
            <w:tcMar>
              <w:top w:type="dxa" w:w="60"/>
              <w:left w:type="dxa" w:w="90"/>
              <w:bottom w:type="dxa" w:w="60"/>
              <w:right w:type="dxa" w:w="90"/>
            </w:tcMar>
          </w:tcPr>
          <w:p>
            <w:pPr>
              <w:spacing w:after="40"/>
            </w:pPr>
            <w:r>
              <w:rPr>
                <w:b w:val="false"/>
                <w:bCs w:val="false"/>
                <w:sz w:val="19"/>
                <w:szCs w:val="19"/>
              </w:rPr>
              <w:t xml:space="preserve">Carbon and biodiversity</w:t>
            </w:r>
          </w:p>
        </w:tc>
        <w:tc>
          <w:tcPr>
            <w:tcW w:type="dxa" w:w="1873"/>
            <w:tcMar>
              <w:top w:type="dxa" w:w="60"/>
              <w:left w:type="dxa" w:w="90"/>
              <w:bottom w:type="dxa" w:w="60"/>
              <w:right w:type="dxa" w:w="90"/>
            </w:tcMar>
          </w:tcPr>
          <w:p>
            <w:pPr>
              <w:spacing w:after="40"/>
            </w:pPr>
            <w:r>
              <w:rPr>
                <w:b w:val="false"/>
                <w:bCs w:val="false"/>
                <w:sz w:val="19"/>
                <w:szCs w:val="19"/>
              </w:rPr>
              <w:t xml:space="preserve">Baseline</w:t>
            </w:r>
          </w:p>
        </w:tc>
        <w:tc>
          <w:tcPr>
            <w:tcW w:type="dxa" w:w="2214"/>
            <w:tcMar>
              <w:top w:type="dxa" w:w="60"/>
              <w:left w:type="dxa" w:w="90"/>
              <w:bottom w:type="dxa" w:w="60"/>
              <w:right w:type="dxa" w:w="90"/>
            </w:tcMar>
          </w:tcPr>
          <w:p>
            <w:pPr>
              <w:spacing w:after="40"/>
            </w:pPr>
            <w:r>
              <w:rPr>
                <w:b w:val="false"/>
                <w:bCs w:val="false"/>
                <w:sz w:val="19"/>
                <w:szCs w:val="19"/>
              </w:rPr>
              <w:t xml:space="preserve">Monitoring</w:t>
            </w:r>
          </w:p>
        </w:tc>
        <w:tc>
          <w:tcPr>
            <w:tcW w:type="dxa" w:w="2214"/>
            <w:tcMar>
              <w:top w:type="dxa" w:w="60"/>
              <w:left w:type="dxa" w:w="90"/>
              <w:bottom w:type="dxa" w:w="60"/>
              <w:right w:type="dxa" w:w="90"/>
            </w:tcMar>
          </w:tcPr>
          <w:p>
            <w:pPr>
              <w:spacing w:after="40"/>
            </w:pPr>
            <w:r>
              <w:rPr>
                <w:b w:val="false"/>
                <w:bCs w:val="false"/>
                <w:sz w:val="19"/>
                <w:szCs w:val="19"/>
              </w:rPr>
              <w:t xml:space="preserve">Verified assessment where applicable</w:t>
            </w:r>
          </w:p>
        </w:tc>
      </w:tr>
    </w:tbl>
    <w:p>
      <w:pPr>
        <w:spacing w:after="80"/>
      </w:pPr>
    </w:p>
    <w:p>
      <w:pPr>
        <w:spacing w:after="120" w:line="276"/>
        <w:jc w:val="both"/>
      </w:pPr>
      <w:r>
        <w:rPr>
          <w:sz w:val="19"/>
          <w:szCs w:val="19"/>
        </w:rPr>
        <w:t xml:space="preserve">Targets are indicative and will be finalised after the baseline, land availability and technical feasibility.</w:t>
      </w:r>
    </w:p>
    <w:p>
      <w:pPr>
        <w:pStyle w:val="Heading1"/>
        <w:keepNext/>
        <w:spacing w:after="140" w:before="300"/>
      </w:pPr>
      <w:r>
        <w:t xml:space="preserve">14. Year-one priority actions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73"/>
        <w:gridCol w:w="1192"/>
        <w:gridCol w:w="5961"/>
      </w:tblGrid>
      <w:tr>
        <w:trPr>
          <w:tblHeader/>
        </w:trPr>
        <w:tc>
          <w:tcPr>
            <w:tcW w:type="dxa" w:w="1873"/>
            <w:shd w:fill="EAF1EE" w:color="auto" w:val="clear"/>
            <w:tcMar>
              <w:top w:type="dxa" w:w="60"/>
              <w:left w:type="dxa" w:w="90"/>
              <w:bottom w:type="dxa" w:w="60"/>
              <w:right w:type="dxa" w:w="90"/>
            </w:tcMar>
          </w:tcPr>
          <w:p>
            <w:pPr>
              <w:spacing w:after="40"/>
            </w:pPr>
            <w:r>
              <w:rPr>
                <w:b/>
                <w:bCs/>
                <w:sz w:val="19"/>
                <w:szCs w:val="19"/>
              </w:rPr>
              <w:t xml:space="preserve">Phase</w:t>
            </w:r>
          </w:p>
        </w:tc>
        <w:tc>
          <w:tcPr>
            <w:tcW w:type="dxa" w:w="1192"/>
            <w:shd w:fill="EAF1EE" w:color="auto" w:val="clear"/>
            <w:tcMar>
              <w:top w:type="dxa" w:w="60"/>
              <w:left w:type="dxa" w:w="90"/>
              <w:bottom w:type="dxa" w:w="60"/>
              <w:right w:type="dxa" w:w="90"/>
            </w:tcMar>
          </w:tcPr>
          <w:p>
            <w:pPr>
              <w:spacing w:after="40"/>
            </w:pPr>
            <w:r>
              <w:rPr>
                <w:b/>
                <w:bCs/>
                <w:sz w:val="19"/>
                <w:szCs w:val="19"/>
              </w:rPr>
              <w:t xml:space="preserve">Months</w:t>
            </w:r>
          </w:p>
        </w:tc>
        <w:tc>
          <w:tcPr>
            <w:tcW w:type="dxa" w:w="5961"/>
            <w:shd w:fill="EAF1EE" w:color="auto" w:val="clear"/>
            <w:tcMar>
              <w:top w:type="dxa" w:w="60"/>
              <w:left w:type="dxa" w:w="90"/>
              <w:bottom w:type="dxa" w:w="60"/>
              <w:right w:type="dxa" w:w="90"/>
            </w:tcMar>
          </w:tcPr>
          <w:p>
            <w:pPr>
              <w:spacing w:after="40"/>
            </w:pPr>
            <w:r>
              <w:rPr>
                <w:b/>
                <w:bCs/>
                <w:sz w:val="19"/>
                <w:szCs w:val="19"/>
              </w:rPr>
              <w:t xml:space="preserve">Actions</w:t>
            </w:r>
          </w:p>
        </w:tc>
      </w:tr>
      <w:tr>
        <w:trPr>
          <w:cantSplit/>
        </w:trPr>
        <w:tc>
          <w:tcPr>
            <w:tcW w:type="dxa" w:w="1873"/>
            <w:tcMar>
              <w:top w:type="dxa" w:w="60"/>
              <w:left w:type="dxa" w:w="90"/>
              <w:bottom w:type="dxa" w:w="60"/>
              <w:right w:type="dxa" w:w="90"/>
            </w:tcMar>
          </w:tcPr>
          <w:p>
            <w:pPr>
              <w:spacing w:after="40"/>
            </w:pPr>
            <w:r>
              <w:rPr>
                <w:b w:val="false"/>
                <w:bCs w:val="false"/>
                <w:sz w:val="19"/>
                <w:szCs w:val="19"/>
              </w:rPr>
              <w:t xml:space="preserve">Preparation</w:t>
            </w:r>
          </w:p>
        </w:tc>
        <w:tc>
          <w:tcPr>
            <w:tcW w:type="dxa" w:w="1192"/>
            <w:tcMar>
              <w:top w:type="dxa" w:w="60"/>
              <w:left w:type="dxa" w:w="90"/>
              <w:bottom w:type="dxa" w:w="60"/>
              <w:right w:type="dxa" w:w="90"/>
            </w:tcMar>
          </w:tcPr>
          <w:p>
            <w:pPr>
              <w:spacing w:after="40"/>
            </w:pPr>
            <w:r>
              <w:rPr>
                <w:b w:val="false"/>
                <w:bCs w:val="false"/>
                <w:sz w:val="19"/>
                <w:szCs w:val="19"/>
              </w:rPr>
              <w:t xml:space="preserve">1–2</w:t>
            </w:r>
          </w:p>
        </w:tc>
        <w:tc>
          <w:tcPr>
            <w:tcW w:type="dxa" w:w="5961"/>
            <w:tcMar>
              <w:top w:type="dxa" w:w="60"/>
              <w:left w:type="dxa" w:w="90"/>
              <w:bottom w:type="dxa" w:w="60"/>
              <w:right w:type="dxa" w:w="90"/>
            </w:tcMar>
          </w:tcPr>
          <w:p>
            <w:pPr>
              <w:spacing w:after="40"/>
            </w:pPr>
            <w:r>
              <w:rPr>
                <w:b w:val="false"/>
                <w:bCs w:val="false"/>
                <w:sz w:val="19"/>
                <w:szCs w:val="19"/>
              </w:rPr>
              <w:t xml:space="preserve">Gram Panchayat approval and site allocation; land-status verification; baseline; soil and water assessment; Van Sakhi and pilot group identified; plantation plan</w:t>
            </w:r>
          </w:p>
        </w:tc>
      </w:tr>
      <w:tr>
        <w:trPr>
          <w:cantSplit/>
        </w:trPr>
        <w:tc>
          <w:tcPr>
            <w:tcW w:type="dxa" w:w="1873"/>
            <w:tcMar>
              <w:top w:type="dxa" w:w="60"/>
              <w:left w:type="dxa" w:w="90"/>
              <w:bottom w:type="dxa" w:w="60"/>
              <w:right w:type="dxa" w:w="90"/>
            </w:tcMar>
          </w:tcPr>
          <w:p>
            <w:pPr>
              <w:spacing w:after="40"/>
            </w:pPr>
            <w:r>
              <w:rPr>
                <w:b w:val="false"/>
                <w:bCs w:val="false"/>
                <w:sz w:val="19"/>
                <w:szCs w:val="19"/>
              </w:rPr>
              <w:t xml:space="preserve">Nursery</w:t>
            </w:r>
          </w:p>
        </w:tc>
        <w:tc>
          <w:tcPr>
            <w:tcW w:type="dxa" w:w="1192"/>
            <w:tcMar>
              <w:top w:type="dxa" w:w="60"/>
              <w:left w:type="dxa" w:w="90"/>
              <w:bottom w:type="dxa" w:w="60"/>
              <w:right w:type="dxa" w:w="90"/>
            </w:tcMar>
          </w:tcPr>
          <w:p>
            <w:pPr>
              <w:spacing w:after="40"/>
            </w:pPr>
            <w:r>
              <w:rPr>
                <w:b w:val="false"/>
                <w:bCs w:val="false"/>
                <w:sz w:val="19"/>
                <w:szCs w:val="19"/>
              </w:rPr>
              <w:t xml:space="preserve">2–6</w:t>
            </w:r>
          </w:p>
        </w:tc>
        <w:tc>
          <w:tcPr>
            <w:tcW w:type="dxa" w:w="5961"/>
            <w:tcMar>
              <w:top w:type="dxa" w:w="60"/>
              <w:left w:type="dxa" w:w="90"/>
              <w:bottom w:type="dxa" w:w="60"/>
              <w:right w:type="dxa" w:w="90"/>
            </w:tcMar>
          </w:tcPr>
          <w:p>
            <w:pPr>
              <w:spacing w:after="40"/>
            </w:pPr>
            <w:r>
              <w:rPr>
                <w:b w:val="false"/>
                <w:bCs w:val="false"/>
                <w:sz w:val="19"/>
                <w:szCs w:val="19"/>
              </w:rPr>
              <w:t xml:space="preserve">Nursery structures and water; procurement of planting material; propagation and hardening; training</w:t>
            </w:r>
          </w:p>
        </w:tc>
      </w:tr>
      <w:tr>
        <w:trPr>
          <w:cantSplit/>
        </w:trPr>
        <w:tc>
          <w:tcPr>
            <w:tcW w:type="dxa" w:w="1873"/>
            <w:tcMar>
              <w:top w:type="dxa" w:w="60"/>
              <w:left w:type="dxa" w:w="90"/>
              <w:bottom w:type="dxa" w:w="60"/>
              <w:right w:type="dxa" w:w="90"/>
            </w:tcMar>
          </w:tcPr>
          <w:p>
            <w:pPr>
              <w:spacing w:after="40"/>
            </w:pPr>
            <w:r>
              <w:rPr>
                <w:b w:val="false"/>
                <w:bCs w:val="false"/>
                <w:sz w:val="19"/>
                <w:szCs w:val="19"/>
              </w:rPr>
              <w:t xml:space="preserve">Site works</w:t>
            </w:r>
          </w:p>
        </w:tc>
        <w:tc>
          <w:tcPr>
            <w:tcW w:type="dxa" w:w="1192"/>
            <w:tcMar>
              <w:top w:type="dxa" w:w="60"/>
              <w:left w:type="dxa" w:w="90"/>
              <w:bottom w:type="dxa" w:w="60"/>
              <w:right w:type="dxa" w:w="90"/>
            </w:tcMar>
          </w:tcPr>
          <w:p>
            <w:pPr>
              <w:spacing w:after="40"/>
            </w:pPr>
            <w:r>
              <w:rPr>
                <w:b w:val="false"/>
                <w:bCs w:val="false"/>
                <w:sz w:val="19"/>
                <w:szCs w:val="19"/>
              </w:rPr>
              <w:t xml:space="preserve">3–6</w:t>
            </w:r>
          </w:p>
        </w:tc>
        <w:tc>
          <w:tcPr>
            <w:tcW w:type="dxa" w:w="5961"/>
            <w:tcMar>
              <w:top w:type="dxa" w:w="60"/>
              <w:left w:type="dxa" w:w="90"/>
              <w:bottom w:type="dxa" w:w="60"/>
              <w:right w:type="dxa" w:w="90"/>
            </w:tcMar>
          </w:tcPr>
          <w:p>
            <w:pPr>
              <w:spacing w:after="40"/>
            </w:pPr>
            <w:r>
              <w:rPr>
                <w:b w:val="false"/>
                <w:bCs w:val="false"/>
                <w:sz w:val="19"/>
                <w:szCs w:val="19"/>
              </w:rPr>
              <w:t xml:space="preserve">Fencing; drip and storage; land preparation; recharge works through VB-G RAM G</w:t>
            </w:r>
          </w:p>
        </w:tc>
      </w:tr>
      <w:tr>
        <w:trPr>
          <w:cantSplit/>
        </w:trPr>
        <w:tc>
          <w:tcPr>
            <w:tcW w:type="dxa" w:w="1873"/>
            <w:tcMar>
              <w:top w:type="dxa" w:w="60"/>
              <w:left w:type="dxa" w:w="90"/>
              <w:bottom w:type="dxa" w:w="60"/>
              <w:right w:type="dxa" w:w="90"/>
            </w:tcMar>
          </w:tcPr>
          <w:p>
            <w:pPr>
              <w:spacing w:after="40"/>
            </w:pPr>
            <w:r>
              <w:rPr>
                <w:b w:val="false"/>
                <w:bCs w:val="false"/>
                <w:sz w:val="19"/>
                <w:szCs w:val="19"/>
              </w:rPr>
              <w:t xml:space="preserve">Planting</w:t>
            </w:r>
          </w:p>
        </w:tc>
        <w:tc>
          <w:tcPr>
            <w:tcW w:type="dxa" w:w="1192"/>
            <w:tcMar>
              <w:top w:type="dxa" w:w="60"/>
              <w:left w:type="dxa" w:w="90"/>
              <w:bottom w:type="dxa" w:w="60"/>
              <w:right w:type="dxa" w:w="90"/>
            </w:tcMar>
          </w:tcPr>
          <w:p>
            <w:pPr>
              <w:spacing w:after="40"/>
            </w:pPr>
            <w:r>
              <w:rPr>
                <w:b w:val="false"/>
                <w:bCs w:val="false"/>
                <w:sz w:val="19"/>
                <w:szCs w:val="19"/>
              </w:rPr>
              <w:t xml:space="preserve">7–8</w:t>
            </w:r>
          </w:p>
        </w:tc>
        <w:tc>
          <w:tcPr>
            <w:tcW w:type="dxa" w:w="5961"/>
            <w:tcMar>
              <w:top w:type="dxa" w:w="60"/>
              <w:left w:type="dxa" w:w="90"/>
              <w:bottom w:type="dxa" w:w="60"/>
              <w:right w:type="dxa" w:w="90"/>
            </w:tcMar>
          </w:tcPr>
          <w:p>
            <w:pPr>
              <w:spacing w:after="40"/>
            </w:pPr>
            <w:r>
              <w:rPr>
                <w:b w:val="false"/>
                <w:bCs w:val="false"/>
                <w:sz w:val="19"/>
                <w:szCs w:val="19"/>
              </w:rPr>
              <w:t xml:space="preserve">Medicinal, fruit, woody, fodder and bamboo planting with the monsoon</w:t>
            </w:r>
          </w:p>
        </w:tc>
      </w:tr>
      <w:tr>
        <w:trPr>
          <w:cantSplit/>
        </w:trPr>
        <w:tc>
          <w:tcPr>
            <w:tcW w:type="dxa" w:w="1873"/>
            <w:tcMar>
              <w:top w:type="dxa" w:w="60"/>
              <w:left w:type="dxa" w:w="90"/>
              <w:bottom w:type="dxa" w:w="60"/>
              <w:right w:type="dxa" w:w="90"/>
            </w:tcMar>
          </w:tcPr>
          <w:p>
            <w:pPr>
              <w:spacing w:after="40"/>
            </w:pPr>
            <w:r>
              <w:rPr>
                <w:b w:val="false"/>
                <w:bCs w:val="false"/>
                <w:sz w:val="19"/>
                <w:szCs w:val="19"/>
              </w:rPr>
              <w:t xml:space="preserve">Enterprise and market</w:t>
            </w:r>
          </w:p>
        </w:tc>
        <w:tc>
          <w:tcPr>
            <w:tcW w:type="dxa" w:w="1192"/>
            <w:tcMar>
              <w:top w:type="dxa" w:w="60"/>
              <w:left w:type="dxa" w:w="90"/>
              <w:bottom w:type="dxa" w:w="60"/>
              <w:right w:type="dxa" w:w="90"/>
            </w:tcMar>
          </w:tcPr>
          <w:p>
            <w:pPr>
              <w:spacing w:after="40"/>
            </w:pPr>
            <w:r>
              <w:rPr>
                <w:b w:val="false"/>
                <w:bCs w:val="false"/>
                <w:sz w:val="19"/>
                <w:szCs w:val="19"/>
              </w:rPr>
              <w:t xml:space="preserve">6–12</w:t>
            </w:r>
          </w:p>
        </w:tc>
        <w:tc>
          <w:tcPr>
            <w:tcW w:type="dxa" w:w="5961"/>
            <w:tcMar>
              <w:top w:type="dxa" w:w="60"/>
              <w:left w:type="dxa" w:w="90"/>
              <w:bottom w:type="dxa" w:w="60"/>
              <w:right w:type="dxa" w:w="90"/>
            </w:tcMar>
          </w:tcPr>
          <w:p>
            <w:pPr>
              <w:spacing w:after="40"/>
            </w:pPr>
            <w:r>
              <w:rPr>
                <w:b w:val="false"/>
                <w:bCs w:val="false"/>
                <w:sz w:val="19"/>
                <w:szCs w:val="19"/>
              </w:rPr>
              <w:t xml:space="preserve">Harvest of early crops; drying, grading, packing; aggregation; buyer samples and quality testing; first offtake</w:t>
            </w:r>
          </w:p>
        </w:tc>
      </w:tr>
      <w:tr>
        <w:trPr>
          <w:cantSplit/>
        </w:trPr>
        <w:tc>
          <w:tcPr>
            <w:tcW w:type="dxa" w:w="1873"/>
            <w:tcMar>
              <w:top w:type="dxa" w:w="60"/>
              <w:left w:type="dxa" w:w="90"/>
              <w:bottom w:type="dxa" w:w="60"/>
              <w:right w:type="dxa" w:w="90"/>
            </w:tcMar>
          </w:tcPr>
          <w:p>
            <w:pPr>
              <w:spacing w:after="40"/>
            </w:pPr>
            <w:r>
              <w:rPr>
                <w:b w:val="false"/>
                <w:bCs w:val="false"/>
                <w:sz w:val="19"/>
                <w:szCs w:val="19"/>
              </w:rPr>
              <w:t xml:space="preserve">Monitoring</w:t>
            </w:r>
          </w:p>
        </w:tc>
        <w:tc>
          <w:tcPr>
            <w:tcW w:type="dxa" w:w="1192"/>
            <w:tcMar>
              <w:top w:type="dxa" w:w="60"/>
              <w:left w:type="dxa" w:w="90"/>
              <w:bottom w:type="dxa" w:w="60"/>
              <w:right w:type="dxa" w:w="90"/>
            </w:tcMar>
          </w:tcPr>
          <w:p>
            <w:pPr>
              <w:spacing w:after="40"/>
            </w:pPr>
            <w:r>
              <w:rPr>
                <w:b w:val="false"/>
                <w:bCs w:val="false"/>
                <w:sz w:val="19"/>
                <w:szCs w:val="19"/>
              </w:rPr>
              <w:t xml:space="preserve">1–12</w:t>
            </w:r>
          </w:p>
        </w:tc>
        <w:tc>
          <w:tcPr>
            <w:tcW w:type="dxa" w:w="5961"/>
            <w:tcMar>
              <w:top w:type="dxa" w:w="60"/>
              <w:left w:type="dxa" w:w="90"/>
              <w:bottom w:type="dxa" w:w="60"/>
              <w:right w:type="dxa" w:w="90"/>
            </w:tcMar>
          </w:tcPr>
          <w:p>
            <w:pPr>
              <w:spacing w:after="40"/>
            </w:pPr>
            <w:r>
              <w:rPr>
                <w:b w:val="false"/>
                <w:bCs w:val="false"/>
                <w:sz w:val="19"/>
                <w:szCs w:val="19"/>
              </w:rPr>
              <w:t xml:space="preserve">VanaGram OS records; survival; production; income; PBR; carbon and biodiversity baseline</w:t>
            </w:r>
          </w:p>
        </w:tc>
      </w:tr>
    </w:tbl>
    <w:p>
      <w:pPr>
        <w:spacing w:after="80"/>
      </w:pPr>
    </w:p>
    <w:p>
      <w:pPr>
        <w:keepNext/>
      </w:pPr>
    </w:p>
    <w:p>
      <w:pPr>
        <w:pStyle w:val="Heading1"/>
        <w:keepNext/>
        <w:spacing w:after="140" w:before="300"/>
      </w:pPr>
      <w:r>
        <w:t xml:space="preserve">15. Conclusion</w:t>
      </w:r>
    </w:p>
    <w:p>
      <w:pPr>
        <w:keepNext/>
        <w:spacing w:after="120" w:line="276"/>
        <w:jc w:val="both"/>
      </w:pPr>
      <w:r>
        <w:t xml:space="preserve">Project 1 turns suitable village land into a productive community asset, at the moment a drought shows what its absence costs. It combines medicinal plants, agroforestry, fodder, women-led enterprise, market linkage and ecological restoration; it treats biodiversity as infrastructure; and it gives the Katol cluster its nursery and its demonstration. The principle is simple: </w:t>
      </w:r>
      <w:r>
        <w:rPr>
          <w:b/>
          <w:bCs/>
        </w:rPr>
        <w:t xml:space="preserve">grow for livelihoods, plant for the future, restore for resilience.</w:t>
      </w:r>
    </w:p>
    <w:p>
      <w:pPr>
        <w:spacing w:after="120" w:line="276"/>
        <w:jc w:val="center"/>
      </w:pPr>
      <w:r>
        <w:rPr>
          <w:i/>
          <w:iCs/>
          <w:sz w:val="19"/>
          <w:szCs w:val="19"/>
        </w:rPr>
        <w:t xml:space="preserve">Prepared by Ayurvan Foundation with UrjaGram Innovations Pvt Ltd and Gram Panchayat Katlabodi. Discussion draft — not for external circulation.</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Annex D — Project 1: Biodiversity and Medicinal Agroforestry · Discussion draft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4E3D"/>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4E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D — Project 1: Biodiversity and Medicinal Agroforestry</dc:title>
  <dc:creator>UrjaGram Innovations Pvt Ltd</dc:creator>
  <cp:lastModifiedBy>Un-named</cp:lastModifiedBy>
  <cp:revision>1</cp:revision>
  <dcterms:created xsi:type="dcterms:W3CDTF">2026-09-28T06:43:13.675Z</dcterms:created>
  <dcterms:modified xsi:type="dcterms:W3CDTF">2026-09-28T06:43:13.675Z</dcterms:modified>
</cp:coreProperties>
</file>

<file path=docProps/custom.xml><?xml version="1.0" encoding="utf-8"?>
<Properties xmlns="http://schemas.openxmlformats.org/officeDocument/2006/custom-properties" xmlns:vt="http://schemas.openxmlformats.org/officeDocument/2006/docPropsVTypes"/>
</file>