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5A5A5A"/>
          <w:sz w:val="17"/>
          <w:szCs w:val="17"/>
        </w:rPr>
        <w:t xml:space="preserve">PROPOSAL FOR CORPORATE SOCIAL RESPONSIBILITY FUNDING</w:t>
      </w:r>
    </w:p>
    <w:p>
      <w:pPr>
        <w:spacing w:after="120"/>
        <w:jc w:val="center"/>
      </w:pPr>
      <w:r>
        <w:rPr>
          <w:b/>
          <w:bCs/>
          <w:color w:val="1F4E3D"/>
          <w:sz w:val="40"/>
          <w:szCs w:val="40"/>
        </w:rPr>
        <w:t xml:space="preserve">Katlabodi Integrated Village Development Project</w:t>
      </w:r>
    </w:p>
    <w:p>
      <w:pPr>
        <w:pBdr>
          <w:bottom w:val="single" w:color="1F4E3D" w:sz="8" w:space="12"/>
        </w:pBdr>
        <w:spacing w:after="300"/>
        <w:jc w:val="center"/>
      </w:pPr>
      <w:r>
        <w:rPr>
          <w:color w:val="3E3E3E"/>
          <w:sz w:val="24"/>
          <w:szCs w:val="24"/>
        </w:rPr>
        <w:t xml:space="preserve">Drought to resilience — a Gram Panchayat hub for Katol block and a model for Maharashtra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6769"/>
      </w:tblGrid>
      <w:tr>
        <w:trPr>
          <w:cantSplit/>
        </w:trPr>
        <w:tc>
          <w:tcPr>
            <w:tcW w:type="dxa" w:w="2257"/>
            <w:tcMar>
              <w:top w:type="dxa" w:w="60"/>
              <w:left w:type="dxa" w:w="90"/>
              <w:bottom w:type="dxa" w:w="60"/>
              <w:right w:type="dxa" w:w="90"/>
            </w:tcMar>
          </w:tcPr>
          <w:p>
            <w:pPr>
              <w:spacing w:after="40"/>
            </w:pPr>
            <w:r>
              <w:rPr>
                <w:b w:val="false"/>
                <w:bCs w:val="false"/>
                <w:sz w:val="19"/>
                <w:szCs w:val="19"/>
              </w:rPr>
              <w:t xml:space="preserve">Submitted by</w:t>
            </w:r>
          </w:p>
        </w:tc>
        <w:tc>
          <w:tcPr>
            <w:tcW w:type="dxa" w:w="6769"/>
            <w:tcMar>
              <w:top w:type="dxa" w:w="60"/>
              <w:left w:type="dxa" w:w="90"/>
              <w:bottom w:type="dxa" w:w="60"/>
              <w:right w:type="dxa" w:w="90"/>
            </w:tcMar>
          </w:tcPr>
          <w:p>
            <w:pPr>
              <w:spacing w:after="40"/>
            </w:pPr>
            <w:r>
              <w:rPr>
                <w:b w:val="false"/>
                <w:bCs w:val="false"/>
                <w:sz w:val="19"/>
                <w:szCs w:val="19"/>
              </w:rPr>
              <w:t xml:space="preserve">Ayurvan Foundation — registered public trust and society; on-ground implementation lead and grant recipient</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Submitted to</w:t>
            </w:r>
          </w:p>
        </w:tc>
        <w:tc>
          <w:tcPr>
            <w:tcW w:type="dxa" w:w="6769"/>
            <w:tcMar>
              <w:top w:type="dxa" w:w="60"/>
              <w:left w:type="dxa" w:w="90"/>
              <w:bottom w:type="dxa" w:w="60"/>
              <w:right w:type="dxa" w:w="90"/>
            </w:tcMar>
          </w:tcPr>
          <w:p>
            <w:pPr>
              <w:spacing w:after="40"/>
            </w:pPr>
            <w:r>
              <w:rPr>
                <w:b w:val="false"/>
                <w:bCs w:val="false"/>
                <w:sz w:val="19"/>
                <w:szCs w:val="19"/>
              </w:rPr>
              <w:t xml:space="preserve">Mr Manish Satyanarayan Nuwal</w:t>
            </w:r>
          </w:p>
          <w:p>
            <w:pPr>
              <w:spacing w:after="40"/>
            </w:pPr>
            <w:r>
              <w:rPr>
                <w:b w:val="false"/>
                <w:bCs w:val="false"/>
                <w:sz w:val="19"/>
                <w:szCs w:val="19"/>
              </w:rPr>
              <w:t xml:space="preserve">Managing Director &amp; CEO</w:t>
            </w:r>
          </w:p>
          <w:p>
            <w:pPr>
              <w:spacing w:after="40"/>
            </w:pPr>
            <w:r>
              <w:rPr>
                <w:b w:val="false"/>
                <w:bCs w:val="false"/>
                <w:sz w:val="19"/>
                <w:szCs w:val="19"/>
              </w:rPr>
              <w:t xml:space="preserve">Solar Industries India Limited</w:t>
            </w:r>
          </w:p>
          <w:p>
            <w:pPr>
              <w:spacing w:after="40"/>
            </w:pPr>
            <w:r>
              <w:rPr>
                <w:b w:val="false"/>
                <w:bCs w:val="false"/>
                <w:sz w:val="19"/>
                <w:szCs w:val="19"/>
              </w:rPr>
              <w:t xml:space="preserve">“Solar” House 14, Kachimet, Amravati Road, Nagpur 440023</w:t>
            </w:r>
          </w:p>
          <w:p>
            <w:pPr>
              <w:spacing w:after="40"/>
            </w:pPr>
            <w:r>
              <w:rPr>
                <w:b w:val="false"/>
                <w:bCs w:val="false"/>
                <w:sz w:val="19"/>
                <w:szCs w:val="19"/>
              </w:rPr>
              <w:t xml:space="preserve">(+91) 712-6634555, (+91) 712-6634550 · solar@solargroup.com</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Implementation partners</w:t>
            </w:r>
          </w:p>
        </w:tc>
        <w:tc>
          <w:tcPr>
            <w:tcW w:type="dxa" w:w="6769"/>
            <w:tcMar>
              <w:top w:type="dxa" w:w="60"/>
              <w:left w:type="dxa" w:w="90"/>
              <w:bottom w:type="dxa" w:w="60"/>
              <w:right w:type="dxa" w:w="90"/>
            </w:tcMar>
          </w:tcPr>
          <w:p>
            <w:pPr>
              <w:spacing w:after="40"/>
            </w:pPr>
            <w:r>
              <w:rPr>
                <w:b w:val="false"/>
                <w:bCs w:val="false"/>
                <w:sz w:val="19"/>
                <w:szCs w:val="19"/>
              </w:rPr>
              <w:t xml:space="preserve">Gram Panchayat Katlabodi — land, approvals, community mobilisation and data custodianship</w:t>
            </w:r>
          </w:p>
          <w:p>
            <w:pPr>
              <w:spacing w:after="40"/>
            </w:pPr>
            <w:r>
              <w:rPr>
                <w:b w:val="false"/>
                <w:bCs w:val="false"/>
                <w:sz w:val="19"/>
                <w:szCs w:val="19"/>
              </w:rPr>
              <w:t xml:space="preserve">UrjaGram Innovations Pvt Ltd — framework, technology platform, project development, monitoring and policy partner</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Location</w:t>
            </w:r>
          </w:p>
        </w:tc>
        <w:tc>
          <w:tcPr>
            <w:tcW w:type="dxa" w:w="6769"/>
            <w:tcMar>
              <w:top w:type="dxa" w:w="60"/>
              <w:left w:type="dxa" w:w="90"/>
              <w:bottom w:type="dxa" w:w="60"/>
              <w:right w:type="dxa" w:w="90"/>
            </w:tcMar>
          </w:tcPr>
          <w:p>
            <w:pPr>
              <w:spacing w:after="40"/>
            </w:pPr>
            <w:r>
              <w:rPr>
                <w:b w:val="false"/>
                <w:bCs w:val="false"/>
                <w:sz w:val="19"/>
                <w:szCs w:val="19"/>
              </w:rPr>
              <w:t xml:space="preserve">Gram Panchayat Katlabodi — villages of Katlabodi, Murli and Dhankundav; Katol Block, Nagpur District, Maharashtra</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Programme period</w:t>
            </w:r>
          </w:p>
        </w:tc>
        <w:tc>
          <w:tcPr>
            <w:tcW w:type="dxa" w:w="6769"/>
            <w:tcMar>
              <w:top w:type="dxa" w:w="60"/>
              <w:left w:type="dxa" w:w="90"/>
              <w:bottom w:type="dxa" w:w="60"/>
              <w:right w:type="dxa" w:w="90"/>
            </w:tcMar>
          </w:tcPr>
          <w:p>
            <w:pPr>
              <w:spacing w:after="40"/>
            </w:pPr>
            <w:r>
              <w:rPr>
                <w:b w:val="false"/>
                <w:bCs w:val="false"/>
                <w:sz w:val="19"/>
                <w:szCs w:val="19"/>
              </w:rPr>
              <w:t xml:space="preserve">Twelve months from sanction. Target start: December 2026, to use the 2026–27 dry-season works window</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Financial ask</w:t>
            </w:r>
          </w:p>
        </w:tc>
        <w:tc>
          <w:tcPr>
            <w:tcW w:type="dxa" w:w="6769"/>
            <w:tcMar>
              <w:top w:type="dxa" w:w="60"/>
              <w:left w:type="dxa" w:w="90"/>
              <w:bottom w:type="dxa" w:w="60"/>
              <w:right w:type="dxa" w:w="90"/>
            </w:tcMar>
          </w:tcPr>
          <w:p>
            <w:pPr>
              <w:spacing w:after="40"/>
            </w:pPr>
            <w:r>
              <w:rPr>
                <w:b w:val="false"/>
                <w:bCs w:val="false"/>
                <w:sz w:val="19"/>
                <w:szCs w:val="19"/>
              </w:rPr>
              <w:t xml:space="preserve">₹2.06 crore costed to date — human capital ₹24.30 lakh and Project 1 hub site ₹1.81 crore. Platform and programme-management lines are being finalised (section 15)</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Date</w:t>
            </w:r>
          </w:p>
        </w:tc>
        <w:tc>
          <w:tcPr>
            <w:tcW w:type="dxa" w:w="6769"/>
            <w:tcMar>
              <w:top w:type="dxa" w:w="60"/>
              <w:left w:type="dxa" w:w="90"/>
              <w:bottom w:type="dxa" w:w="60"/>
              <w:right w:type="dxa" w:w="90"/>
            </w:tcMar>
          </w:tcPr>
          <w:p>
            <w:pPr>
              <w:spacing w:after="40"/>
            </w:pPr>
            <w:r>
              <w:rPr>
                <w:b w:val="false"/>
                <w:bCs w:val="false"/>
                <w:sz w:val="19"/>
                <w:szCs w:val="19"/>
              </w:rPr>
              <w:t xml:space="preserve">September 2026</w:t>
            </w:r>
          </w:p>
        </w:tc>
      </w:tr>
    </w:tbl>
    <w:p>
      <w:pPr>
        <w:spacing w:after="80"/>
      </w:pPr>
    </w:p>
    <w:p>
      <w:pPr>
        <w:spacing w:after="120" w:line="276"/>
        <w:jc w:val="both"/>
      </w:pPr>
      <w:r>
        <w:rPr>
          <w:b/>
          <w:bCs/>
          <w:sz w:val="19"/>
          <w:szCs w:val="19"/>
        </w:rPr>
        <w:t xml:space="preserve">Note on figures.</w:t>
      </w:r>
      <w:r>
        <w:rPr>
          <w:sz w:val="19"/>
          <w:szCs w:val="19"/>
        </w:rPr>
        <w:t xml:space="preserve"> Population, household, land-use and literacy data are from the Census 2011 village directory. Livestock figures are from the Gram Panchayat’s animal register. Drought figures are from Government of Maharashtra announcements as reported in </w:t>
      </w:r>
      <w:r>
        <w:rPr>
          <w:i/>
          <w:iCs/>
          <w:sz w:val="19"/>
          <w:szCs w:val="19"/>
        </w:rPr>
        <w:t xml:space="preserve">The Times of India</w:t>
      </w:r>
      <w:r>
        <w:rPr>
          <w:sz w:val="19"/>
          <w:szCs w:val="19"/>
        </w:rPr>
        <w:t xml:space="preserve">, September 2026. Scientific findings are cited to the IPBES Nexus Assessment (2024). Items marked [verify] will be confirmed before submission or during the baseline phase.</w:t>
      </w:r>
    </w:p>
    <w:p>
      <w:r>
        <w:br w:type="page"/>
      </w:r>
    </w:p>
    <w:p>
      <w:pPr>
        <w:pStyle w:val="Heading1"/>
        <w:keepNext/>
        <w:spacing w:after="140" w:before="300"/>
      </w:pPr>
      <w:r>
        <w:t xml:space="preserve">1. Executive summary</w:t>
      </w:r>
    </w:p>
    <w:p>
      <w:pPr>
        <w:spacing w:after="120" w:line="276"/>
        <w:jc w:val="both"/>
      </w:pPr>
      <w:r>
        <w:rPr>
          <w:b/>
          <w:bCs/>
        </w:rPr>
        <w:t xml:space="preserve">The drought is the reason to start now.</w:t>
      </w:r>
      <w:r>
        <w:t xml:space="preserve"> In September 2026 the Government of Maharashtra declared drought in 265 of its 358 talukas — 74 per cent of the State — after rainfall fell below 75 per cent of normal with dry spells of 21 days or more. Vidarbha is the worst-affected region, and Nagpur district is among the six districts with the most talukas declared. Across the State, kharif crops have failed, rabi sowing is in doubt, water arrives by tanker, cattle are being sold at a fraction of their value for want of fodder, and families are leaving for work months earlier than usual.</w:t>
      </w:r>
    </w:p>
    <w:p>
      <w:pPr>
        <w:spacing w:after="120" w:line="276"/>
        <w:jc w:val="both"/>
      </w:pPr>
      <w:r>
        <w:rPr>
          <w:b/>
          <w:bCs/>
        </w:rPr>
        <w:t xml:space="preserve">Katlabodi carries every part of that risk.</w:t>
      </w:r>
      <w:r>
        <w:t xml:space="preserve"> Gram Panchayat Katlabodi is a forest-fringe tribal settlement of 717 people in 160 households, across three villages in Katol block. Fifty-two per cent of its residents belong to Scheduled Tribes — four times the share of the block — yet the block carries no tribal classification, so most tribal-area instruments do not reach it. Three-quarters of its sown area depends on groundwater; its herd of 906 animals needs roughly 2,000 tonnes of fodder a year against a few hundred tonnes of local residue; and its 416 hectares of forest absorb the grazing and fuelwood pressure of every failed season. Water, fodder, income and health fail together.</w:t>
      </w:r>
    </w:p>
    <w:p>
      <w:pPr>
        <w:spacing w:after="120" w:line="276"/>
        <w:jc w:val="both"/>
      </w:pPr>
      <w:r>
        <w:rPr>
          <w:b/>
          <w:bCs/>
        </w:rPr>
        <w:t xml:space="preserve">Relief alone will not change that.</w:t>
      </w:r>
      <w:r>
        <w:t xml:space="preserve"> Drought relief arrives sector by sector, from the top, in short cycles, with no shared platform to plan, deliver and measure across them. The IPBES Nexus Assessment (2024) reaches the same conclusion at global scale: biodiversity, water, food, health and climate change are interlinked, and responses designed in sectoral silos produce trade-offs and unintended consequences.</w:t>
      </w:r>
    </w:p>
    <w:p>
      <w:pPr>
        <w:spacing w:after="120" w:line="276"/>
        <w:jc w:val="both"/>
      </w:pPr>
      <w:r>
        <w:rPr>
          <w:b/>
          <w:bCs/>
        </w:rPr>
        <w:t xml:space="preserve">The answer is the UrjaGram Sustainable Development Framework (USDF).</w:t>
      </w:r>
      <w:r>
        <w:t xml:space="preserve"> USDF converges adaptation and mitigation into one plan for a Gram Panchayat, and stands on two pillars: </w:t>
      </w:r>
      <w:r>
        <w:rPr>
          <w:b/>
          <w:bCs/>
        </w:rPr>
        <w:t xml:space="preserve">DEVTech</w:t>
      </w:r>
      <w:r>
        <w:t xml:space="preserve">, the digital pillar that plans, delivers and measures; and </w:t>
      </w:r>
      <w:r>
        <w:rPr>
          <w:b/>
          <w:bCs/>
        </w:rPr>
        <w:t xml:space="preserve">local capacity</w:t>
      </w:r>
      <w:r>
        <w:t xml:space="preserve"> — women’s cadres, students and interns — who run it. Six village projects have been designed for Katlabodi: biodiversity and medicinal agroforestry; water security; livestock and dairy; clean energy; community health and nutrition; and a net-zero and carbon revenue platform that measures and monetises the result of the other five. A tripartite agreement between Ayurvan Foundation, the Gram Panchayat and UrjaGram Innovations was signed on 13 July 2026 for five years.</w:t>
      </w:r>
    </w:p>
    <w:p>
      <w:pPr>
        <w:pStyle w:val="Heading2"/>
        <w:keepNext/>
        <w:spacing w:after="100" w:before="200"/>
      </w:pPr>
      <w:r>
        <w:t xml:space="preserve">What this proposal asks for</w:t>
      </w:r>
    </w:p>
    <w:p>
      <w:pPr>
        <w:spacing w:after="120" w:line="276"/>
        <w:jc w:val="both"/>
      </w:pPr>
      <w:r>
        <w:t xml:space="preserve">Corporate social responsibility funding for twelve months, to do four things:</w:t>
      </w:r>
    </w:p>
    <w:p>
      <w:pPr>
        <w:pStyle w:val="ListParagraph"/>
        <w:numPr>
          <w:ilvl w:val="0"/>
          <w:numId w:val="2"/>
        </w:numPr>
        <w:spacing w:after="80" w:line="264"/>
        <w:jc w:val="left"/>
      </w:pPr>
      <w:r>
        <w:rPr>
          <w:b/>
          <w:bCs/>
        </w:rPr>
        <w:t xml:space="preserve">Build local capacity.</w:t>
      </w:r>
      <w:r>
        <w:t xml:space="preserve"> Train fifty people — twenty women from self-help groups as five project-specific cadres, twenty school students, and ten engineering and management interns — and employ one tutor and one local project manager.</w:t>
      </w:r>
    </w:p>
    <w:p>
      <w:pPr>
        <w:pStyle w:val="ListParagraph"/>
        <w:numPr>
          <w:ilvl w:val="0"/>
          <w:numId w:val="2"/>
        </w:numPr>
        <w:spacing w:after="80" w:line="264"/>
        <w:jc w:val="left"/>
      </w:pPr>
      <w:r>
        <w:rPr>
          <w:b/>
          <w:bCs/>
        </w:rPr>
        <w:t xml:space="preserve">Deploy the digital pillar.</w:t>
      </w:r>
      <w:r>
        <w:t xml:space="preserve"> Customise DEVTech for Katlabodi, including VanaGram OS, and release it as open-source software that any Gram Panchayat may use free of charge.</w:t>
      </w:r>
    </w:p>
    <w:p>
      <w:pPr>
        <w:pStyle w:val="ListParagraph"/>
        <w:numPr>
          <w:ilvl w:val="0"/>
          <w:numId w:val="2"/>
        </w:numPr>
        <w:spacing w:after="80" w:line="264"/>
        <w:jc w:val="left"/>
      </w:pPr>
      <w:r>
        <w:rPr>
          <w:b/>
          <w:bCs/>
        </w:rPr>
        <w:t xml:space="preserve">Establish the hub site.</w:t>
      </w:r>
      <w:r>
        <w:t xml:space="preserve"> Build the Project 1 nursery and medicinal agroforestry demonstration site, which supplies planting material to the Katol cluster and demonstrates drought-resilient land use.</w:t>
      </w:r>
    </w:p>
    <w:p>
      <w:pPr>
        <w:pStyle w:val="ListParagraph"/>
        <w:numPr>
          <w:ilvl w:val="0"/>
          <w:numId w:val="2"/>
        </w:numPr>
        <w:spacing w:after="80" w:line="264"/>
        <w:jc w:val="left"/>
      </w:pPr>
      <w:r>
        <w:rPr>
          <w:b/>
          <w:bCs/>
        </w:rPr>
        <w:t xml:space="preserve">Produce the plan and the evidence.</w:t>
      </w:r>
      <w:r>
        <w:t xml:space="preserve"> Establish baselines and produce Katlabodi’s Gram Panchayat Integrated Investment Plan (GP-IIP) — prepared as the climate-integrated Viksit Gram Panchayat Plan required under VB-G RAM G — with six project documents to bankable standard.</w:t>
      </w:r>
    </w:p>
    <w:p>
      <w:pPr>
        <w:pStyle w:val="Heading2"/>
        <w:keepNext/>
        <w:spacing w:after="100" w:before="200"/>
      </w:pPr>
      <w:r>
        <w:t xml:space="preserve">From hub to State</w:t>
      </w:r>
    </w:p>
    <w:p>
      <w:pPr>
        <w:spacing w:after="120" w:line="276"/>
        <w:jc w:val="both"/>
      </w:pPr>
      <w:r>
        <w:t xml:space="preserve">Katlabodi is the hub. From year two the model extends across the Katol block cluster, and within five years it offers a proven, costed and replicable model, ready for adoption across Maharashtra’s 358 talukas through the State’s own Gram Panchayat planning process. Maharashtra’s 1972 drought produced the Employment Guarantee Scheme; the 2026 drought can produce a working model of village climate resilience.</w:t>
      </w:r>
    </w:p>
    <w:p>
      <w:pPr>
        <w:pStyle w:val="Heading2"/>
        <w:keepNext/>
        <w:spacing w:after="100" w:before="200"/>
      </w:pPr>
      <w:r>
        <w:t xml:space="preserve">Why corporate social responsibility funding</w:t>
      </w:r>
    </w:p>
    <w:p>
      <w:pPr>
        <w:spacing w:after="120" w:line="276"/>
        <w:jc w:val="both"/>
      </w:pPr>
      <w:r>
        <w:t xml:space="preserve">Corporate social responsibility funding cannot, and is not asked to, deliver the ten-year outcomes of these projects; those will be financed through VB-G RAM G and other government schemes, banks, and climate and blended finance. What the grant can do — and what nothing else will pay for — is build the local capacity, the platform, the hub site and the project preparation that make those larger flows possible. The grant does not buy the outcome; it buys the investability of the outcome, and that is fully attributable to the grant and achieved within the grant period.</w:t>
      </w:r>
    </w:p>
    <w:p>
      <w:pPr>
        <w:pStyle w:val="Heading2"/>
        <w:keepNext/>
        <w:spacing w:after="100" w:before="200"/>
      </w:pPr>
      <w:r>
        <w:t xml:space="preserve">What already exists</w:t>
      </w:r>
    </w:p>
    <w:p>
      <w:pPr>
        <w:pStyle w:val="ListParagraph"/>
        <w:numPr>
          <w:ilvl w:val="0"/>
          <w:numId w:val="2"/>
        </w:numPr>
        <w:spacing w:after="80" w:line="264"/>
        <w:jc w:val="left"/>
      </w:pPr>
      <w:r>
        <w:t xml:space="preserve">A signed tripartite agreement with the elected Gram Panchayat, dated 13 July 2026, valid for five years.</w:t>
      </w:r>
    </w:p>
    <w:p>
      <w:pPr>
        <w:pStyle w:val="ListParagraph"/>
        <w:numPr>
          <w:ilvl w:val="0"/>
          <w:numId w:val="2"/>
        </w:numPr>
        <w:spacing w:after="80" w:line="264"/>
        <w:jc w:val="left"/>
      </w:pPr>
      <w:r>
        <w:t xml:space="preserve">Ayurvan Foundation’s presence in the village, with community trust and market linkages for medicinal produce.</w:t>
      </w:r>
    </w:p>
    <w:p>
      <w:pPr>
        <w:pStyle w:val="ListParagraph"/>
        <w:numPr>
          <w:ilvl w:val="0"/>
          <w:numId w:val="2"/>
        </w:numPr>
        <w:spacing w:after="80" w:line="264"/>
        <w:jc w:val="left"/>
      </w:pPr>
      <w:r>
        <w:t xml:space="preserve">Four DEVTech components under development, three of them in production, funded by UrjaGram and built by interns from VNIT Nagpur, NIT Jalandhar and NIT Kurukshetra.</w:t>
      </w:r>
    </w:p>
    <w:p>
      <w:pPr>
        <w:pStyle w:val="ListParagraph"/>
        <w:numPr>
          <w:ilvl w:val="0"/>
          <w:numId w:val="2"/>
        </w:numPr>
        <w:spacing w:after="80" w:line="264"/>
        <w:jc w:val="left"/>
      </w:pPr>
      <w:r>
        <w:t xml:space="preserve">An evidence base: an analysis of the livestock register, a sourced socio-economic baseline, a block-level pre-feasibility evaluation of dairy, biogas and biofertiliser infrastructure, and a Project 1 financial model.</w:t>
      </w:r>
    </w:p>
    <w:p>
      <w:pPr>
        <w:pStyle w:val="ListParagraph"/>
        <w:numPr>
          <w:ilvl w:val="0"/>
          <w:numId w:val="2"/>
        </w:numPr>
        <w:spacing w:after="80" w:line="264"/>
        <w:jc w:val="left"/>
      </w:pPr>
      <w:r>
        <w:t xml:space="preserve">Project briefs with activities, convergence routes, indicators and risks; and an academic engagement with VNIT Nagpur.</w:t>
      </w:r>
    </w:p>
    <w:p>
      <w:pPr>
        <w:pStyle w:val="Heading1"/>
        <w:keepNext/>
        <w:spacing w:after="140" w:before="300"/>
      </w:pPr>
      <w:r>
        <w:t xml:space="preserve">2. Why now: the 2026 drought</w:t>
      </w:r>
    </w:p>
    <w:p>
      <w:pPr>
        <w:pStyle w:val="Heading2"/>
        <w:keepNext/>
        <w:spacing w:after="100" w:before="200"/>
      </w:pPr>
      <w:r>
        <w:t xml:space="preserve">2.1 What the drought has done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57"/>
        <w:gridCol w:w="6769"/>
      </w:tblGrid>
      <w:tr>
        <w:trPr>
          <w:tblHeader/>
        </w:trPr>
        <w:tc>
          <w:tcPr>
            <w:tcW w:type="dxa" w:w="2257"/>
            <w:shd w:fill="EAF1EE" w:color="auto" w:val="clear"/>
            <w:tcMar>
              <w:top w:type="dxa" w:w="60"/>
              <w:left w:type="dxa" w:w="90"/>
              <w:bottom w:type="dxa" w:w="60"/>
              <w:right w:type="dxa" w:w="90"/>
            </w:tcMar>
          </w:tcPr>
          <w:p>
            <w:pPr>
              <w:spacing w:after="40"/>
            </w:pPr>
            <w:r>
              <w:rPr>
                <w:b/>
                <w:bCs/>
                <w:sz w:val="19"/>
                <w:szCs w:val="19"/>
              </w:rPr>
              <w:t xml:space="preserve">Measure</w:t>
            </w:r>
          </w:p>
        </w:tc>
        <w:tc>
          <w:tcPr>
            <w:tcW w:type="dxa" w:w="6769"/>
            <w:shd w:fill="EAF1EE" w:color="auto" w:val="clear"/>
            <w:tcMar>
              <w:top w:type="dxa" w:w="60"/>
              <w:left w:type="dxa" w:w="90"/>
              <w:bottom w:type="dxa" w:w="60"/>
              <w:right w:type="dxa" w:w="90"/>
            </w:tcMar>
          </w:tcPr>
          <w:p>
            <w:pPr>
              <w:spacing w:after="40"/>
            </w:pPr>
            <w:r>
              <w:rPr>
                <w:b/>
                <w:bCs/>
                <w:sz w:val="19"/>
                <w:szCs w:val="19"/>
              </w:rPr>
              <w:t xml:space="preserve">Position in September 2026</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Talukas declared in drought</w:t>
            </w:r>
          </w:p>
        </w:tc>
        <w:tc>
          <w:tcPr>
            <w:tcW w:type="dxa" w:w="6769"/>
            <w:tcMar>
              <w:top w:type="dxa" w:w="60"/>
              <w:left w:type="dxa" w:w="90"/>
              <w:bottom w:type="dxa" w:w="60"/>
              <w:right w:type="dxa" w:w="90"/>
            </w:tcMar>
          </w:tcPr>
          <w:p>
            <w:pPr>
              <w:spacing w:after="40"/>
            </w:pPr>
            <w:r>
              <w:rPr>
                <w:b w:val="false"/>
                <w:bCs w:val="false"/>
                <w:sz w:val="19"/>
                <w:szCs w:val="19"/>
              </w:rPr>
              <w:t xml:space="preserve">265 of 358 (74%), across 34 of 36 districts — wider than any declaration of the past decade</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Trigger met</w:t>
            </w:r>
          </w:p>
        </w:tc>
        <w:tc>
          <w:tcPr>
            <w:tcW w:type="dxa" w:w="6769"/>
            <w:tcMar>
              <w:top w:type="dxa" w:w="60"/>
              <w:left w:type="dxa" w:w="90"/>
              <w:bottom w:type="dxa" w:w="60"/>
              <w:right w:type="dxa" w:w="90"/>
            </w:tcMar>
          </w:tcPr>
          <w:p>
            <w:pPr>
              <w:spacing w:after="40"/>
            </w:pPr>
            <w:r>
              <w:rPr>
                <w:b w:val="false"/>
                <w:bCs w:val="false"/>
                <w:sz w:val="19"/>
                <w:szCs w:val="19"/>
              </w:rPr>
              <w:t xml:space="preserve">Trigger 1 of the Centre’s Drought Management Code 2016: rainfall below 75% of normal and a dry spell of 21 days. Later triggers assess sowing, groundwater, soil moisture and vegetation</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Rainfall</w:t>
            </w:r>
          </w:p>
        </w:tc>
        <w:tc>
          <w:tcPr>
            <w:tcW w:type="dxa" w:w="6769"/>
            <w:tcMar>
              <w:top w:type="dxa" w:w="60"/>
              <w:left w:type="dxa" w:w="90"/>
              <w:bottom w:type="dxa" w:w="60"/>
              <w:right w:type="dxa" w:w="90"/>
            </w:tcMar>
          </w:tcPr>
          <w:p>
            <w:pPr>
              <w:spacing w:after="40"/>
            </w:pPr>
            <w:r>
              <w:rPr>
                <w:b w:val="false"/>
                <w:bCs w:val="false"/>
                <w:sz w:val="19"/>
                <w:szCs w:val="19"/>
              </w:rPr>
              <w:t xml:space="preserve">State deficit of 17–18%; 27 of 36 districts below normal (1 June–21 September)</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Worst-affected region</w:t>
            </w:r>
          </w:p>
        </w:tc>
        <w:tc>
          <w:tcPr>
            <w:tcW w:type="dxa" w:w="6769"/>
            <w:tcMar>
              <w:top w:type="dxa" w:w="60"/>
              <w:left w:type="dxa" w:w="90"/>
              <w:bottom w:type="dxa" w:w="60"/>
              <w:right w:type="dxa" w:w="90"/>
            </w:tcMar>
          </w:tcPr>
          <w:p>
            <w:pPr>
              <w:spacing w:after="40"/>
            </w:pPr>
            <w:r>
              <w:rPr>
                <w:b w:val="false"/>
                <w:bCs w:val="false"/>
                <w:sz w:val="19"/>
                <w:szCs w:val="19"/>
              </w:rPr>
              <w:t xml:space="preserve">Vidarbha, 95 talukas. Nagpur district among the six worst-affected, with 14 talukas declared [verify inclusion of Katol in the Government Resolution]</w:t>
            </w:r>
          </w:p>
        </w:tc>
      </w:tr>
      <w:tr>
        <w:trPr>
          <w:cantSplit/>
        </w:trPr>
        <w:tc>
          <w:tcPr>
            <w:tcW w:type="dxa" w:w="2257"/>
            <w:tcMar>
              <w:top w:type="dxa" w:w="60"/>
              <w:left w:type="dxa" w:w="90"/>
              <w:bottom w:type="dxa" w:w="60"/>
              <w:right w:type="dxa" w:w="90"/>
            </w:tcMar>
          </w:tcPr>
          <w:p>
            <w:pPr>
              <w:spacing w:after="40"/>
            </w:pPr>
            <w:r>
              <w:rPr>
                <w:b w:val="false"/>
                <w:bCs w:val="false"/>
                <w:sz w:val="19"/>
                <w:szCs w:val="19"/>
              </w:rPr>
              <w:t xml:space="preserve">Relief announced</w:t>
            </w:r>
          </w:p>
        </w:tc>
        <w:tc>
          <w:tcPr>
            <w:tcW w:type="dxa" w:w="6769"/>
            <w:tcMar>
              <w:top w:type="dxa" w:w="60"/>
              <w:left w:type="dxa" w:w="90"/>
              <w:bottom w:type="dxa" w:w="60"/>
              <w:right w:type="dxa" w:w="90"/>
            </w:tcMar>
          </w:tcPr>
          <w:p>
            <w:pPr>
              <w:spacing w:after="40"/>
            </w:pPr>
            <w:r>
              <w:rPr>
                <w:b w:val="false"/>
                <w:bCs w:val="false"/>
                <w:sz w:val="19"/>
                <w:szCs w:val="19"/>
              </w:rPr>
              <w:t xml:space="preserve">Twelve measures, including crop-loan restructuring, drinking-water tankers, food grain and fodder for livestock, and additional water-conservation works. Crop compensation after the October damage assessments</w:t>
            </w:r>
          </w:p>
        </w:tc>
      </w:tr>
    </w:tbl>
    <w:p>
      <w:pPr>
        <w:spacing w:after="80"/>
      </w:pPr>
    </w:p>
    <w:p>
      <w:pPr>
        <w:spacing w:after="120" w:line="276"/>
        <w:jc w:val="both"/>
      </w:pPr>
      <w:r>
        <w:t xml:space="preserve">Reports from affected districts describe the pattern that Katlabodi is exposed to: cotton and soybean failing at a fraction of a normal yield, orchards drying, tankers as the only drinking-water source, fodder unaffordable and cattle sold cheaply, unpaid input bills, and migration starting months early.</w:t>
      </w:r>
    </w:p>
    <w:p>
      <w:pPr>
        <w:pStyle w:val="Heading2"/>
        <w:keepNext/>
        <w:spacing w:after="100" w:before="200"/>
      </w:pPr>
      <w:r>
        <w:t xml:space="preserve">2.2 What it means for Katlabodi</w:t>
      </w:r>
    </w:p>
    <w:p>
      <w:pPr>
        <w:pStyle w:val="ListParagraph"/>
        <w:numPr>
          <w:ilvl w:val="0"/>
          <w:numId w:val="2"/>
        </w:numPr>
        <w:spacing w:after="80" w:line="264"/>
        <w:jc w:val="left"/>
      </w:pPr>
      <w:r>
        <w:rPr>
          <w:b/>
          <w:bCs/>
        </w:rPr>
        <w:t xml:space="preserve">Water.</w:t>
      </w:r>
      <w:r>
        <w:t xml:space="preserve"> 74 per cent of the sown area is irrigated, almost certainly from groundwater. A rainfall shortfall becomes an aquifer shortfall, and recharge turns episodic against continuous extraction.</w:t>
      </w:r>
    </w:p>
    <w:p>
      <w:pPr>
        <w:pStyle w:val="ListParagraph"/>
        <w:numPr>
          <w:ilvl w:val="0"/>
          <w:numId w:val="2"/>
        </w:numPr>
        <w:spacing w:after="80" w:line="264"/>
        <w:jc w:val="left"/>
      </w:pPr>
      <w:r>
        <w:rPr>
          <w:b/>
          <w:bCs/>
        </w:rPr>
        <w:t xml:space="preserve">Fodder and livestock.</w:t>
      </w:r>
      <w:r>
        <w:t xml:space="preserve"> The herd’s fodder need exceeds local supply several times over in a normal year. In a drought year the gap widens exactly when the herd — the panchayat’s largest asset — most needs it.</w:t>
      </w:r>
    </w:p>
    <w:p>
      <w:pPr>
        <w:pStyle w:val="ListParagraph"/>
        <w:numPr>
          <w:ilvl w:val="0"/>
          <w:numId w:val="2"/>
        </w:numPr>
        <w:spacing w:after="80" w:line="264"/>
        <w:jc w:val="left"/>
      </w:pPr>
      <w:r>
        <w:rPr>
          <w:b/>
          <w:bCs/>
        </w:rPr>
        <w:t xml:space="preserve">Forest.</w:t>
      </w:r>
      <w:r>
        <w:t xml:space="preserve"> The 416 hectares of forest take the grazing and fuelwood pressure of a failed season, eroding the ecosystem services on which fodder, water and livelihoods depend.</w:t>
      </w:r>
    </w:p>
    <w:p>
      <w:pPr>
        <w:pStyle w:val="ListParagraph"/>
        <w:numPr>
          <w:ilvl w:val="0"/>
          <w:numId w:val="2"/>
        </w:numPr>
        <w:spacing w:after="80" w:line="264"/>
        <w:jc w:val="left"/>
      </w:pPr>
      <w:r>
        <w:rPr>
          <w:b/>
          <w:bCs/>
        </w:rPr>
        <w:t xml:space="preserve">Health.</w:t>
      </w:r>
      <w:r>
        <w:t xml:space="preserve"> Heat, untreated drinking water and poor-year nutrition fall on the same households, and on women and children first.</w:t>
      </w:r>
    </w:p>
    <w:p>
      <w:pPr>
        <w:pStyle w:val="Heading2"/>
        <w:keepNext/>
        <w:spacing w:after="100" w:before="200"/>
      </w:pPr>
      <w:r>
        <w:t xml:space="preserve">2.3 The window</w:t>
      </w:r>
    </w:p>
    <w:p>
      <w:pPr>
        <w:spacing w:after="120" w:line="276"/>
        <w:jc w:val="both"/>
      </w:pPr>
      <w:r>
        <w:t xml:space="preserve">The dry season is when resilience is built. Starting in December 2026 allows the programme to use the 2026–27 dry season before the next monsoon; a later start loses a full year.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69"/>
        <w:gridCol w:w="3775"/>
        <w:gridCol w:w="3282"/>
      </w:tblGrid>
      <w:tr>
        <w:trPr>
          <w:tblHeader/>
        </w:trPr>
        <w:tc>
          <w:tcPr>
            <w:tcW w:type="dxa" w:w="1969"/>
            <w:shd w:fill="EAF1EE" w:color="auto" w:val="clear"/>
            <w:tcMar>
              <w:top w:type="dxa" w:w="60"/>
              <w:left w:type="dxa" w:w="90"/>
              <w:bottom w:type="dxa" w:w="60"/>
              <w:right w:type="dxa" w:w="90"/>
            </w:tcMar>
          </w:tcPr>
          <w:p>
            <w:pPr>
              <w:spacing w:after="40"/>
            </w:pPr>
            <w:r>
              <w:rPr>
                <w:b/>
                <w:bCs/>
                <w:sz w:val="19"/>
                <w:szCs w:val="19"/>
              </w:rPr>
              <w:t xml:space="preserve">When</w:t>
            </w:r>
          </w:p>
        </w:tc>
        <w:tc>
          <w:tcPr>
            <w:tcW w:type="dxa" w:w="3775"/>
            <w:shd w:fill="EAF1EE" w:color="auto" w:val="clear"/>
            <w:tcMar>
              <w:top w:type="dxa" w:w="60"/>
              <w:left w:type="dxa" w:w="90"/>
              <w:bottom w:type="dxa" w:w="60"/>
              <w:right w:type="dxa" w:w="90"/>
            </w:tcMar>
          </w:tcPr>
          <w:p>
            <w:pPr>
              <w:spacing w:after="40"/>
            </w:pPr>
            <w:r>
              <w:rPr>
                <w:b/>
                <w:bCs/>
                <w:sz w:val="19"/>
                <w:szCs w:val="19"/>
              </w:rPr>
              <w:t xml:space="preserve">Action</w:t>
            </w:r>
          </w:p>
        </w:tc>
        <w:tc>
          <w:tcPr>
            <w:tcW w:type="dxa" w:w="3282"/>
            <w:shd w:fill="EAF1EE" w:color="auto" w:val="clear"/>
            <w:tcMar>
              <w:top w:type="dxa" w:w="60"/>
              <w:left w:type="dxa" w:w="90"/>
              <w:bottom w:type="dxa" w:w="60"/>
              <w:right w:type="dxa" w:w="90"/>
            </w:tcMar>
          </w:tcPr>
          <w:p>
            <w:pPr>
              <w:spacing w:after="40"/>
            </w:pPr>
            <w:r>
              <w:rPr>
                <w:b/>
                <w:bCs/>
                <w:sz w:val="19"/>
                <w:szCs w:val="19"/>
              </w:rPr>
              <w:t xml:space="preserve">If delayed</w:t>
            </w:r>
          </w:p>
        </w:tc>
      </w:tr>
      <w:tr>
        <w:trPr>
          <w:cantSplit/>
        </w:trPr>
        <w:tc>
          <w:tcPr>
            <w:tcW w:type="dxa" w:w="1969"/>
            <w:tcMar>
              <w:top w:type="dxa" w:w="60"/>
              <w:left w:type="dxa" w:w="90"/>
              <w:bottom w:type="dxa" w:w="60"/>
              <w:right w:type="dxa" w:w="90"/>
            </w:tcMar>
          </w:tcPr>
          <w:p>
            <w:pPr>
              <w:spacing w:after="40"/>
            </w:pPr>
            <w:r>
              <w:rPr>
                <w:b w:val="false"/>
                <w:bCs w:val="false"/>
                <w:sz w:val="19"/>
                <w:szCs w:val="19"/>
              </w:rPr>
              <w:t xml:space="preserve">Dec 2026 – Feb 2027</w:t>
            </w:r>
          </w:p>
        </w:tc>
        <w:tc>
          <w:tcPr>
            <w:tcW w:type="dxa" w:w="3775"/>
            <w:tcMar>
              <w:top w:type="dxa" w:w="60"/>
              <w:left w:type="dxa" w:w="90"/>
              <w:bottom w:type="dxa" w:w="60"/>
              <w:right w:type="dxa" w:w="90"/>
            </w:tcMar>
          </w:tcPr>
          <w:p>
            <w:pPr>
              <w:spacing w:after="40"/>
            </w:pPr>
            <w:r>
              <w:rPr>
                <w:b w:val="false"/>
                <w:bCs w:val="false"/>
                <w:sz w:val="19"/>
                <w:szCs w:val="19"/>
              </w:rPr>
              <w:t xml:space="preserve">Baselines recorded while drought stress is measurable; water mapping and budgeting; drought contingency plan for fodder and water; cadre selection</w:t>
            </w:r>
          </w:p>
        </w:tc>
        <w:tc>
          <w:tcPr>
            <w:tcW w:type="dxa" w:w="3282"/>
            <w:tcMar>
              <w:top w:type="dxa" w:w="60"/>
              <w:left w:type="dxa" w:w="90"/>
              <w:bottom w:type="dxa" w:w="60"/>
              <w:right w:type="dxa" w:w="90"/>
            </w:tcMar>
          </w:tcPr>
          <w:p>
            <w:pPr>
              <w:spacing w:after="40"/>
            </w:pPr>
            <w:r>
              <w:rPr>
                <w:b w:val="false"/>
                <w:bCs w:val="false"/>
                <w:sz w:val="19"/>
                <w:szCs w:val="19"/>
              </w:rPr>
              <w:t xml:space="preserve">The stress state goes unrecorded, and the next shortfall meets the same unprepared system</w:t>
            </w:r>
          </w:p>
        </w:tc>
      </w:tr>
      <w:tr>
        <w:trPr>
          <w:cantSplit/>
        </w:trPr>
        <w:tc>
          <w:tcPr>
            <w:tcW w:type="dxa" w:w="1969"/>
            <w:tcMar>
              <w:top w:type="dxa" w:w="60"/>
              <w:left w:type="dxa" w:w="90"/>
              <w:bottom w:type="dxa" w:w="60"/>
              <w:right w:type="dxa" w:w="90"/>
            </w:tcMar>
          </w:tcPr>
          <w:p>
            <w:pPr>
              <w:spacing w:after="40"/>
            </w:pPr>
            <w:r>
              <w:rPr>
                <w:b w:val="false"/>
                <w:bCs w:val="false"/>
                <w:sz w:val="19"/>
                <w:szCs w:val="19"/>
              </w:rPr>
              <w:t xml:space="preserve">Jan – May 2027</w:t>
            </w:r>
          </w:p>
        </w:tc>
        <w:tc>
          <w:tcPr>
            <w:tcW w:type="dxa" w:w="3775"/>
            <w:tcMar>
              <w:top w:type="dxa" w:w="60"/>
              <w:left w:type="dxa" w:w="90"/>
              <w:bottom w:type="dxa" w:w="60"/>
              <w:right w:type="dxa" w:w="90"/>
            </w:tcMar>
          </w:tcPr>
          <w:p>
            <w:pPr>
              <w:spacing w:after="40"/>
            </w:pPr>
            <w:r>
              <w:rPr>
                <w:b w:val="false"/>
                <w:bCs w:val="false"/>
                <w:sz w:val="19"/>
                <w:szCs w:val="19"/>
              </w:rPr>
              <w:t xml:space="preserve">Recharge and repair works through VB-G RAM G convergence; hub nursery raised; site preparation</w:t>
            </w:r>
          </w:p>
        </w:tc>
        <w:tc>
          <w:tcPr>
            <w:tcW w:type="dxa" w:w="3282"/>
            <w:tcMar>
              <w:top w:type="dxa" w:w="60"/>
              <w:left w:type="dxa" w:w="90"/>
              <w:bottom w:type="dxa" w:w="60"/>
              <w:right w:type="dxa" w:w="90"/>
            </w:tcMar>
          </w:tcPr>
          <w:p>
            <w:pPr>
              <w:spacing w:after="40"/>
            </w:pPr>
            <w:r>
              <w:rPr>
                <w:b w:val="false"/>
                <w:bCs w:val="false"/>
                <w:sz w:val="19"/>
                <w:szCs w:val="19"/>
              </w:rPr>
              <w:t xml:space="preserve">Structures miss the 2027 monsoon; recharge is lost for a year</w:t>
            </w:r>
          </w:p>
        </w:tc>
      </w:tr>
      <w:tr>
        <w:trPr>
          <w:cantSplit/>
        </w:trPr>
        <w:tc>
          <w:tcPr>
            <w:tcW w:type="dxa" w:w="1969"/>
            <w:tcMar>
              <w:top w:type="dxa" w:w="60"/>
              <w:left w:type="dxa" w:w="90"/>
              <w:bottom w:type="dxa" w:w="60"/>
              <w:right w:type="dxa" w:w="90"/>
            </w:tcMar>
          </w:tcPr>
          <w:p>
            <w:pPr>
              <w:spacing w:after="40"/>
            </w:pPr>
            <w:r>
              <w:rPr>
                <w:b w:val="false"/>
                <w:bCs w:val="false"/>
                <w:sz w:val="19"/>
                <w:szCs w:val="19"/>
              </w:rPr>
              <w:t xml:space="preserve">Jun – Jul 2027</w:t>
            </w:r>
          </w:p>
        </w:tc>
        <w:tc>
          <w:tcPr>
            <w:tcW w:type="dxa" w:w="3775"/>
            <w:tcMar>
              <w:top w:type="dxa" w:w="60"/>
              <w:left w:type="dxa" w:w="90"/>
              <w:bottom w:type="dxa" w:w="60"/>
              <w:right w:type="dxa" w:w="90"/>
            </w:tcMar>
          </w:tcPr>
          <w:p>
            <w:pPr>
              <w:spacing w:after="40"/>
            </w:pPr>
            <w:r>
              <w:rPr>
                <w:b w:val="false"/>
                <w:bCs w:val="false"/>
                <w:sz w:val="19"/>
                <w:szCs w:val="19"/>
              </w:rPr>
              <w:t xml:space="preserve">Planting of fodder, medicinal and woody species at the hub site</w:t>
            </w:r>
          </w:p>
        </w:tc>
        <w:tc>
          <w:tcPr>
            <w:tcW w:type="dxa" w:w="3282"/>
            <w:tcMar>
              <w:top w:type="dxa" w:w="60"/>
              <w:left w:type="dxa" w:w="90"/>
              <w:bottom w:type="dxa" w:w="60"/>
              <w:right w:type="dxa" w:w="90"/>
            </w:tcMar>
          </w:tcPr>
          <w:p>
            <w:pPr>
              <w:spacing w:after="40"/>
            </w:pPr>
            <w:r>
              <w:rPr>
                <w:b w:val="false"/>
                <w:bCs w:val="false"/>
                <w:sz w:val="19"/>
                <w:szCs w:val="19"/>
              </w:rPr>
              <w:t xml:space="preserve">Planting slips to 2028; income and fodder benefits slip with it</w:t>
            </w:r>
          </w:p>
        </w:tc>
      </w:tr>
    </w:tbl>
    <w:p>
      <w:pPr>
        <w:spacing w:after="80"/>
      </w:pPr>
    </w:p>
    <w:p>
      <w:pPr>
        <w:pStyle w:val="Heading2"/>
        <w:keepNext/>
        <w:spacing w:after="100" w:before="200"/>
      </w:pPr>
      <w:r>
        <w:t xml:space="preserve">2.4 Why single-sector relief is not enough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924"/>
        <w:gridCol w:w="5102"/>
      </w:tblGrid>
      <w:tr>
        <w:trPr>
          <w:tblHeader/>
        </w:trPr>
        <w:tc>
          <w:tcPr>
            <w:tcW w:type="dxa" w:w="3924"/>
            <w:shd w:fill="EAF1EE" w:color="auto" w:val="clear"/>
            <w:tcMar>
              <w:top w:type="dxa" w:w="60"/>
              <w:left w:type="dxa" w:w="90"/>
              <w:bottom w:type="dxa" w:w="60"/>
              <w:right w:type="dxa" w:w="90"/>
            </w:tcMar>
          </w:tcPr>
          <w:p>
            <w:pPr>
              <w:spacing w:after="40"/>
            </w:pPr>
            <w:r>
              <w:rPr>
                <w:b/>
                <w:bCs/>
                <w:sz w:val="19"/>
                <w:szCs w:val="19"/>
              </w:rPr>
              <w:t xml:space="preserve">How schemes usually arrive</w:t>
            </w:r>
          </w:p>
        </w:tc>
        <w:tc>
          <w:tcPr>
            <w:tcW w:type="dxa" w:w="5102"/>
            <w:shd w:fill="EAF1EE" w:color="auto" w:val="clear"/>
            <w:tcMar>
              <w:top w:type="dxa" w:w="60"/>
              <w:left w:type="dxa" w:w="90"/>
              <w:bottom w:type="dxa" w:w="60"/>
              <w:right w:type="dxa" w:w="90"/>
            </w:tcMar>
          </w:tcPr>
          <w:p>
            <w:pPr>
              <w:spacing w:after="40"/>
            </w:pPr>
            <w:r>
              <w:rPr>
                <w:b/>
                <w:bCs/>
                <w:sz w:val="19"/>
                <w:szCs w:val="19"/>
              </w:rPr>
              <w:t xml:space="preserve">How this programme responds</w:t>
            </w:r>
          </w:p>
        </w:tc>
      </w:tr>
      <w:tr>
        <w:trPr>
          <w:cantSplit/>
        </w:trPr>
        <w:tc>
          <w:tcPr>
            <w:tcW w:type="dxa" w:w="3924"/>
            <w:tcMar>
              <w:top w:type="dxa" w:w="60"/>
              <w:left w:type="dxa" w:w="90"/>
              <w:bottom w:type="dxa" w:w="60"/>
              <w:right w:type="dxa" w:w="90"/>
            </w:tcMar>
          </w:tcPr>
          <w:p>
            <w:pPr>
              <w:spacing w:after="40"/>
            </w:pPr>
            <w:r>
              <w:rPr>
                <w:b w:val="false"/>
                <w:bCs w:val="false"/>
                <w:sz w:val="19"/>
                <w:szCs w:val="19"/>
              </w:rPr>
              <w:t xml:space="preserve">Fragmented</w:t>
            </w:r>
            <w:r>
              <w:rPr>
                <w:b w:val="false"/>
                <w:bCs w:val="false"/>
                <w:sz w:val="19"/>
                <w:szCs w:val="19"/>
              </w:rPr>
              <w:t xml:space="preserve"> — energy, water, health and agriculture rarely addressed together</w:t>
            </w:r>
          </w:p>
        </w:tc>
        <w:tc>
          <w:tcPr>
            <w:tcW w:type="dxa" w:w="5102"/>
            <w:tcMar>
              <w:top w:type="dxa" w:w="60"/>
              <w:left w:type="dxa" w:w="90"/>
              <w:bottom w:type="dxa" w:w="60"/>
              <w:right w:type="dxa" w:w="90"/>
            </w:tcMar>
          </w:tcPr>
          <w:p>
            <w:pPr>
              <w:spacing w:after="40"/>
            </w:pPr>
            <w:r>
              <w:rPr>
                <w:b w:val="false"/>
                <w:bCs w:val="false"/>
                <w:sz w:val="19"/>
                <w:szCs w:val="19"/>
              </w:rPr>
              <w:t xml:space="preserve">Six linked projects in one GP-IIP; one household record across all of them</w:t>
            </w:r>
          </w:p>
        </w:tc>
      </w:tr>
      <w:tr>
        <w:trPr>
          <w:cantSplit/>
        </w:trPr>
        <w:tc>
          <w:tcPr>
            <w:tcW w:type="dxa" w:w="3924"/>
            <w:tcMar>
              <w:top w:type="dxa" w:w="60"/>
              <w:left w:type="dxa" w:w="90"/>
              <w:bottom w:type="dxa" w:w="60"/>
              <w:right w:type="dxa" w:w="90"/>
            </w:tcMar>
          </w:tcPr>
          <w:p>
            <w:pPr>
              <w:spacing w:after="40"/>
            </w:pPr>
            <w:r>
              <w:rPr>
                <w:b w:val="false"/>
                <w:bCs w:val="false"/>
                <w:sz w:val="19"/>
                <w:szCs w:val="19"/>
              </w:rPr>
              <w:t xml:space="preserve">Top-down</w:t>
            </w:r>
            <w:r>
              <w:rPr>
                <w:b w:val="false"/>
                <w:bCs w:val="false"/>
                <w:sz w:val="19"/>
                <w:szCs w:val="19"/>
              </w:rPr>
              <w:t xml:space="preserve"> — rarely co-designed with the community</w:t>
            </w:r>
          </w:p>
        </w:tc>
        <w:tc>
          <w:tcPr>
            <w:tcW w:type="dxa" w:w="5102"/>
            <w:tcMar>
              <w:top w:type="dxa" w:w="60"/>
              <w:left w:type="dxa" w:w="90"/>
              <w:bottom w:type="dxa" w:w="60"/>
              <w:right w:type="dxa" w:w="90"/>
            </w:tcMar>
          </w:tcPr>
          <w:p>
            <w:pPr>
              <w:spacing w:after="40"/>
            </w:pPr>
            <w:r>
              <w:rPr>
                <w:b w:val="false"/>
                <w:bCs w:val="false"/>
                <w:sz w:val="19"/>
                <w:szCs w:val="19"/>
              </w:rPr>
              <w:t xml:space="preserve">Gram Panchayat resolutions; selection rules adopted before names are proposed; a local cadre that delivers</w:t>
            </w:r>
          </w:p>
        </w:tc>
      </w:tr>
      <w:tr>
        <w:trPr>
          <w:cantSplit/>
        </w:trPr>
        <w:tc>
          <w:tcPr>
            <w:tcW w:type="dxa" w:w="3924"/>
            <w:tcMar>
              <w:top w:type="dxa" w:w="60"/>
              <w:left w:type="dxa" w:w="90"/>
              <w:bottom w:type="dxa" w:w="60"/>
              <w:right w:type="dxa" w:w="90"/>
            </w:tcMar>
          </w:tcPr>
          <w:p>
            <w:pPr>
              <w:spacing w:after="40"/>
            </w:pPr>
            <w:r>
              <w:rPr>
                <w:b w:val="false"/>
                <w:bCs w:val="false"/>
                <w:sz w:val="19"/>
                <w:szCs w:val="19"/>
              </w:rPr>
              <w:t xml:space="preserve">Short-term</w:t>
            </w:r>
            <w:r>
              <w:rPr>
                <w:b w:val="false"/>
                <w:bCs w:val="false"/>
                <w:sz w:val="19"/>
                <w:szCs w:val="19"/>
              </w:rPr>
              <w:t xml:space="preserve"> — one-to-three-year cycles for multi-decade problems</w:t>
            </w:r>
          </w:p>
        </w:tc>
        <w:tc>
          <w:tcPr>
            <w:tcW w:type="dxa" w:w="5102"/>
            <w:tcMar>
              <w:top w:type="dxa" w:w="60"/>
              <w:left w:type="dxa" w:w="90"/>
              <w:bottom w:type="dxa" w:w="60"/>
              <w:right w:type="dxa" w:w="90"/>
            </w:tcMar>
          </w:tcPr>
          <w:p>
            <w:pPr>
              <w:spacing w:after="40"/>
            </w:pPr>
            <w:r>
              <w:rPr>
                <w:b w:val="false"/>
                <w:bCs w:val="false"/>
                <w:sz w:val="19"/>
                <w:szCs w:val="19"/>
              </w:rPr>
              <w:t xml:space="preserve">A one-year grant that produces a ten-year investment plan and the finance routes to deliver it</w:t>
            </w:r>
          </w:p>
        </w:tc>
      </w:tr>
      <w:tr>
        <w:trPr>
          <w:cantSplit/>
        </w:trPr>
        <w:tc>
          <w:tcPr>
            <w:tcW w:type="dxa" w:w="3924"/>
            <w:tcMar>
              <w:top w:type="dxa" w:w="60"/>
              <w:left w:type="dxa" w:w="90"/>
              <w:bottom w:type="dxa" w:w="60"/>
              <w:right w:type="dxa" w:w="90"/>
            </w:tcMar>
          </w:tcPr>
          <w:p>
            <w:pPr>
              <w:spacing w:after="40"/>
            </w:pPr>
            <w:r>
              <w:rPr>
                <w:b w:val="false"/>
                <w:bCs w:val="false"/>
                <w:sz w:val="19"/>
                <w:szCs w:val="19"/>
              </w:rPr>
              <w:t xml:space="preserve">Not scalable</w:t>
            </w:r>
            <w:r>
              <w:rPr>
                <w:b w:val="false"/>
                <w:bCs w:val="false"/>
                <w:sz w:val="19"/>
                <w:szCs w:val="19"/>
              </w:rPr>
              <w:t xml:space="preserve"> — each village starts from scratch</w:t>
            </w:r>
          </w:p>
        </w:tc>
        <w:tc>
          <w:tcPr>
            <w:tcW w:type="dxa" w:w="5102"/>
            <w:tcMar>
              <w:top w:type="dxa" w:w="60"/>
              <w:left w:type="dxa" w:w="90"/>
              <w:bottom w:type="dxa" w:w="60"/>
              <w:right w:type="dxa" w:w="90"/>
            </w:tcMar>
          </w:tcPr>
          <w:p>
            <w:pPr>
              <w:spacing w:after="40"/>
            </w:pPr>
            <w:r>
              <w:rPr>
                <w:b w:val="false"/>
                <w:bCs w:val="false"/>
                <w:sz w:val="19"/>
                <w:szCs w:val="19"/>
              </w:rPr>
              <w:t xml:space="preserve">Open-source platform, trainer cascade and a GP-IIP template for the Katol cluster and beyond</w:t>
            </w:r>
          </w:p>
        </w:tc>
      </w:tr>
      <w:tr>
        <w:trPr>
          <w:cantSplit/>
        </w:trPr>
        <w:tc>
          <w:tcPr>
            <w:tcW w:type="dxa" w:w="3924"/>
            <w:tcMar>
              <w:top w:type="dxa" w:w="60"/>
              <w:left w:type="dxa" w:w="90"/>
              <w:bottom w:type="dxa" w:w="60"/>
              <w:right w:type="dxa" w:w="90"/>
            </w:tcMar>
          </w:tcPr>
          <w:p>
            <w:pPr>
              <w:spacing w:after="40"/>
            </w:pPr>
            <w:r>
              <w:rPr>
                <w:b w:val="false"/>
                <w:bCs w:val="false"/>
                <w:sz w:val="19"/>
                <w:szCs w:val="19"/>
              </w:rPr>
              <w:t xml:space="preserve">No platform</w:t>
            </w:r>
            <w:r>
              <w:rPr>
                <w:b w:val="false"/>
                <w:bCs w:val="false"/>
                <w:sz w:val="19"/>
                <w:szCs w:val="19"/>
              </w:rPr>
              <w:t xml:space="preserve"> — nothing to coordinate, monitor and learn across villages</w:t>
            </w:r>
          </w:p>
        </w:tc>
        <w:tc>
          <w:tcPr>
            <w:tcW w:type="dxa" w:w="5102"/>
            <w:tcMar>
              <w:top w:type="dxa" w:w="60"/>
              <w:left w:type="dxa" w:w="90"/>
              <w:bottom w:type="dxa" w:w="60"/>
              <w:right w:type="dxa" w:w="90"/>
            </w:tcMar>
          </w:tcPr>
          <w:p>
            <w:pPr>
              <w:spacing w:after="40"/>
            </w:pPr>
            <w:r>
              <w:rPr>
                <w:b w:val="false"/>
                <w:bCs w:val="false"/>
                <w:sz w:val="19"/>
                <w:szCs w:val="19"/>
              </w:rPr>
              <w:t xml:space="preserve">DEVTech, with measurement conservative by construction</w:t>
            </w:r>
          </w:p>
        </w:tc>
      </w:tr>
    </w:tbl>
    <w:p>
      <w:pPr>
        <w:spacing w:after="80"/>
      </w:pPr>
    </w:p>
    <w:p>
      <w:pPr>
        <w:spacing w:after="120" w:line="276"/>
        <w:jc w:val="both"/>
      </w:pPr>
      <w:r>
        <w:t xml:space="preserve">IPBES finds that response options implemented together or in sequence enhance their benefits and can reduce costs compared with siloed policies (IPBES SPM, C10, p. 40).</w:t>
      </w:r>
    </w:p>
    <w:p>
      <w:pPr>
        <w:pStyle w:val="Heading1"/>
        <w:keepNext/>
        <w:spacing w:after="140" w:before="300"/>
      </w:pPr>
      <w:r>
        <w:t xml:space="preserve">3. Katlabodi: the place and the evidence</w:t>
      </w:r>
    </w:p>
    <w:p>
      <w:pPr>
        <w:spacing w:after="120" w:line="276"/>
        <w:jc w:val="both"/>
      </w:pPr>
      <w:r>
        <w:t xml:space="preserve">The programme plans, delivers and reports at panchayat level. The panchayat covers six revenue villages, of which three are inhabited and three are Rithi, or uninhabited. All three inhabited villages are served directly.</w:t>
      </w:r>
    </w:p>
    <w:p>
      <w:pPr>
        <w:pStyle w:val="Heading2"/>
        <w:keepNext/>
        <w:spacing w:after="100" w:before="200"/>
      </w:pPr>
      <w:r>
        <w:t xml:space="preserve">3.1 Population and social composition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7"/>
        <w:gridCol w:w="1236"/>
        <w:gridCol w:w="1236"/>
        <w:gridCol w:w="1113"/>
        <w:gridCol w:w="1113"/>
        <w:gridCol w:w="2721"/>
      </w:tblGrid>
      <w:tr>
        <w:trPr>
          <w:tblHeader/>
        </w:trPr>
        <w:tc>
          <w:tcPr>
            <w:tcW w:type="dxa" w:w="1607"/>
            <w:shd w:fill="EAF1EE" w:color="auto" w:val="clear"/>
            <w:tcMar>
              <w:top w:type="dxa" w:w="60"/>
              <w:left w:type="dxa" w:w="90"/>
              <w:bottom w:type="dxa" w:w="60"/>
              <w:right w:type="dxa" w:w="90"/>
            </w:tcMar>
          </w:tcPr>
          <w:p>
            <w:pPr>
              <w:spacing w:after="40"/>
            </w:pPr>
            <w:r>
              <w:rPr>
                <w:b/>
                <w:bCs/>
                <w:sz w:val="19"/>
                <w:szCs w:val="19"/>
              </w:rPr>
              <w:t xml:space="preserve">Village</w:t>
            </w:r>
          </w:p>
        </w:tc>
        <w:tc>
          <w:tcPr>
            <w:tcW w:type="dxa" w:w="1236"/>
            <w:shd w:fill="EAF1EE" w:color="auto" w:val="clear"/>
            <w:tcMar>
              <w:top w:type="dxa" w:w="60"/>
              <w:left w:type="dxa" w:w="90"/>
              <w:bottom w:type="dxa" w:w="60"/>
              <w:right w:type="dxa" w:w="90"/>
            </w:tcMar>
          </w:tcPr>
          <w:p>
            <w:pPr>
              <w:spacing w:after="40"/>
            </w:pPr>
            <w:r>
              <w:rPr>
                <w:b/>
                <w:bCs/>
                <w:sz w:val="19"/>
                <w:szCs w:val="19"/>
              </w:rPr>
              <w:t xml:space="preserve">Population</w:t>
            </w:r>
          </w:p>
        </w:tc>
        <w:tc>
          <w:tcPr>
            <w:tcW w:type="dxa" w:w="1236"/>
            <w:shd w:fill="EAF1EE" w:color="auto" w:val="clear"/>
            <w:tcMar>
              <w:top w:type="dxa" w:w="60"/>
              <w:left w:type="dxa" w:w="90"/>
              <w:bottom w:type="dxa" w:w="60"/>
              <w:right w:type="dxa" w:w="90"/>
            </w:tcMar>
          </w:tcPr>
          <w:p>
            <w:pPr>
              <w:spacing w:after="40"/>
            </w:pPr>
            <w:r>
              <w:rPr>
                <w:b/>
                <w:bCs/>
                <w:sz w:val="19"/>
                <w:szCs w:val="19"/>
              </w:rPr>
              <w:t xml:space="preserve">Households</w:t>
            </w:r>
          </w:p>
        </w:tc>
        <w:tc>
          <w:tcPr>
            <w:tcW w:type="dxa" w:w="1113"/>
            <w:shd w:fill="EAF1EE" w:color="auto" w:val="clear"/>
            <w:tcMar>
              <w:top w:type="dxa" w:w="60"/>
              <w:left w:type="dxa" w:w="90"/>
              <w:bottom w:type="dxa" w:w="60"/>
              <w:right w:type="dxa" w:w="90"/>
            </w:tcMar>
          </w:tcPr>
          <w:p>
            <w:pPr>
              <w:spacing w:after="40"/>
            </w:pPr>
            <w:r>
              <w:rPr>
                <w:b/>
                <w:bCs/>
                <w:sz w:val="19"/>
                <w:szCs w:val="19"/>
              </w:rPr>
              <w:t xml:space="preserve">ST share</w:t>
            </w:r>
          </w:p>
        </w:tc>
        <w:tc>
          <w:tcPr>
            <w:tcW w:type="dxa" w:w="1113"/>
            <w:shd w:fill="EAF1EE" w:color="auto" w:val="clear"/>
            <w:tcMar>
              <w:top w:type="dxa" w:w="60"/>
              <w:left w:type="dxa" w:w="90"/>
              <w:bottom w:type="dxa" w:w="60"/>
              <w:right w:type="dxa" w:w="90"/>
            </w:tcMar>
          </w:tcPr>
          <w:p>
            <w:pPr>
              <w:spacing w:after="40"/>
            </w:pPr>
            <w:r>
              <w:rPr>
                <w:b/>
                <w:bCs/>
                <w:sz w:val="19"/>
                <w:szCs w:val="19"/>
              </w:rPr>
              <w:t xml:space="preserve">Area (ha)</w:t>
            </w:r>
          </w:p>
        </w:tc>
        <w:tc>
          <w:tcPr>
            <w:tcW w:type="dxa" w:w="2721"/>
            <w:shd w:fill="EAF1EE" w:color="auto" w:val="clear"/>
            <w:tcMar>
              <w:top w:type="dxa" w:w="60"/>
              <w:left w:type="dxa" w:w="90"/>
              <w:bottom w:type="dxa" w:w="60"/>
              <w:right w:type="dxa" w:w="90"/>
            </w:tcMar>
          </w:tcPr>
          <w:p>
            <w:pPr>
              <w:spacing w:after="40"/>
            </w:pPr>
            <w:r>
              <w:rPr>
                <w:b/>
                <w:bCs/>
                <w:sz w:val="19"/>
                <w:szCs w:val="19"/>
              </w:rPr>
              <w:t xml:space="preserve">Note</w:t>
            </w:r>
          </w:p>
        </w:tc>
      </w:tr>
      <w:tr>
        <w:trPr>
          <w:cantSplit/>
        </w:trPr>
        <w:tc>
          <w:tcPr>
            <w:tcW w:type="dxa" w:w="1607"/>
            <w:tcMar>
              <w:top w:type="dxa" w:w="60"/>
              <w:left w:type="dxa" w:w="90"/>
              <w:bottom w:type="dxa" w:w="60"/>
              <w:right w:type="dxa" w:w="90"/>
            </w:tcMar>
          </w:tcPr>
          <w:p>
            <w:pPr>
              <w:spacing w:after="40"/>
            </w:pPr>
            <w:r>
              <w:rPr>
                <w:b w:val="false"/>
                <w:bCs w:val="false"/>
                <w:sz w:val="19"/>
                <w:szCs w:val="19"/>
              </w:rPr>
              <w:t xml:space="preserve">Katlabodi</w:t>
            </w:r>
          </w:p>
        </w:tc>
        <w:tc>
          <w:tcPr>
            <w:tcW w:type="dxa" w:w="1236"/>
            <w:tcMar>
              <w:top w:type="dxa" w:w="60"/>
              <w:left w:type="dxa" w:w="90"/>
              <w:bottom w:type="dxa" w:w="60"/>
              <w:right w:type="dxa" w:w="90"/>
            </w:tcMar>
          </w:tcPr>
          <w:p>
            <w:pPr>
              <w:spacing w:after="40"/>
            </w:pPr>
            <w:r>
              <w:rPr>
                <w:b w:val="false"/>
                <w:bCs w:val="false"/>
                <w:sz w:val="19"/>
                <w:szCs w:val="19"/>
              </w:rPr>
              <w:t xml:space="preserve">443</w:t>
            </w:r>
          </w:p>
        </w:tc>
        <w:tc>
          <w:tcPr>
            <w:tcW w:type="dxa" w:w="1236"/>
            <w:tcMar>
              <w:top w:type="dxa" w:w="60"/>
              <w:left w:type="dxa" w:w="90"/>
              <w:bottom w:type="dxa" w:w="60"/>
              <w:right w:type="dxa" w:w="90"/>
            </w:tcMar>
          </w:tcPr>
          <w:p>
            <w:pPr>
              <w:spacing w:after="40"/>
            </w:pPr>
            <w:r>
              <w:rPr>
                <w:b w:val="false"/>
                <w:bCs w:val="false"/>
                <w:sz w:val="19"/>
                <w:szCs w:val="19"/>
              </w:rPr>
              <w:t xml:space="preserve">103</w:t>
            </w:r>
          </w:p>
        </w:tc>
        <w:tc>
          <w:tcPr>
            <w:tcW w:type="dxa" w:w="1113"/>
            <w:tcMar>
              <w:top w:type="dxa" w:w="60"/>
              <w:left w:type="dxa" w:w="90"/>
              <w:bottom w:type="dxa" w:w="60"/>
              <w:right w:type="dxa" w:w="90"/>
            </w:tcMar>
          </w:tcPr>
          <w:p>
            <w:pPr>
              <w:spacing w:after="40"/>
            </w:pPr>
            <w:r>
              <w:rPr>
                <w:b w:val="false"/>
                <w:bCs w:val="false"/>
                <w:sz w:val="19"/>
                <w:szCs w:val="19"/>
              </w:rPr>
              <w:t xml:space="preserve">46.1%</w:t>
            </w:r>
          </w:p>
        </w:tc>
        <w:tc>
          <w:tcPr>
            <w:tcW w:type="dxa" w:w="1113"/>
            <w:tcMar>
              <w:top w:type="dxa" w:w="60"/>
              <w:left w:type="dxa" w:w="90"/>
              <w:bottom w:type="dxa" w:w="60"/>
              <w:right w:type="dxa" w:w="90"/>
            </w:tcMar>
          </w:tcPr>
          <w:p>
            <w:pPr>
              <w:spacing w:after="40"/>
            </w:pPr>
            <w:r>
              <w:rPr>
                <w:b w:val="false"/>
                <w:bCs w:val="false"/>
                <w:sz w:val="19"/>
                <w:szCs w:val="19"/>
              </w:rPr>
              <w:t xml:space="preserve">173.35</w:t>
            </w:r>
          </w:p>
        </w:tc>
        <w:tc>
          <w:tcPr>
            <w:tcW w:type="dxa" w:w="2721"/>
            <w:tcMar>
              <w:top w:type="dxa" w:w="60"/>
              <w:left w:type="dxa" w:w="90"/>
              <w:bottom w:type="dxa" w:w="60"/>
              <w:right w:type="dxa" w:w="90"/>
            </w:tcMar>
          </w:tcPr>
          <w:p>
            <w:pPr>
              <w:spacing w:after="40"/>
            </w:pPr>
            <w:r>
              <w:rPr>
                <w:b w:val="false"/>
                <w:bCs w:val="false"/>
                <w:sz w:val="19"/>
                <w:szCs w:val="19"/>
              </w:rPr>
              <w:t xml:space="preserve">Largest settlement; primary school</w:t>
            </w:r>
          </w:p>
        </w:tc>
      </w:tr>
      <w:tr>
        <w:trPr>
          <w:cantSplit/>
        </w:trPr>
        <w:tc>
          <w:tcPr>
            <w:tcW w:type="dxa" w:w="1607"/>
            <w:tcMar>
              <w:top w:type="dxa" w:w="60"/>
              <w:left w:type="dxa" w:w="90"/>
              <w:bottom w:type="dxa" w:w="60"/>
              <w:right w:type="dxa" w:w="90"/>
            </w:tcMar>
          </w:tcPr>
          <w:p>
            <w:pPr>
              <w:spacing w:after="40"/>
            </w:pPr>
            <w:r>
              <w:rPr>
                <w:b w:val="false"/>
                <w:bCs w:val="false"/>
                <w:sz w:val="19"/>
                <w:szCs w:val="19"/>
              </w:rPr>
              <w:t xml:space="preserve">Murli</w:t>
            </w:r>
          </w:p>
        </w:tc>
        <w:tc>
          <w:tcPr>
            <w:tcW w:type="dxa" w:w="1236"/>
            <w:tcMar>
              <w:top w:type="dxa" w:w="60"/>
              <w:left w:type="dxa" w:w="90"/>
              <w:bottom w:type="dxa" w:w="60"/>
              <w:right w:type="dxa" w:w="90"/>
            </w:tcMar>
          </w:tcPr>
          <w:p>
            <w:pPr>
              <w:spacing w:after="40"/>
            </w:pPr>
            <w:r>
              <w:rPr>
                <w:b w:val="false"/>
                <w:bCs w:val="false"/>
                <w:sz w:val="19"/>
                <w:szCs w:val="19"/>
              </w:rPr>
              <w:t xml:space="preserve">186</w:t>
            </w:r>
          </w:p>
        </w:tc>
        <w:tc>
          <w:tcPr>
            <w:tcW w:type="dxa" w:w="1236"/>
            <w:tcMar>
              <w:top w:type="dxa" w:w="60"/>
              <w:left w:type="dxa" w:w="90"/>
              <w:bottom w:type="dxa" w:w="60"/>
              <w:right w:type="dxa" w:w="90"/>
            </w:tcMar>
          </w:tcPr>
          <w:p>
            <w:pPr>
              <w:spacing w:after="40"/>
            </w:pPr>
            <w:r>
              <w:rPr>
                <w:b w:val="false"/>
                <w:bCs w:val="false"/>
                <w:sz w:val="19"/>
                <w:szCs w:val="19"/>
              </w:rPr>
              <w:t xml:space="preserve">40</w:t>
            </w:r>
          </w:p>
        </w:tc>
        <w:tc>
          <w:tcPr>
            <w:tcW w:type="dxa" w:w="1113"/>
            <w:tcMar>
              <w:top w:type="dxa" w:w="60"/>
              <w:left w:type="dxa" w:w="90"/>
              <w:bottom w:type="dxa" w:w="60"/>
              <w:right w:type="dxa" w:w="90"/>
            </w:tcMar>
          </w:tcPr>
          <w:p>
            <w:pPr>
              <w:spacing w:after="40"/>
            </w:pPr>
            <w:r>
              <w:rPr>
                <w:b w:val="false"/>
                <w:bCs w:val="false"/>
                <w:sz w:val="19"/>
                <w:szCs w:val="19"/>
              </w:rPr>
              <w:t xml:space="preserve">71.0%</w:t>
            </w:r>
          </w:p>
        </w:tc>
        <w:tc>
          <w:tcPr>
            <w:tcW w:type="dxa" w:w="1113"/>
            <w:tcMar>
              <w:top w:type="dxa" w:w="60"/>
              <w:left w:type="dxa" w:w="90"/>
              <w:bottom w:type="dxa" w:w="60"/>
              <w:right w:type="dxa" w:w="90"/>
            </w:tcMar>
          </w:tcPr>
          <w:p>
            <w:pPr>
              <w:spacing w:after="40"/>
            </w:pPr>
            <w:r>
              <w:rPr>
                <w:b w:val="false"/>
                <w:bCs w:val="false"/>
                <w:sz w:val="19"/>
                <w:szCs w:val="19"/>
              </w:rPr>
              <w:t xml:space="preserve">263.34</w:t>
            </w:r>
          </w:p>
        </w:tc>
        <w:tc>
          <w:tcPr>
            <w:tcW w:type="dxa" w:w="2721"/>
            <w:tcMar>
              <w:top w:type="dxa" w:w="60"/>
              <w:left w:type="dxa" w:w="90"/>
              <w:bottom w:type="dxa" w:w="60"/>
              <w:right w:type="dxa" w:w="90"/>
            </w:tcMar>
          </w:tcPr>
          <w:p>
            <w:pPr>
              <w:spacing w:after="40"/>
            </w:pPr>
            <w:r>
              <w:rPr>
                <w:b w:val="false"/>
                <w:bCs w:val="false"/>
                <w:sz w:val="19"/>
                <w:szCs w:val="19"/>
              </w:rPr>
              <w:t xml:space="preserve">Highest ST share; &gt;5 km off bus route</w:t>
            </w:r>
          </w:p>
        </w:tc>
      </w:tr>
      <w:tr>
        <w:trPr>
          <w:cantSplit/>
        </w:trPr>
        <w:tc>
          <w:tcPr>
            <w:tcW w:type="dxa" w:w="1607"/>
            <w:tcMar>
              <w:top w:type="dxa" w:w="60"/>
              <w:left w:type="dxa" w:w="90"/>
              <w:bottom w:type="dxa" w:w="60"/>
              <w:right w:type="dxa" w:w="90"/>
            </w:tcMar>
          </w:tcPr>
          <w:p>
            <w:pPr>
              <w:spacing w:after="40"/>
            </w:pPr>
            <w:r>
              <w:rPr>
                <w:b w:val="false"/>
                <w:bCs w:val="false"/>
                <w:sz w:val="19"/>
                <w:szCs w:val="19"/>
              </w:rPr>
              <w:t xml:space="preserve">Dhankundav</w:t>
            </w:r>
          </w:p>
        </w:tc>
        <w:tc>
          <w:tcPr>
            <w:tcW w:type="dxa" w:w="1236"/>
            <w:tcMar>
              <w:top w:type="dxa" w:w="60"/>
              <w:left w:type="dxa" w:w="90"/>
              <w:bottom w:type="dxa" w:w="60"/>
              <w:right w:type="dxa" w:w="90"/>
            </w:tcMar>
          </w:tcPr>
          <w:p>
            <w:pPr>
              <w:spacing w:after="40"/>
            </w:pPr>
            <w:r>
              <w:rPr>
                <w:b w:val="false"/>
                <w:bCs w:val="false"/>
                <w:sz w:val="19"/>
                <w:szCs w:val="19"/>
              </w:rPr>
              <w:t xml:space="preserve">88</w:t>
            </w:r>
          </w:p>
        </w:tc>
        <w:tc>
          <w:tcPr>
            <w:tcW w:type="dxa" w:w="1236"/>
            <w:tcMar>
              <w:top w:type="dxa" w:w="60"/>
              <w:left w:type="dxa" w:w="90"/>
              <w:bottom w:type="dxa" w:w="60"/>
              <w:right w:type="dxa" w:w="90"/>
            </w:tcMar>
          </w:tcPr>
          <w:p>
            <w:pPr>
              <w:spacing w:after="40"/>
            </w:pPr>
            <w:r>
              <w:rPr>
                <w:b w:val="false"/>
                <w:bCs w:val="false"/>
                <w:sz w:val="19"/>
                <w:szCs w:val="19"/>
              </w:rPr>
              <w:t xml:space="preserve">17</w:t>
            </w:r>
          </w:p>
        </w:tc>
        <w:tc>
          <w:tcPr>
            <w:tcW w:type="dxa" w:w="1113"/>
            <w:tcMar>
              <w:top w:type="dxa" w:w="60"/>
              <w:left w:type="dxa" w:w="90"/>
              <w:bottom w:type="dxa" w:w="60"/>
              <w:right w:type="dxa" w:w="90"/>
            </w:tcMar>
          </w:tcPr>
          <w:p>
            <w:pPr>
              <w:spacing w:after="40"/>
            </w:pPr>
            <w:r>
              <w:rPr>
                <w:b w:val="false"/>
                <w:bCs w:val="false"/>
                <w:sz w:val="19"/>
                <w:szCs w:val="19"/>
              </w:rPr>
              <w:t xml:space="preserve">43.2%</w:t>
            </w:r>
          </w:p>
        </w:tc>
        <w:tc>
          <w:tcPr>
            <w:tcW w:type="dxa" w:w="1113"/>
            <w:tcMar>
              <w:top w:type="dxa" w:w="60"/>
              <w:left w:type="dxa" w:w="90"/>
              <w:bottom w:type="dxa" w:w="60"/>
              <w:right w:type="dxa" w:w="90"/>
            </w:tcMar>
          </w:tcPr>
          <w:p>
            <w:pPr>
              <w:spacing w:after="40"/>
            </w:pPr>
            <w:r>
              <w:rPr>
                <w:b w:val="false"/>
                <w:bCs w:val="false"/>
                <w:sz w:val="19"/>
                <w:szCs w:val="19"/>
              </w:rPr>
              <w:t xml:space="preserve">234.47</w:t>
            </w:r>
          </w:p>
        </w:tc>
        <w:tc>
          <w:tcPr>
            <w:tcW w:type="dxa" w:w="2721"/>
            <w:tcMar>
              <w:top w:type="dxa" w:w="60"/>
              <w:left w:type="dxa" w:w="90"/>
              <w:bottom w:type="dxa" w:w="60"/>
              <w:right w:type="dxa" w:w="90"/>
            </w:tcMar>
          </w:tcPr>
          <w:p>
            <w:pPr>
              <w:spacing w:after="40"/>
            </w:pPr>
            <w:r>
              <w:rPr>
                <w:b w:val="false"/>
                <w:bCs w:val="false"/>
                <w:sz w:val="19"/>
                <w:szCs w:val="19"/>
              </w:rPr>
              <w:t xml:space="preserve">Pre-primary only; no primary school</w:t>
            </w:r>
          </w:p>
        </w:tc>
      </w:tr>
      <w:tr>
        <w:trPr>
          <w:cantSplit/>
        </w:trPr>
        <w:tc>
          <w:tcPr>
            <w:tcW w:type="dxa" w:w="1607"/>
            <w:shd w:fill="F7F9F8" w:color="auto" w:val="clear"/>
            <w:tcMar>
              <w:top w:type="dxa" w:w="60"/>
              <w:left w:type="dxa" w:w="90"/>
              <w:bottom w:type="dxa" w:w="60"/>
              <w:right w:type="dxa" w:w="90"/>
            </w:tcMar>
          </w:tcPr>
          <w:p>
            <w:pPr>
              <w:spacing w:after="40"/>
            </w:pPr>
            <w:r>
              <w:rPr>
                <w:b/>
                <w:bCs/>
                <w:sz w:val="19"/>
                <w:szCs w:val="19"/>
              </w:rPr>
              <w:t xml:space="preserve">Gram Panchayat</w:t>
            </w:r>
          </w:p>
        </w:tc>
        <w:tc>
          <w:tcPr>
            <w:tcW w:type="dxa" w:w="1236"/>
            <w:shd w:fill="F7F9F8" w:color="auto" w:val="clear"/>
            <w:tcMar>
              <w:top w:type="dxa" w:w="60"/>
              <w:left w:type="dxa" w:w="90"/>
              <w:bottom w:type="dxa" w:w="60"/>
              <w:right w:type="dxa" w:w="90"/>
            </w:tcMar>
          </w:tcPr>
          <w:p>
            <w:pPr>
              <w:spacing w:after="40"/>
            </w:pPr>
            <w:r>
              <w:rPr>
                <w:b/>
                <w:bCs/>
                <w:sz w:val="19"/>
                <w:szCs w:val="19"/>
              </w:rPr>
              <w:t xml:space="preserve">717</w:t>
            </w:r>
          </w:p>
        </w:tc>
        <w:tc>
          <w:tcPr>
            <w:tcW w:type="dxa" w:w="1236"/>
            <w:shd w:fill="F7F9F8" w:color="auto" w:val="clear"/>
            <w:tcMar>
              <w:top w:type="dxa" w:w="60"/>
              <w:left w:type="dxa" w:w="90"/>
              <w:bottom w:type="dxa" w:w="60"/>
              <w:right w:type="dxa" w:w="90"/>
            </w:tcMar>
          </w:tcPr>
          <w:p>
            <w:pPr>
              <w:spacing w:after="40"/>
            </w:pPr>
            <w:r>
              <w:rPr>
                <w:b/>
                <w:bCs/>
                <w:sz w:val="19"/>
                <w:szCs w:val="19"/>
              </w:rPr>
              <w:t xml:space="preserve">160</w:t>
            </w:r>
          </w:p>
        </w:tc>
        <w:tc>
          <w:tcPr>
            <w:tcW w:type="dxa" w:w="1113"/>
            <w:shd w:fill="F7F9F8" w:color="auto" w:val="clear"/>
            <w:tcMar>
              <w:top w:type="dxa" w:w="60"/>
              <w:left w:type="dxa" w:w="90"/>
              <w:bottom w:type="dxa" w:w="60"/>
              <w:right w:type="dxa" w:w="90"/>
            </w:tcMar>
          </w:tcPr>
          <w:p>
            <w:pPr>
              <w:spacing w:after="40"/>
            </w:pPr>
            <w:r>
              <w:rPr>
                <w:b/>
                <w:bCs/>
                <w:sz w:val="19"/>
                <w:szCs w:val="19"/>
              </w:rPr>
              <w:t xml:space="preserve">52.2%</w:t>
            </w:r>
          </w:p>
        </w:tc>
        <w:tc>
          <w:tcPr>
            <w:tcW w:type="dxa" w:w="1113"/>
            <w:shd w:fill="F7F9F8" w:color="auto" w:val="clear"/>
            <w:tcMar>
              <w:top w:type="dxa" w:w="60"/>
              <w:left w:type="dxa" w:w="90"/>
              <w:bottom w:type="dxa" w:w="60"/>
              <w:right w:type="dxa" w:w="90"/>
            </w:tcMar>
          </w:tcPr>
          <w:p>
            <w:pPr>
              <w:spacing w:after="40"/>
            </w:pPr>
            <w:r>
              <w:rPr>
                <w:b/>
                <w:bCs/>
                <w:sz w:val="19"/>
                <w:szCs w:val="19"/>
              </w:rPr>
              <w:t xml:space="preserve">671.16</w:t>
            </w:r>
          </w:p>
        </w:tc>
        <w:tc>
          <w:tcPr>
            <w:tcW w:type="dxa" w:w="2721"/>
            <w:shd w:fill="F7F9F8" w:color="auto" w:val="clear"/>
            <w:tcMar>
              <w:top w:type="dxa" w:w="60"/>
              <w:left w:type="dxa" w:w="90"/>
              <w:bottom w:type="dxa" w:w="60"/>
              <w:right w:type="dxa" w:w="90"/>
            </w:tcMar>
          </w:tcPr>
          <w:p>
            <w:pPr>
              <w:spacing w:after="40"/>
            </w:pPr>
            <w:r>
              <w:rPr>
                <w:b/>
                <w:bCs/>
                <w:sz w:val="19"/>
                <w:szCs w:val="19"/>
              </w:rPr>
              <w:t xml:space="preserve">Three inhabited villages</w:t>
            </w:r>
          </w:p>
        </w:tc>
      </w:tr>
    </w:tbl>
    <w:p>
      <w:pPr>
        <w:spacing w:after="80"/>
      </w:pPr>
    </w:p>
    <w:p>
      <w:pPr>
        <w:spacing w:after="120" w:line="276"/>
        <w:jc w:val="both"/>
      </w:pPr>
      <w:r>
        <w:t xml:space="preserve">The Scheduled Tribe share of 52.2 per cent compares with 13.1 per cent for Katol taluka and 9.4 per cent for Nagpur district — a tribal pocket inside a block that carries no tribal classification.</w:t>
      </w:r>
    </w:p>
    <w:p>
      <w:pPr>
        <w:pStyle w:val="Heading2"/>
        <w:keepNext/>
        <w:spacing w:after="100" w:before="200"/>
      </w:pPr>
      <w:r>
        <w:t xml:space="preserve">3.2 Land and the production base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142"/>
        <w:gridCol w:w="1377"/>
        <w:gridCol w:w="1530"/>
        <w:gridCol w:w="3977"/>
      </w:tblGrid>
      <w:tr>
        <w:trPr>
          <w:tblHeader/>
        </w:trPr>
        <w:tc>
          <w:tcPr>
            <w:tcW w:type="dxa" w:w="2142"/>
            <w:shd w:fill="EAF1EE" w:color="auto" w:val="clear"/>
            <w:tcMar>
              <w:top w:type="dxa" w:w="60"/>
              <w:left w:type="dxa" w:w="90"/>
              <w:bottom w:type="dxa" w:w="60"/>
              <w:right w:type="dxa" w:w="90"/>
            </w:tcMar>
          </w:tcPr>
          <w:p>
            <w:pPr>
              <w:spacing w:after="40"/>
            </w:pPr>
            <w:r>
              <w:rPr>
                <w:b/>
                <w:bCs/>
                <w:sz w:val="19"/>
                <w:szCs w:val="19"/>
              </w:rPr>
              <w:t xml:space="preserve">Land use</w:t>
            </w:r>
          </w:p>
        </w:tc>
        <w:tc>
          <w:tcPr>
            <w:tcW w:type="dxa" w:w="1377"/>
            <w:shd w:fill="EAF1EE" w:color="auto" w:val="clear"/>
            <w:tcMar>
              <w:top w:type="dxa" w:w="60"/>
              <w:left w:type="dxa" w:w="90"/>
              <w:bottom w:type="dxa" w:w="60"/>
              <w:right w:type="dxa" w:w="90"/>
            </w:tcMar>
          </w:tcPr>
          <w:p>
            <w:pPr>
              <w:spacing w:after="40"/>
            </w:pPr>
            <w:r>
              <w:rPr>
                <w:b/>
                <w:bCs/>
                <w:sz w:val="19"/>
                <w:szCs w:val="19"/>
              </w:rPr>
              <w:t xml:space="preserve">Hectares</w:t>
            </w:r>
          </w:p>
        </w:tc>
        <w:tc>
          <w:tcPr>
            <w:tcW w:type="dxa" w:w="1530"/>
            <w:shd w:fill="EAF1EE" w:color="auto" w:val="clear"/>
            <w:tcMar>
              <w:top w:type="dxa" w:w="60"/>
              <w:left w:type="dxa" w:w="90"/>
              <w:bottom w:type="dxa" w:w="60"/>
              <w:right w:type="dxa" w:w="90"/>
            </w:tcMar>
          </w:tcPr>
          <w:p>
            <w:pPr>
              <w:spacing w:after="40"/>
            </w:pPr>
            <w:r>
              <w:rPr>
                <w:b/>
                <w:bCs/>
                <w:sz w:val="19"/>
                <w:szCs w:val="19"/>
              </w:rPr>
              <w:t xml:space="preserve">Share</w:t>
            </w:r>
          </w:p>
        </w:tc>
        <w:tc>
          <w:tcPr>
            <w:tcW w:type="dxa" w:w="3977"/>
            <w:shd w:fill="EAF1EE" w:color="auto" w:val="clear"/>
            <w:tcMar>
              <w:top w:type="dxa" w:w="60"/>
              <w:left w:type="dxa" w:w="90"/>
              <w:bottom w:type="dxa" w:w="60"/>
              <w:right w:type="dxa" w:w="90"/>
            </w:tcMar>
          </w:tcPr>
          <w:p>
            <w:pPr>
              <w:spacing w:after="40"/>
            </w:pPr>
            <w:r>
              <w:rPr>
                <w:b/>
                <w:bCs/>
                <w:sz w:val="19"/>
                <w:szCs w:val="19"/>
              </w:rPr>
              <w:t xml:space="preserve">Implication</w:t>
            </w:r>
          </w:p>
        </w:tc>
      </w:tr>
      <w:tr>
        <w:trPr>
          <w:cantSplit/>
        </w:trPr>
        <w:tc>
          <w:tcPr>
            <w:tcW w:type="dxa" w:w="2142"/>
            <w:tcMar>
              <w:top w:type="dxa" w:w="60"/>
              <w:left w:type="dxa" w:w="90"/>
              <w:bottom w:type="dxa" w:w="60"/>
              <w:right w:type="dxa" w:w="90"/>
            </w:tcMar>
          </w:tcPr>
          <w:p>
            <w:pPr>
              <w:spacing w:after="40"/>
            </w:pPr>
            <w:r>
              <w:rPr>
                <w:b w:val="false"/>
                <w:bCs w:val="false"/>
                <w:sz w:val="19"/>
                <w:szCs w:val="19"/>
              </w:rPr>
              <w:t xml:space="preserve">Forest</w:t>
            </w:r>
          </w:p>
        </w:tc>
        <w:tc>
          <w:tcPr>
            <w:tcW w:type="dxa" w:w="1377"/>
            <w:tcMar>
              <w:top w:type="dxa" w:w="60"/>
              <w:left w:type="dxa" w:w="90"/>
              <w:bottom w:type="dxa" w:w="60"/>
              <w:right w:type="dxa" w:w="90"/>
            </w:tcMar>
          </w:tcPr>
          <w:p>
            <w:pPr>
              <w:spacing w:after="40"/>
            </w:pPr>
            <w:r>
              <w:rPr>
                <w:b w:val="false"/>
                <w:bCs w:val="false"/>
                <w:sz w:val="19"/>
                <w:szCs w:val="19"/>
              </w:rPr>
              <w:t xml:space="preserve">416.28</w:t>
            </w:r>
          </w:p>
        </w:tc>
        <w:tc>
          <w:tcPr>
            <w:tcW w:type="dxa" w:w="1530"/>
            <w:tcMar>
              <w:top w:type="dxa" w:w="60"/>
              <w:left w:type="dxa" w:w="90"/>
              <w:bottom w:type="dxa" w:w="60"/>
              <w:right w:type="dxa" w:w="90"/>
            </w:tcMar>
          </w:tcPr>
          <w:p>
            <w:pPr>
              <w:spacing w:after="40"/>
            </w:pPr>
            <w:r>
              <w:rPr>
                <w:b w:val="false"/>
                <w:bCs w:val="false"/>
                <w:sz w:val="19"/>
                <w:szCs w:val="19"/>
              </w:rPr>
              <w:t xml:space="preserve">62.0%</w:t>
            </w:r>
          </w:p>
        </w:tc>
        <w:tc>
          <w:tcPr>
            <w:tcW w:type="dxa" w:w="3977"/>
            <w:tcMar>
              <w:top w:type="dxa" w:w="60"/>
              <w:left w:type="dxa" w:w="90"/>
              <w:bottom w:type="dxa" w:w="60"/>
              <w:right w:type="dxa" w:w="90"/>
            </w:tcMar>
          </w:tcPr>
          <w:p>
            <w:pPr>
              <w:spacing w:after="40"/>
            </w:pPr>
            <w:r>
              <w:rPr>
                <w:b w:val="false"/>
                <w:bCs w:val="false"/>
                <w:sz w:val="19"/>
                <w:szCs w:val="19"/>
              </w:rPr>
              <w:t xml:space="preserve">Herd grazes here; access is a livelihood question</w:t>
            </w:r>
          </w:p>
        </w:tc>
      </w:tr>
      <w:tr>
        <w:trPr>
          <w:cantSplit/>
        </w:trPr>
        <w:tc>
          <w:tcPr>
            <w:tcW w:type="dxa" w:w="2142"/>
            <w:tcMar>
              <w:top w:type="dxa" w:w="60"/>
              <w:left w:type="dxa" w:w="90"/>
              <w:bottom w:type="dxa" w:w="60"/>
              <w:right w:type="dxa" w:w="90"/>
            </w:tcMar>
          </w:tcPr>
          <w:p>
            <w:pPr>
              <w:spacing w:after="40"/>
            </w:pPr>
            <w:r>
              <w:rPr>
                <w:b w:val="false"/>
                <w:bCs w:val="false"/>
                <w:sz w:val="19"/>
                <w:szCs w:val="19"/>
              </w:rPr>
              <w:t xml:space="preserve">Net sown area</w:t>
            </w:r>
          </w:p>
        </w:tc>
        <w:tc>
          <w:tcPr>
            <w:tcW w:type="dxa" w:w="1377"/>
            <w:tcMar>
              <w:top w:type="dxa" w:w="60"/>
              <w:left w:type="dxa" w:w="90"/>
              <w:bottom w:type="dxa" w:w="60"/>
              <w:right w:type="dxa" w:w="90"/>
            </w:tcMar>
          </w:tcPr>
          <w:p>
            <w:pPr>
              <w:spacing w:after="40"/>
            </w:pPr>
            <w:r>
              <w:rPr>
                <w:b w:val="false"/>
                <w:bCs w:val="false"/>
                <w:sz w:val="19"/>
                <w:szCs w:val="19"/>
              </w:rPr>
              <w:t xml:space="preserve">190.10</w:t>
            </w:r>
          </w:p>
        </w:tc>
        <w:tc>
          <w:tcPr>
            <w:tcW w:type="dxa" w:w="1530"/>
            <w:tcMar>
              <w:top w:type="dxa" w:w="60"/>
              <w:left w:type="dxa" w:w="90"/>
              <w:bottom w:type="dxa" w:w="60"/>
              <w:right w:type="dxa" w:w="90"/>
            </w:tcMar>
          </w:tcPr>
          <w:p>
            <w:pPr>
              <w:spacing w:after="40"/>
            </w:pPr>
            <w:r>
              <w:rPr>
                <w:b w:val="false"/>
                <w:bCs w:val="false"/>
                <w:sz w:val="19"/>
                <w:szCs w:val="19"/>
              </w:rPr>
              <w:t xml:space="preserve">28.3%</w:t>
            </w:r>
          </w:p>
        </w:tc>
        <w:tc>
          <w:tcPr>
            <w:tcW w:type="dxa" w:w="3977"/>
            <w:tcMar>
              <w:top w:type="dxa" w:w="60"/>
              <w:left w:type="dxa" w:w="90"/>
              <w:bottom w:type="dxa" w:w="60"/>
              <w:right w:type="dxa" w:w="90"/>
            </w:tcMar>
          </w:tcPr>
          <w:p>
            <w:pPr>
              <w:spacing w:after="40"/>
            </w:pPr>
            <w:r>
              <w:rPr>
                <w:b w:val="false"/>
                <w:bCs w:val="false"/>
                <w:sz w:val="19"/>
                <w:szCs w:val="19"/>
              </w:rPr>
              <w:t xml:space="preserve">1.19 ha per household — small and marginal</w:t>
            </w:r>
          </w:p>
        </w:tc>
      </w:tr>
      <w:tr>
        <w:trPr>
          <w:cantSplit/>
        </w:trPr>
        <w:tc>
          <w:tcPr>
            <w:tcW w:type="dxa" w:w="2142"/>
            <w:tcMar>
              <w:top w:type="dxa" w:w="60"/>
              <w:left w:type="dxa" w:w="90"/>
              <w:bottom w:type="dxa" w:w="60"/>
              <w:right w:type="dxa" w:w="90"/>
            </w:tcMar>
          </w:tcPr>
          <w:p>
            <w:pPr>
              <w:spacing w:after="40"/>
            </w:pPr>
            <w:r>
              <w:rPr>
                <w:b w:val="false"/>
                <w:bCs w:val="false"/>
                <w:sz w:val="19"/>
                <w:szCs w:val="19"/>
              </w:rPr>
              <w:t xml:space="preserve">— of which irrigated</w:t>
            </w:r>
          </w:p>
        </w:tc>
        <w:tc>
          <w:tcPr>
            <w:tcW w:type="dxa" w:w="1377"/>
            <w:tcMar>
              <w:top w:type="dxa" w:w="60"/>
              <w:left w:type="dxa" w:w="90"/>
              <w:bottom w:type="dxa" w:w="60"/>
              <w:right w:type="dxa" w:w="90"/>
            </w:tcMar>
          </w:tcPr>
          <w:p>
            <w:pPr>
              <w:spacing w:after="40"/>
            </w:pPr>
            <w:r>
              <w:rPr>
                <w:b w:val="false"/>
                <w:bCs w:val="false"/>
                <w:sz w:val="19"/>
                <w:szCs w:val="19"/>
              </w:rPr>
              <w:t xml:space="preserve">141.25</w:t>
            </w:r>
          </w:p>
        </w:tc>
        <w:tc>
          <w:tcPr>
            <w:tcW w:type="dxa" w:w="1530"/>
            <w:tcMar>
              <w:top w:type="dxa" w:w="60"/>
              <w:left w:type="dxa" w:w="90"/>
              <w:bottom w:type="dxa" w:w="60"/>
              <w:right w:type="dxa" w:w="90"/>
            </w:tcMar>
          </w:tcPr>
          <w:p>
            <w:pPr>
              <w:spacing w:after="40"/>
            </w:pPr>
            <w:r>
              <w:rPr>
                <w:b w:val="false"/>
                <w:bCs w:val="false"/>
                <w:sz w:val="19"/>
                <w:szCs w:val="19"/>
              </w:rPr>
              <w:t xml:space="preserve">74.3% of sown</w:t>
            </w:r>
          </w:p>
        </w:tc>
        <w:tc>
          <w:tcPr>
            <w:tcW w:type="dxa" w:w="3977"/>
            <w:tcMar>
              <w:top w:type="dxa" w:w="60"/>
              <w:left w:type="dxa" w:w="90"/>
              <w:bottom w:type="dxa" w:w="60"/>
              <w:right w:type="dxa" w:w="90"/>
            </w:tcMar>
          </w:tcPr>
          <w:p>
            <w:pPr>
              <w:spacing w:after="40"/>
            </w:pPr>
            <w:r>
              <w:rPr>
                <w:b w:val="false"/>
                <w:bCs w:val="false"/>
                <w:sz w:val="19"/>
                <w:szCs w:val="19"/>
              </w:rPr>
              <w:t xml:space="preserve">Very high for Vidarbha; almost certainly groundwater</w:t>
            </w:r>
          </w:p>
        </w:tc>
      </w:tr>
      <w:tr>
        <w:trPr>
          <w:cantSplit/>
        </w:trPr>
        <w:tc>
          <w:tcPr>
            <w:tcW w:type="dxa" w:w="2142"/>
            <w:tcMar>
              <w:top w:type="dxa" w:w="60"/>
              <w:left w:type="dxa" w:w="90"/>
              <w:bottom w:type="dxa" w:w="60"/>
              <w:right w:type="dxa" w:w="90"/>
            </w:tcMar>
          </w:tcPr>
          <w:p>
            <w:pPr>
              <w:spacing w:after="40"/>
            </w:pPr>
            <w:r>
              <w:rPr>
                <w:b w:val="false"/>
                <w:bCs w:val="false"/>
                <w:sz w:val="19"/>
                <w:szCs w:val="19"/>
              </w:rPr>
              <w:t xml:space="preserve">Permanent pasture</w:t>
            </w:r>
          </w:p>
        </w:tc>
        <w:tc>
          <w:tcPr>
            <w:tcW w:type="dxa" w:w="1377"/>
            <w:tcMar>
              <w:top w:type="dxa" w:w="60"/>
              <w:left w:type="dxa" w:w="90"/>
              <w:bottom w:type="dxa" w:w="60"/>
              <w:right w:type="dxa" w:w="90"/>
            </w:tcMar>
          </w:tcPr>
          <w:p>
            <w:pPr>
              <w:spacing w:after="40"/>
            </w:pPr>
            <w:r>
              <w:rPr>
                <w:b w:val="false"/>
                <w:bCs w:val="false"/>
                <w:sz w:val="19"/>
                <w:szCs w:val="19"/>
              </w:rPr>
              <w:t xml:space="preserve">31.62</w:t>
            </w:r>
          </w:p>
        </w:tc>
        <w:tc>
          <w:tcPr>
            <w:tcW w:type="dxa" w:w="1530"/>
            <w:tcMar>
              <w:top w:type="dxa" w:w="60"/>
              <w:left w:type="dxa" w:w="90"/>
              <w:bottom w:type="dxa" w:w="60"/>
              <w:right w:type="dxa" w:w="90"/>
            </w:tcMar>
          </w:tcPr>
          <w:p>
            <w:pPr>
              <w:spacing w:after="40"/>
            </w:pPr>
            <w:r>
              <w:rPr>
                <w:b w:val="false"/>
                <w:bCs w:val="false"/>
                <w:sz w:val="19"/>
                <w:szCs w:val="19"/>
              </w:rPr>
              <w:t xml:space="preserve">4.7%</w:t>
            </w:r>
          </w:p>
        </w:tc>
        <w:tc>
          <w:tcPr>
            <w:tcW w:type="dxa" w:w="3977"/>
            <w:tcMar>
              <w:top w:type="dxa" w:w="60"/>
              <w:left w:type="dxa" w:w="90"/>
              <w:bottom w:type="dxa" w:w="60"/>
              <w:right w:type="dxa" w:w="90"/>
            </w:tcMar>
          </w:tcPr>
          <w:p>
            <w:pPr>
              <w:spacing w:after="40"/>
            </w:pPr>
            <w:r>
              <w:rPr>
                <w:b w:val="false"/>
                <w:bCs w:val="false"/>
                <w:sz w:val="19"/>
                <w:szCs w:val="19"/>
              </w:rPr>
              <w:t xml:space="preserve">Nowhere near sufficient for 906 animals</w:t>
            </w:r>
          </w:p>
        </w:tc>
      </w:tr>
      <w:tr>
        <w:trPr>
          <w:cantSplit/>
        </w:trPr>
        <w:tc>
          <w:tcPr>
            <w:tcW w:type="dxa" w:w="2142"/>
            <w:shd w:fill="F7F9F8" w:color="auto" w:val="clear"/>
            <w:tcMar>
              <w:top w:type="dxa" w:w="60"/>
              <w:left w:type="dxa" w:w="90"/>
              <w:bottom w:type="dxa" w:w="60"/>
              <w:right w:type="dxa" w:w="90"/>
            </w:tcMar>
          </w:tcPr>
          <w:p>
            <w:pPr>
              <w:spacing w:after="40"/>
            </w:pPr>
            <w:r>
              <w:rPr>
                <w:b/>
                <w:bCs/>
                <w:sz w:val="19"/>
                <w:szCs w:val="19"/>
              </w:rPr>
              <w:t xml:space="preserve">Total</w:t>
            </w:r>
          </w:p>
        </w:tc>
        <w:tc>
          <w:tcPr>
            <w:tcW w:type="dxa" w:w="1377"/>
            <w:shd w:fill="F7F9F8" w:color="auto" w:val="clear"/>
            <w:tcMar>
              <w:top w:type="dxa" w:w="60"/>
              <w:left w:type="dxa" w:w="90"/>
              <w:bottom w:type="dxa" w:w="60"/>
              <w:right w:type="dxa" w:w="90"/>
            </w:tcMar>
          </w:tcPr>
          <w:p>
            <w:pPr>
              <w:spacing w:after="40"/>
            </w:pPr>
            <w:r>
              <w:rPr>
                <w:b/>
                <w:bCs/>
                <w:sz w:val="19"/>
                <w:szCs w:val="19"/>
              </w:rPr>
              <w:t xml:space="preserve">671.16</w:t>
            </w:r>
          </w:p>
        </w:tc>
        <w:tc>
          <w:tcPr>
            <w:tcW w:type="dxa" w:w="1530"/>
            <w:shd w:fill="F7F9F8" w:color="auto" w:val="clear"/>
            <w:tcMar>
              <w:top w:type="dxa" w:w="60"/>
              <w:left w:type="dxa" w:w="90"/>
              <w:bottom w:type="dxa" w:w="60"/>
              <w:right w:type="dxa" w:w="90"/>
            </w:tcMar>
          </w:tcPr>
          <w:p>
            <w:pPr>
              <w:spacing w:after="40"/>
            </w:pPr>
            <w:r>
              <w:rPr>
                <w:b/>
                <w:bCs/>
                <w:sz w:val="19"/>
                <w:szCs w:val="19"/>
              </w:rPr>
              <w:t xml:space="preserve">100%</w:t>
            </w:r>
          </w:p>
        </w:tc>
        <w:tc>
          <w:tcPr>
            <w:tcW w:type="dxa" w:w="3977"/>
            <w:shd w:fill="F7F9F8" w:color="auto" w:val="clear"/>
            <w:tcMar>
              <w:top w:type="dxa" w:w="60"/>
              <w:left w:type="dxa" w:w="90"/>
              <w:bottom w:type="dxa" w:w="60"/>
              <w:right w:type="dxa" w:w="90"/>
            </w:tcMar>
          </w:tcPr>
          <w:p>
            <w:pPr>
              <w:spacing w:after="40"/>
            </w:pPr>
          </w:p>
        </w:tc>
      </w:tr>
    </w:tbl>
    <w:p>
      <w:pPr>
        <w:spacing w:after="80"/>
      </w:pPr>
    </w:p>
    <w:p>
      <w:pPr>
        <w:pStyle w:val="Heading2"/>
        <w:keepNext/>
        <w:spacing w:after="100" w:before="200"/>
      </w:pPr>
      <w:r>
        <w:t xml:space="preserve">3.3 Livestock — the largest asset</w:t>
      </w:r>
    </w:p>
    <w:p>
      <w:pPr>
        <w:spacing w:after="120" w:line="276"/>
        <w:jc w:val="both"/>
      </w:pPr>
      <w:r>
        <w:t xml:space="preserve">The panchayat’s register records 906 animals held by 82 owners. The ten largest owners hold 42 per cent of the herd and eight extended-family groups hold 73 per cent; Katlabodi village holds 61 per cent, Murli 30 per cent and Dhankundav the remainder. At six kilograms of dry matter per animal per day, the herd needs about 2,000 tonnes of fodder a year against a few hundred tonnes of crop residue. Fodder is the binding constraint.</w:t>
      </w:r>
    </w:p>
    <w:p>
      <w:pPr>
        <w:spacing w:after="120" w:line="276"/>
        <w:jc w:val="both"/>
      </w:pPr>
      <w:r>
        <w:rPr>
          <w:b/>
          <w:bCs/>
        </w:rPr>
        <w:t xml:space="preserve">Design consequence.</w:t>
      </w:r>
      <w:r>
        <w:t xml:space="preserve"> Large herd owners act as anchors that make the milk collection point and cattle facility viable. Every other household, including those with no animals today, is linked to the same infrastructure — fodder bank, cattle facility, collection point, artificial insemination and animal-health support — on equal terms. Selection criteria are adopted in the Gram Panchayat before individuals are proposed, and the share of incremental income reaching the bottom half of owners is reported alongside total volume.</w:t>
      </w:r>
    </w:p>
    <w:p>
      <w:pPr>
        <w:pStyle w:val="Heading2"/>
        <w:keepNext/>
        <w:spacing w:after="100" w:before="200"/>
      </w:pPr>
      <w:r>
        <w:t xml:space="preserve">3.4 Services and access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51"/>
        <w:gridCol w:w="3282"/>
        <w:gridCol w:w="3693"/>
      </w:tblGrid>
      <w:tr>
        <w:trPr>
          <w:tblHeader/>
        </w:trPr>
        <w:tc>
          <w:tcPr>
            <w:tcW w:type="dxa" w:w="2051"/>
            <w:shd w:fill="EAF1EE" w:color="auto" w:val="clear"/>
            <w:tcMar>
              <w:top w:type="dxa" w:w="60"/>
              <w:left w:type="dxa" w:w="90"/>
              <w:bottom w:type="dxa" w:w="60"/>
              <w:right w:type="dxa" w:w="90"/>
            </w:tcMar>
          </w:tcPr>
          <w:p>
            <w:pPr>
              <w:spacing w:after="40"/>
            </w:pPr>
            <w:r>
              <w:rPr>
                <w:b/>
                <w:bCs/>
                <w:sz w:val="19"/>
                <w:szCs w:val="19"/>
              </w:rPr>
              <w:t xml:space="preserve">Service</w:t>
            </w:r>
          </w:p>
        </w:tc>
        <w:tc>
          <w:tcPr>
            <w:tcW w:type="dxa" w:w="3282"/>
            <w:shd w:fill="EAF1EE" w:color="auto" w:val="clear"/>
            <w:tcMar>
              <w:top w:type="dxa" w:w="60"/>
              <w:left w:type="dxa" w:w="90"/>
              <w:bottom w:type="dxa" w:w="60"/>
              <w:right w:type="dxa" w:w="90"/>
            </w:tcMar>
          </w:tcPr>
          <w:p>
            <w:pPr>
              <w:spacing w:after="40"/>
            </w:pPr>
            <w:r>
              <w:rPr>
                <w:b/>
                <w:bCs/>
                <w:sz w:val="19"/>
                <w:szCs w:val="19"/>
              </w:rPr>
              <w:t xml:space="preserve">Position today</w:t>
            </w:r>
          </w:p>
        </w:tc>
        <w:tc>
          <w:tcPr>
            <w:tcW w:type="dxa" w:w="3693"/>
            <w:shd w:fill="EAF1EE" w:color="auto" w:val="clear"/>
            <w:tcMar>
              <w:top w:type="dxa" w:w="60"/>
              <w:left w:type="dxa" w:w="90"/>
              <w:bottom w:type="dxa" w:w="60"/>
              <w:right w:type="dxa" w:w="90"/>
            </w:tcMar>
          </w:tcPr>
          <w:p>
            <w:pPr>
              <w:spacing w:after="40"/>
            </w:pPr>
            <w:r>
              <w:rPr>
                <w:b/>
                <w:bCs/>
                <w:sz w:val="19"/>
                <w:szCs w:val="19"/>
              </w:rPr>
              <w:t xml:space="preserve">Consequence</w:t>
            </w:r>
          </w:p>
        </w:tc>
      </w:tr>
      <w:tr>
        <w:trPr>
          <w:cantSplit/>
        </w:trPr>
        <w:tc>
          <w:tcPr>
            <w:tcW w:type="dxa" w:w="2051"/>
            <w:tcMar>
              <w:top w:type="dxa" w:w="60"/>
              <w:left w:type="dxa" w:w="90"/>
              <w:bottom w:type="dxa" w:w="60"/>
              <w:right w:type="dxa" w:w="90"/>
            </w:tcMar>
          </w:tcPr>
          <w:p>
            <w:pPr>
              <w:spacing w:after="40"/>
            </w:pPr>
            <w:r>
              <w:rPr>
                <w:b w:val="false"/>
                <w:bCs w:val="false"/>
                <w:sz w:val="19"/>
                <w:szCs w:val="19"/>
              </w:rPr>
              <w:t xml:space="preserve">Secondary schooling</w:t>
            </w:r>
          </w:p>
        </w:tc>
        <w:tc>
          <w:tcPr>
            <w:tcW w:type="dxa" w:w="3282"/>
            <w:tcMar>
              <w:top w:type="dxa" w:w="60"/>
              <w:left w:type="dxa" w:w="90"/>
              <w:bottom w:type="dxa" w:w="60"/>
              <w:right w:type="dxa" w:w="90"/>
            </w:tcMar>
          </w:tcPr>
          <w:p>
            <w:pPr>
              <w:spacing w:after="40"/>
            </w:pPr>
            <w:r>
              <w:rPr>
                <w:b w:val="false"/>
                <w:bCs w:val="false"/>
                <w:sz w:val="19"/>
                <w:szCs w:val="19"/>
              </w:rPr>
              <w:t xml:space="preserve">None in the panchayat; nearest at Katol or Yenwa, 30 km away</w:t>
            </w:r>
          </w:p>
        </w:tc>
        <w:tc>
          <w:tcPr>
            <w:tcW w:type="dxa" w:w="3693"/>
            <w:tcMar>
              <w:top w:type="dxa" w:w="60"/>
              <w:left w:type="dxa" w:w="90"/>
              <w:bottom w:type="dxa" w:w="60"/>
              <w:right w:type="dxa" w:w="90"/>
            </w:tcMar>
          </w:tcPr>
          <w:p>
            <w:pPr>
              <w:spacing w:after="40"/>
            </w:pPr>
            <w:r>
              <w:rPr>
                <w:b w:val="false"/>
                <w:bCs w:val="false"/>
                <w:sz w:val="19"/>
                <w:szCs w:val="19"/>
              </w:rPr>
              <w:t xml:space="preserve">Drives the 18-point female literacy gap; shapes the student component</w:t>
            </w:r>
          </w:p>
        </w:tc>
      </w:tr>
      <w:tr>
        <w:trPr>
          <w:cantSplit/>
        </w:trPr>
        <w:tc>
          <w:tcPr>
            <w:tcW w:type="dxa" w:w="2051"/>
            <w:tcMar>
              <w:top w:type="dxa" w:w="60"/>
              <w:left w:type="dxa" w:w="90"/>
              <w:bottom w:type="dxa" w:w="60"/>
              <w:right w:type="dxa" w:w="90"/>
            </w:tcMar>
          </w:tcPr>
          <w:p>
            <w:pPr>
              <w:spacing w:after="40"/>
            </w:pPr>
            <w:r>
              <w:rPr>
                <w:b w:val="false"/>
                <w:bCs w:val="false"/>
                <w:sz w:val="19"/>
                <w:szCs w:val="19"/>
              </w:rPr>
              <w:t xml:space="preserve">Drinking water</w:t>
            </w:r>
          </w:p>
        </w:tc>
        <w:tc>
          <w:tcPr>
            <w:tcW w:type="dxa" w:w="3282"/>
            <w:tcMar>
              <w:top w:type="dxa" w:w="60"/>
              <w:left w:type="dxa" w:w="90"/>
              <w:bottom w:type="dxa" w:w="60"/>
              <w:right w:type="dxa" w:w="90"/>
            </w:tcMar>
          </w:tcPr>
          <w:p>
            <w:pPr>
              <w:spacing w:after="40"/>
            </w:pPr>
            <w:r>
              <w:rPr>
                <w:b w:val="false"/>
                <w:bCs w:val="false"/>
                <w:sz w:val="19"/>
                <w:szCs w:val="19"/>
              </w:rPr>
              <w:t xml:space="preserve">Untreated tap, hand pumps, uncovered wells in all three villages</w:t>
            </w:r>
          </w:p>
        </w:tc>
        <w:tc>
          <w:tcPr>
            <w:tcW w:type="dxa" w:w="3693"/>
            <w:tcMar>
              <w:top w:type="dxa" w:w="60"/>
              <w:left w:type="dxa" w:w="90"/>
              <w:bottom w:type="dxa" w:w="60"/>
              <w:right w:type="dxa" w:w="90"/>
            </w:tcMar>
          </w:tcPr>
          <w:p>
            <w:pPr>
              <w:spacing w:after="40"/>
            </w:pPr>
            <w:r>
              <w:rPr>
                <w:b w:val="false"/>
                <w:bCs w:val="false"/>
                <w:sz w:val="19"/>
                <w:szCs w:val="19"/>
              </w:rPr>
              <w:t xml:space="preserve">A Jal Jeevan Mission gap; acute in drought</w:t>
            </w:r>
          </w:p>
        </w:tc>
      </w:tr>
      <w:tr>
        <w:trPr>
          <w:cantSplit/>
        </w:trPr>
        <w:tc>
          <w:tcPr>
            <w:tcW w:type="dxa" w:w="2051"/>
            <w:tcMar>
              <w:top w:type="dxa" w:w="60"/>
              <w:left w:type="dxa" w:w="90"/>
              <w:bottom w:type="dxa" w:w="60"/>
              <w:right w:type="dxa" w:w="90"/>
            </w:tcMar>
          </w:tcPr>
          <w:p>
            <w:pPr>
              <w:spacing w:after="40"/>
            </w:pPr>
            <w:r>
              <w:rPr>
                <w:b w:val="false"/>
                <w:bCs w:val="false"/>
                <w:sz w:val="19"/>
                <w:szCs w:val="19"/>
              </w:rPr>
              <w:t xml:space="preserve">Banking</w:t>
            </w:r>
          </w:p>
        </w:tc>
        <w:tc>
          <w:tcPr>
            <w:tcW w:type="dxa" w:w="3282"/>
            <w:tcMar>
              <w:top w:type="dxa" w:w="60"/>
              <w:left w:type="dxa" w:w="90"/>
              <w:bottom w:type="dxa" w:w="60"/>
              <w:right w:type="dxa" w:w="90"/>
            </w:tcMar>
          </w:tcPr>
          <w:p>
            <w:pPr>
              <w:spacing w:after="40"/>
            </w:pPr>
            <w:r>
              <w:rPr>
                <w:b w:val="false"/>
                <w:bCs w:val="false"/>
                <w:sz w:val="19"/>
                <w:szCs w:val="19"/>
              </w:rPr>
              <w:t xml:space="preserve">None; nearest more than 10 km away</w:t>
            </w:r>
          </w:p>
        </w:tc>
        <w:tc>
          <w:tcPr>
            <w:tcW w:type="dxa" w:w="3693"/>
            <w:tcMar>
              <w:top w:type="dxa" w:w="60"/>
              <w:left w:type="dxa" w:w="90"/>
              <w:bottom w:type="dxa" w:w="60"/>
              <w:right w:type="dxa" w:w="90"/>
            </w:tcMar>
          </w:tcPr>
          <w:p>
            <w:pPr>
              <w:spacing w:after="40"/>
            </w:pPr>
            <w:r>
              <w:rPr>
                <w:b w:val="false"/>
                <w:bCs w:val="false"/>
                <w:sz w:val="19"/>
                <w:szCs w:val="19"/>
              </w:rPr>
              <w:t xml:space="preserve">Self-help group dependence on informal credit</w:t>
            </w:r>
          </w:p>
        </w:tc>
      </w:tr>
      <w:tr>
        <w:trPr>
          <w:cantSplit/>
        </w:trPr>
        <w:tc>
          <w:tcPr>
            <w:tcW w:type="dxa" w:w="2051"/>
            <w:tcMar>
              <w:top w:type="dxa" w:w="60"/>
              <w:left w:type="dxa" w:w="90"/>
              <w:bottom w:type="dxa" w:w="60"/>
              <w:right w:type="dxa" w:w="90"/>
            </w:tcMar>
          </w:tcPr>
          <w:p>
            <w:pPr>
              <w:spacing w:after="40"/>
            </w:pPr>
            <w:r>
              <w:rPr>
                <w:b w:val="false"/>
                <w:bCs w:val="false"/>
                <w:sz w:val="19"/>
                <w:szCs w:val="19"/>
              </w:rPr>
              <w:t xml:space="preserve">Power</w:t>
            </w:r>
          </w:p>
        </w:tc>
        <w:tc>
          <w:tcPr>
            <w:tcW w:type="dxa" w:w="3282"/>
            <w:tcMar>
              <w:top w:type="dxa" w:w="60"/>
              <w:left w:type="dxa" w:w="90"/>
              <w:bottom w:type="dxa" w:w="60"/>
              <w:right w:type="dxa" w:w="90"/>
            </w:tcMar>
          </w:tcPr>
          <w:p>
            <w:pPr>
              <w:spacing w:after="40"/>
            </w:pPr>
            <w:r>
              <w:rPr>
                <w:b w:val="false"/>
                <w:bCs w:val="false"/>
                <w:sz w:val="19"/>
                <w:szCs w:val="19"/>
              </w:rPr>
              <w:t xml:space="preserve">About 12 hours a day</w:t>
            </w:r>
          </w:p>
        </w:tc>
        <w:tc>
          <w:tcPr>
            <w:tcW w:type="dxa" w:w="3693"/>
            <w:tcMar>
              <w:top w:type="dxa" w:w="60"/>
              <w:left w:type="dxa" w:w="90"/>
              <w:bottom w:type="dxa" w:w="60"/>
              <w:right w:type="dxa" w:w="90"/>
            </w:tcMar>
          </w:tcPr>
          <w:p>
            <w:pPr>
              <w:spacing w:after="40"/>
            </w:pPr>
            <w:r>
              <w:rPr>
                <w:b w:val="false"/>
                <w:bCs w:val="false"/>
                <w:sz w:val="19"/>
                <w:szCs w:val="19"/>
              </w:rPr>
              <w:t xml:space="preserve">Adequate domestically; marginal for cold chain</w:t>
            </w:r>
          </w:p>
        </w:tc>
      </w:tr>
      <w:tr>
        <w:trPr>
          <w:cantSplit/>
        </w:trPr>
        <w:tc>
          <w:tcPr>
            <w:tcW w:type="dxa" w:w="2051"/>
            <w:tcMar>
              <w:top w:type="dxa" w:w="60"/>
              <w:left w:type="dxa" w:w="90"/>
              <w:bottom w:type="dxa" w:w="60"/>
              <w:right w:type="dxa" w:w="90"/>
            </w:tcMar>
          </w:tcPr>
          <w:p>
            <w:pPr>
              <w:spacing w:after="40"/>
            </w:pPr>
            <w:r>
              <w:rPr>
                <w:b w:val="false"/>
                <w:bCs w:val="false"/>
                <w:sz w:val="19"/>
                <w:szCs w:val="19"/>
              </w:rPr>
              <w:t xml:space="preserve">Transport</w:t>
            </w:r>
          </w:p>
        </w:tc>
        <w:tc>
          <w:tcPr>
            <w:tcW w:type="dxa" w:w="3282"/>
            <w:tcMar>
              <w:top w:type="dxa" w:w="60"/>
              <w:left w:type="dxa" w:w="90"/>
              <w:bottom w:type="dxa" w:w="60"/>
              <w:right w:type="dxa" w:w="90"/>
            </w:tcMar>
          </w:tcPr>
          <w:p>
            <w:pPr>
              <w:spacing w:after="40"/>
            </w:pPr>
            <w:r>
              <w:rPr>
                <w:b w:val="false"/>
                <w:bCs w:val="false"/>
                <w:sz w:val="19"/>
                <w:szCs w:val="19"/>
              </w:rPr>
              <w:t xml:space="preserve">Murli and Dhankundav more than 5 km off the bus network</w:t>
            </w:r>
          </w:p>
        </w:tc>
        <w:tc>
          <w:tcPr>
            <w:tcW w:type="dxa" w:w="3693"/>
            <w:tcMar>
              <w:top w:type="dxa" w:w="60"/>
              <w:left w:type="dxa" w:w="90"/>
              <w:bottom w:type="dxa" w:w="60"/>
              <w:right w:type="dxa" w:w="90"/>
            </w:tcMar>
          </w:tcPr>
          <w:p>
            <w:pPr>
              <w:spacing w:after="40"/>
            </w:pPr>
            <w:r>
              <w:rPr>
                <w:b w:val="false"/>
                <w:bCs w:val="false"/>
                <w:sz w:val="19"/>
                <w:szCs w:val="19"/>
              </w:rPr>
              <w:t xml:space="preserve">Katlabodi village holds 62% of the population and 64% of households; facilities must be sited for all three</w:t>
            </w:r>
          </w:p>
        </w:tc>
      </w:tr>
      <w:tr>
        <w:trPr>
          <w:cantSplit/>
        </w:trPr>
        <w:tc>
          <w:tcPr>
            <w:tcW w:type="dxa" w:w="2051"/>
            <w:tcMar>
              <w:top w:type="dxa" w:w="60"/>
              <w:left w:type="dxa" w:w="90"/>
              <w:bottom w:type="dxa" w:w="60"/>
              <w:right w:type="dxa" w:w="90"/>
            </w:tcMar>
          </w:tcPr>
          <w:p>
            <w:pPr>
              <w:spacing w:after="40"/>
            </w:pPr>
            <w:r>
              <w:rPr>
                <w:b w:val="false"/>
                <w:bCs w:val="false"/>
                <w:sz w:val="19"/>
                <w:szCs w:val="19"/>
              </w:rPr>
              <w:t xml:space="preserve">Literacy</w:t>
            </w:r>
          </w:p>
        </w:tc>
        <w:tc>
          <w:tcPr>
            <w:tcW w:type="dxa" w:w="3282"/>
            <w:tcMar>
              <w:top w:type="dxa" w:w="60"/>
              <w:left w:type="dxa" w:w="90"/>
              <w:bottom w:type="dxa" w:w="60"/>
              <w:right w:type="dxa" w:w="90"/>
            </w:tcMar>
          </w:tcPr>
          <w:p>
            <w:pPr>
              <w:spacing w:after="40"/>
            </w:pPr>
            <w:r>
              <w:rPr>
                <w:b w:val="false"/>
                <w:bCs w:val="false"/>
                <w:sz w:val="19"/>
                <w:szCs w:val="19"/>
              </w:rPr>
              <w:t xml:space="preserve">77.4% overall; male 86.0%, female 67.7%</w:t>
            </w:r>
          </w:p>
        </w:tc>
        <w:tc>
          <w:tcPr>
            <w:tcW w:type="dxa" w:w="3693"/>
            <w:tcMar>
              <w:top w:type="dxa" w:w="60"/>
              <w:left w:type="dxa" w:w="90"/>
              <w:bottom w:type="dxa" w:w="60"/>
              <w:right w:type="dxa" w:w="90"/>
            </w:tcMar>
          </w:tcPr>
          <w:p>
            <w:pPr>
              <w:spacing w:after="40"/>
            </w:pPr>
            <w:r>
              <w:rPr>
                <w:b w:val="false"/>
                <w:bCs w:val="false"/>
                <w:sz w:val="19"/>
                <w:szCs w:val="19"/>
              </w:rPr>
              <w:t xml:space="preserve">The clearest human-capital target</w:t>
            </w:r>
          </w:p>
        </w:tc>
      </w:tr>
    </w:tbl>
    <w:p>
      <w:pPr>
        <w:spacing w:after="80"/>
      </w:pPr>
    </w:p>
    <w:p>
      <w:pPr>
        <w:pStyle w:val="Heading1"/>
        <w:keepNext/>
        <w:spacing w:after="140" w:before="300"/>
      </w:pPr>
      <w:r>
        <w:t xml:space="preserve">4. USDF: one framework, two pillars</w:t>
      </w:r>
    </w:p>
    <w:p>
      <w:pPr>
        <w:spacing w:after="120" w:line="276"/>
        <w:jc w:val="both"/>
      </w:pPr>
      <w:r>
        <w:t xml:space="preserve">USDF is UrjaGram’s framework for climate adaptation, mitigation and sustainable development at the scale of a Gram Panchayat. It converges the sectors that fail together into one plan, and rests on two pillars:</w:t>
      </w:r>
    </w:p>
    <w:p>
      <w:pPr>
        <w:pStyle w:val="ListParagraph"/>
        <w:numPr>
          <w:ilvl w:val="0"/>
          <w:numId w:val="2"/>
        </w:numPr>
        <w:spacing w:after="80" w:line="264"/>
        <w:jc w:val="left"/>
      </w:pPr>
      <w:r>
        <w:rPr>
          <w:b/>
          <w:bCs/>
        </w:rPr>
        <w:t xml:space="preserve">The digital pillar — DEVTech.</w:t>
      </w:r>
      <w:r>
        <w:t xml:space="preserve"> A village-scale platform that plans, delivers and measures: household and asset registers, sector modules, a digital twin of the panchayat, and a measurement layer that keeps estimated, verified and issued results separate (section 5).</w:t>
      </w:r>
    </w:p>
    <w:p>
      <w:pPr>
        <w:pStyle w:val="ListParagraph"/>
        <w:numPr>
          <w:ilvl w:val="0"/>
          <w:numId w:val="2"/>
        </w:numPr>
        <w:spacing w:after="80" w:line="264"/>
        <w:jc w:val="left"/>
      </w:pPr>
      <w:r>
        <w:rPr>
          <w:b/>
          <w:bCs/>
        </w:rPr>
        <w:t xml:space="preserve">The local-capacity pillar.</w:t>
      </w:r>
      <w:r>
        <w:t xml:space="preserve"> Women’s cadres, students and interns who operate the platform and deliver the projects, so that capability stays in the village when the grant ends (section 6).</w:t>
      </w:r>
    </w:p>
    <w:p>
      <w:pPr>
        <w:spacing w:after="120" w:line="276"/>
        <w:jc w:val="both"/>
      </w:pPr>
      <w:r>
        <w:t xml:space="preserve">The output that joins them is the </w:t>
      </w:r>
      <w:r>
        <w:rPr>
          <w:b/>
          <w:bCs/>
        </w:rPr>
        <w:t xml:space="preserve">Gram Panchayat Integrated Investment Plan (GP-IIP)</w:t>
      </w:r>
      <w:r>
        <w:t xml:space="preserve">: a ten-year, projectised and financed plan, prepared in year one and delivered from year two (section 7).</w:t>
      </w:r>
    </w:p>
    <w:p>
      <w:pPr>
        <w:pStyle w:val="Heading2"/>
        <w:keepNext/>
        <w:spacing w:after="100" w:before="200"/>
      </w:pPr>
      <w:r>
        <w:t xml:space="preserve">4.1 The six village projects</w:t>
      </w:r>
    </w:p>
    <w:p>
      <w:pPr>
        <w:spacing w:after="120" w:line="276"/>
        <w:jc w:val="both"/>
      </w:pPr>
      <w:r>
        <w:t xml:space="preserve">The projects are interdependent by design. Water security makes land reliably cultivable and so enables agroforestry and fodder; the livestock facility supplies feedstock to the biogas plant; the digester returns slurry to the agroforestry plots; and local food, milk and clean cooking supply the nutrition and household-air components of the health project. Projects 1 to 5 change what happens in the panchayat; Project 6 measures that change to a standard that can be verified and sold. Each draws on response options assessed by IPBES — among them agroforestry (C11), groundwater governance and community water management (W09, W15), One Health (H14), sustainable bioeconomy through biogas (C07) and sustainable use of medicinal plants (H04). Activities are indicative and will be finalised with the Gram Panchayat.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14"/>
        <w:gridCol w:w="3065"/>
        <w:gridCol w:w="3747"/>
      </w:tblGrid>
      <w:tr>
        <w:trPr>
          <w:tblHeader/>
        </w:trPr>
        <w:tc>
          <w:tcPr>
            <w:tcW w:type="dxa" w:w="2214"/>
            <w:shd w:fill="EAF1EE" w:color="auto" w:val="clear"/>
            <w:tcMar>
              <w:top w:type="dxa" w:w="60"/>
              <w:left w:type="dxa" w:w="90"/>
              <w:bottom w:type="dxa" w:w="60"/>
              <w:right w:type="dxa" w:w="90"/>
            </w:tcMar>
          </w:tcPr>
          <w:p>
            <w:pPr>
              <w:spacing w:after="40"/>
            </w:pPr>
            <w:r>
              <w:rPr>
                <w:b/>
                <w:bCs/>
                <w:sz w:val="19"/>
                <w:szCs w:val="19"/>
              </w:rPr>
              <w:t xml:space="preserve">Project</w:t>
            </w:r>
          </w:p>
        </w:tc>
        <w:tc>
          <w:tcPr>
            <w:tcW w:type="dxa" w:w="3065"/>
            <w:shd w:fill="EAF1EE" w:color="auto" w:val="clear"/>
            <w:tcMar>
              <w:top w:type="dxa" w:w="60"/>
              <w:left w:type="dxa" w:w="90"/>
              <w:bottom w:type="dxa" w:w="60"/>
              <w:right w:type="dxa" w:w="90"/>
            </w:tcMar>
          </w:tcPr>
          <w:p>
            <w:pPr>
              <w:spacing w:after="40"/>
            </w:pPr>
            <w:r>
              <w:rPr>
                <w:b/>
                <w:bCs/>
                <w:sz w:val="19"/>
                <w:szCs w:val="19"/>
              </w:rPr>
              <w:t xml:space="preserve">Ten-year outcome</w:t>
            </w:r>
          </w:p>
        </w:tc>
        <w:tc>
          <w:tcPr>
            <w:tcW w:type="dxa" w:w="3747"/>
            <w:shd w:fill="EAF1EE" w:color="auto" w:val="clear"/>
            <w:tcMar>
              <w:top w:type="dxa" w:w="60"/>
              <w:left w:type="dxa" w:w="90"/>
              <w:bottom w:type="dxa" w:w="60"/>
              <w:right w:type="dxa" w:w="90"/>
            </w:tcMar>
          </w:tcPr>
          <w:p>
            <w:pPr>
              <w:spacing w:after="40"/>
            </w:pPr>
            <w:r>
              <w:rPr>
                <w:b/>
                <w:bCs/>
                <w:sz w:val="19"/>
                <w:szCs w:val="19"/>
              </w:rPr>
              <w:t xml:space="preserve">Year-one contribution</w:t>
            </w:r>
          </w:p>
        </w:tc>
      </w:tr>
      <w:tr>
        <w:trPr>
          <w:cantSplit/>
        </w:trPr>
        <w:tc>
          <w:tcPr>
            <w:tcW w:type="dxa" w:w="2214"/>
            <w:tcMar>
              <w:top w:type="dxa" w:w="60"/>
              <w:left w:type="dxa" w:w="90"/>
              <w:bottom w:type="dxa" w:w="60"/>
              <w:right w:type="dxa" w:w="90"/>
            </w:tcMar>
          </w:tcPr>
          <w:p>
            <w:pPr>
              <w:spacing w:after="40"/>
            </w:pPr>
            <w:r>
              <w:rPr>
                <w:b w:val="false"/>
                <w:bCs w:val="false"/>
                <w:sz w:val="19"/>
                <w:szCs w:val="19"/>
              </w:rPr>
              <w:t xml:space="preserve">1. Biodiversity and medicinal agroforestry</w:t>
            </w:r>
            <w:r>
              <w:rPr>
                <w:b w:val="false"/>
                <w:bCs w:val="false"/>
                <w:sz w:val="19"/>
                <w:szCs w:val="19"/>
              </w:rPr>
              <w:t xml:space="preserve"> (Annex D)</w:t>
            </w:r>
          </w:p>
        </w:tc>
        <w:tc>
          <w:tcPr>
            <w:tcW w:type="dxa" w:w="3065"/>
            <w:tcMar>
              <w:top w:type="dxa" w:w="60"/>
              <w:left w:type="dxa" w:w="90"/>
              <w:bottom w:type="dxa" w:w="60"/>
              <w:right w:type="dxa" w:w="90"/>
            </w:tcMar>
          </w:tcPr>
          <w:p>
            <w:pPr>
              <w:spacing w:after="40"/>
            </w:pPr>
            <w:r>
              <w:rPr>
                <w:b w:val="false"/>
                <w:bCs w:val="false"/>
                <w:sz w:val="19"/>
                <w:szCs w:val="19"/>
              </w:rPr>
              <w:t xml:space="preserve">Degraded and marginal land carries a permanent woody and medicinal asset; women’s self-help groups capture processing margin; biodiversity is managed as infrastructure that provides ecosystem services</w:t>
            </w:r>
          </w:p>
        </w:tc>
        <w:tc>
          <w:tcPr>
            <w:tcW w:type="dxa" w:w="3747"/>
            <w:tcMar>
              <w:top w:type="dxa" w:w="60"/>
              <w:left w:type="dxa" w:w="90"/>
              <w:bottom w:type="dxa" w:w="60"/>
              <w:right w:type="dxa" w:w="90"/>
            </w:tcMar>
          </w:tcPr>
          <w:p>
            <w:pPr>
              <w:spacing w:after="40"/>
            </w:pPr>
            <w:r>
              <w:rPr>
                <w:b w:val="false"/>
                <w:bCs w:val="false"/>
                <w:sz w:val="19"/>
                <w:szCs w:val="19"/>
              </w:rPr>
              <w:t xml:space="preserve">Hub nursery and demonstration site built; species and land assessment; People’s Biodiversity Register updated; Van Sakhi cadre trained; producer organisation constituted or linked</w:t>
            </w:r>
          </w:p>
        </w:tc>
      </w:tr>
      <w:tr>
        <w:trPr>
          <w:cantSplit/>
        </w:trPr>
        <w:tc>
          <w:tcPr>
            <w:tcW w:type="dxa" w:w="2214"/>
            <w:tcMar>
              <w:top w:type="dxa" w:w="60"/>
              <w:left w:type="dxa" w:w="90"/>
              <w:bottom w:type="dxa" w:w="60"/>
              <w:right w:type="dxa" w:w="90"/>
            </w:tcMar>
          </w:tcPr>
          <w:p>
            <w:pPr>
              <w:spacing w:after="40"/>
            </w:pPr>
            <w:r>
              <w:rPr>
                <w:b w:val="false"/>
                <w:bCs w:val="false"/>
                <w:sz w:val="19"/>
                <w:szCs w:val="19"/>
              </w:rPr>
              <w:t xml:space="preserve">2. Village water security</w:t>
            </w:r>
          </w:p>
        </w:tc>
        <w:tc>
          <w:tcPr>
            <w:tcW w:type="dxa" w:w="3065"/>
            <w:tcMar>
              <w:top w:type="dxa" w:w="60"/>
              <w:left w:type="dxa" w:w="90"/>
              <w:bottom w:type="dxa" w:w="60"/>
              <w:right w:type="dxa" w:w="90"/>
            </w:tcMar>
          </w:tcPr>
          <w:p>
            <w:pPr>
              <w:spacing w:after="40"/>
            </w:pPr>
            <w:r>
              <w:rPr>
                <w:b w:val="false"/>
                <w:bCs w:val="false"/>
                <w:sz w:val="19"/>
                <w:szCs w:val="19"/>
              </w:rPr>
              <w:t xml:space="preserve">Extraction and recharge in measured balance; reliable cropping across two seasons</w:t>
            </w:r>
          </w:p>
        </w:tc>
        <w:tc>
          <w:tcPr>
            <w:tcW w:type="dxa" w:w="3747"/>
            <w:tcMar>
              <w:top w:type="dxa" w:w="60"/>
              <w:left w:type="dxa" w:w="90"/>
              <w:bottom w:type="dxa" w:w="60"/>
              <w:right w:type="dxa" w:w="90"/>
            </w:tcMar>
          </w:tcPr>
          <w:p>
            <w:pPr>
              <w:spacing w:after="40"/>
            </w:pPr>
            <w:r>
              <w:rPr>
                <w:b w:val="false"/>
                <w:bCs w:val="false"/>
                <w:sz w:val="19"/>
                <w:szCs w:val="19"/>
              </w:rPr>
              <w:t xml:space="preserve">Water mapping and budget; drought contingency plan; hydrogeological read; priority recharge and repair works through VB-G RAM G; drip demonstration; monitoring baseline</w:t>
            </w:r>
          </w:p>
        </w:tc>
      </w:tr>
      <w:tr>
        <w:trPr>
          <w:cantSplit/>
        </w:trPr>
        <w:tc>
          <w:tcPr>
            <w:tcW w:type="dxa" w:w="2214"/>
            <w:tcMar>
              <w:top w:type="dxa" w:w="60"/>
              <w:left w:type="dxa" w:w="90"/>
              <w:bottom w:type="dxa" w:w="60"/>
              <w:right w:type="dxa" w:w="90"/>
            </w:tcMar>
          </w:tcPr>
          <w:p>
            <w:pPr>
              <w:spacing w:after="40"/>
            </w:pPr>
            <w:r>
              <w:rPr>
                <w:b w:val="false"/>
                <w:bCs w:val="false"/>
                <w:sz w:val="19"/>
                <w:szCs w:val="19"/>
              </w:rPr>
              <w:t xml:space="preserve">3. Livestock, dairy and AI-enabled breeding</w:t>
            </w:r>
          </w:p>
        </w:tc>
        <w:tc>
          <w:tcPr>
            <w:tcW w:type="dxa" w:w="3065"/>
            <w:tcMar>
              <w:top w:type="dxa" w:w="60"/>
              <w:left w:type="dxa" w:w="90"/>
              <w:bottom w:type="dxa" w:w="60"/>
              <w:right w:type="dxa" w:w="90"/>
            </w:tcMar>
          </w:tcPr>
          <w:p>
            <w:pPr>
              <w:spacing w:after="40"/>
            </w:pPr>
            <w:r>
              <w:rPr>
                <w:b w:val="false"/>
                <w:bCs w:val="false"/>
                <w:sz w:val="19"/>
                <w:szCs w:val="19"/>
              </w:rPr>
              <w:t xml:space="preserve">An organised, women-operated, lower-emission value chain with benefits deliberately widened</w:t>
            </w:r>
          </w:p>
        </w:tc>
        <w:tc>
          <w:tcPr>
            <w:tcW w:type="dxa" w:w="3747"/>
            <w:tcMar>
              <w:top w:type="dxa" w:w="60"/>
              <w:left w:type="dxa" w:w="90"/>
              <w:bottom w:type="dxa" w:w="60"/>
              <w:right w:type="dxa" w:w="90"/>
            </w:tcMar>
          </w:tcPr>
          <w:p>
            <w:pPr>
              <w:spacing w:after="40"/>
            </w:pPr>
            <w:r>
              <w:rPr>
                <w:b w:val="false"/>
                <w:bCs w:val="false"/>
                <w:sz w:val="19"/>
                <w:szCs w:val="19"/>
              </w:rPr>
              <w:t xml:space="preserve">Register re-verified; fodder bank and drought fodder plan; cattle facility and milk collection point; Pashu Sakhi cadre; livestock module with Marathi voice advisory</w:t>
            </w:r>
          </w:p>
        </w:tc>
      </w:tr>
      <w:tr>
        <w:trPr>
          <w:cantSplit/>
        </w:trPr>
        <w:tc>
          <w:tcPr>
            <w:tcW w:type="dxa" w:w="2214"/>
            <w:tcMar>
              <w:top w:type="dxa" w:w="60"/>
              <w:left w:type="dxa" w:w="90"/>
              <w:bottom w:type="dxa" w:w="60"/>
              <w:right w:type="dxa" w:w="90"/>
            </w:tcMar>
          </w:tcPr>
          <w:p>
            <w:pPr>
              <w:spacing w:after="40"/>
            </w:pPr>
            <w:r>
              <w:rPr>
                <w:b w:val="false"/>
                <w:bCs w:val="false"/>
                <w:sz w:val="19"/>
                <w:szCs w:val="19"/>
              </w:rPr>
              <w:t xml:space="preserve">4. Clean energy</w:t>
            </w:r>
          </w:p>
        </w:tc>
        <w:tc>
          <w:tcPr>
            <w:tcW w:type="dxa" w:w="3065"/>
            <w:tcMar>
              <w:top w:type="dxa" w:w="60"/>
              <w:left w:type="dxa" w:w="90"/>
              <w:bottom w:type="dxa" w:w="60"/>
              <w:right w:type="dxa" w:w="90"/>
            </w:tcMar>
          </w:tcPr>
          <w:p>
            <w:pPr>
              <w:spacing w:after="40"/>
            </w:pPr>
            <w:r>
              <w:rPr>
                <w:b w:val="false"/>
                <w:bCs w:val="false"/>
                <w:sz w:val="19"/>
                <w:szCs w:val="19"/>
              </w:rPr>
              <w:t xml:space="preserve">Cooking and institutional energy from local clean sources; less pressure on the forest</w:t>
            </w:r>
          </w:p>
        </w:tc>
        <w:tc>
          <w:tcPr>
            <w:tcW w:type="dxa" w:w="3747"/>
            <w:tcMar>
              <w:top w:type="dxa" w:w="60"/>
              <w:left w:type="dxa" w:w="90"/>
              <w:bottom w:type="dxa" w:w="60"/>
              <w:right w:type="dxa" w:w="90"/>
            </w:tcMar>
          </w:tcPr>
          <w:p>
            <w:pPr>
              <w:spacing w:after="40"/>
            </w:pPr>
            <w:r>
              <w:rPr>
                <w:b w:val="false"/>
                <w:bCs w:val="false"/>
                <w:sz w:val="19"/>
                <w:szCs w:val="19"/>
              </w:rPr>
              <w:t xml:space="preserve">First solar installations on public institutions; biogas plant designed and sited; household transition to clean cooking begins</w:t>
            </w:r>
          </w:p>
        </w:tc>
      </w:tr>
      <w:tr>
        <w:trPr>
          <w:cantSplit/>
        </w:trPr>
        <w:tc>
          <w:tcPr>
            <w:tcW w:type="dxa" w:w="2214"/>
            <w:tcMar>
              <w:top w:type="dxa" w:w="60"/>
              <w:left w:type="dxa" w:w="90"/>
              <w:bottom w:type="dxa" w:w="60"/>
              <w:right w:type="dxa" w:w="90"/>
            </w:tcMar>
          </w:tcPr>
          <w:p>
            <w:pPr>
              <w:spacing w:after="40"/>
            </w:pPr>
            <w:r>
              <w:rPr>
                <w:b w:val="false"/>
                <w:bCs w:val="false"/>
                <w:sz w:val="19"/>
                <w:szCs w:val="19"/>
              </w:rPr>
              <w:t xml:space="preserve">5. Community health and nutrition</w:t>
            </w:r>
          </w:p>
        </w:tc>
        <w:tc>
          <w:tcPr>
            <w:tcW w:type="dxa" w:w="3065"/>
            <w:tcMar>
              <w:top w:type="dxa" w:w="60"/>
              <w:left w:type="dxa" w:w="90"/>
              <w:bottom w:type="dxa" w:w="60"/>
              <w:right w:type="dxa" w:w="90"/>
            </w:tcMar>
          </w:tcPr>
          <w:p>
            <w:pPr>
              <w:spacing w:after="40"/>
            </w:pPr>
            <w:r>
              <w:rPr>
                <w:b w:val="false"/>
                <w:bCs w:val="false"/>
                <w:sz w:val="19"/>
                <w:szCs w:val="19"/>
              </w:rPr>
              <w:t xml:space="preserve">Households healthy by practice and choice, with diverse local diets and access to entitled services</w:t>
            </w:r>
          </w:p>
        </w:tc>
        <w:tc>
          <w:tcPr>
            <w:tcW w:type="dxa" w:w="3747"/>
            <w:tcMar>
              <w:top w:type="dxa" w:w="60"/>
              <w:left w:type="dxa" w:w="90"/>
              <w:bottom w:type="dxa" w:w="60"/>
              <w:right w:type="dxa" w:w="90"/>
            </w:tcMar>
          </w:tcPr>
          <w:p>
            <w:pPr>
              <w:spacing w:after="40"/>
            </w:pPr>
            <w:r>
              <w:rPr>
                <w:b w:val="false"/>
                <w:bCs w:val="false"/>
                <w:sz w:val="19"/>
                <w:szCs w:val="19"/>
              </w:rPr>
              <w:t xml:space="preserve">Nutrition baseline; local diets and indigenous practice documented; heat-action protocol; entitlement and facility gap analysis to the district; Poshan Sakhi cadre; nutrition gardens</w:t>
            </w:r>
          </w:p>
        </w:tc>
      </w:tr>
      <w:tr>
        <w:trPr>
          <w:cantSplit/>
        </w:trPr>
        <w:tc>
          <w:tcPr>
            <w:tcW w:type="dxa" w:w="2214"/>
            <w:tcMar>
              <w:top w:type="dxa" w:w="60"/>
              <w:left w:type="dxa" w:w="90"/>
              <w:bottom w:type="dxa" w:w="60"/>
              <w:right w:type="dxa" w:w="90"/>
            </w:tcMar>
          </w:tcPr>
          <w:p>
            <w:pPr>
              <w:spacing w:after="40"/>
            </w:pPr>
            <w:r>
              <w:rPr>
                <w:b w:val="false"/>
                <w:bCs w:val="false"/>
                <w:sz w:val="19"/>
                <w:szCs w:val="19"/>
              </w:rPr>
              <w:t xml:space="preserve">6. Net-zero platform and carbon revenue</w:t>
            </w:r>
          </w:p>
        </w:tc>
        <w:tc>
          <w:tcPr>
            <w:tcW w:type="dxa" w:w="3065"/>
            <w:tcMar>
              <w:top w:type="dxa" w:w="60"/>
              <w:left w:type="dxa" w:w="90"/>
              <w:bottom w:type="dxa" w:w="60"/>
              <w:right w:type="dxa" w:w="90"/>
            </w:tcMar>
          </w:tcPr>
          <w:p>
            <w:pPr>
              <w:spacing w:after="40"/>
            </w:pPr>
            <w:r>
              <w:rPr>
                <w:b w:val="false"/>
                <w:bCs w:val="false"/>
                <w:sz w:val="19"/>
                <w:szCs w:val="19"/>
              </w:rPr>
              <w:t xml:space="preserve">Any Gram Panchayat can measure its carbon balance to a verifiable standard and, pooled with others, earn carbon revenue</w:t>
            </w:r>
          </w:p>
        </w:tc>
        <w:tc>
          <w:tcPr>
            <w:tcW w:type="dxa" w:w="3747"/>
            <w:tcMar>
              <w:top w:type="dxa" w:w="60"/>
              <w:left w:type="dxa" w:w="90"/>
              <w:bottom w:type="dxa" w:w="60"/>
              <w:right w:type="dxa" w:w="90"/>
            </w:tcMar>
          </w:tcPr>
          <w:p>
            <w:pPr>
              <w:spacing w:after="40"/>
            </w:pPr>
            <w:r>
              <w:rPr>
                <w:b w:val="false"/>
                <w:bCs w:val="false"/>
                <w:sz w:val="19"/>
                <w:szCs w:val="19"/>
              </w:rPr>
              <w:t xml:space="preserve">Configurable net-zero module; Katlabodi baseline carbon account; methodology gap analysis; carbon-rights ownership resolved; block aggregation designed</w:t>
            </w:r>
          </w:p>
        </w:tc>
      </w:tr>
    </w:tbl>
    <w:p>
      <w:pPr>
        <w:spacing w:after="80"/>
      </w:pPr>
    </w:p>
    <w:p>
      <w:pPr>
        <w:pStyle w:val="Heading2"/>
        <w:keepNext/>
        <w:spacing w:after="100" w:before="200"/>
      </w:pPr>
      <w:r>
        <w:t xml:space="preserve">4.2 Project 1 — the hub site</w:t>
      </w:r>
    </w:p>
    <w:p>
      <w:pPr>
        <w:spacing w:after="120" w:line="276"/>
        <w:jc w:val="both"/>
      </w:pPr>
      <w:r>
        <w:t xml:space="preserve">Project 1 is the physical anchor of the hub. A one-hectare nursery and about four hectares of medicinal, fruit, woody and fodder plantation, with boundary bamboo, demonstrate drought-resilient land use and supply planting material to the Katol cluster and to VB-G RAM G plantation works. The species portfolio combines woody medicinal species (amla, bael, hirda, moringa), fruit species (mango, sitaphal, mulberry, lemon, jamun, ber, karvanda), medicinal shrubs (ashwagandha, kalmegh, gulab, aloe vera, brahmi) and fodder grass, with lemongrass, safed musli and arjuna as candidates subject to market and site assessment. Produce is sold “market first, cultivation second”, with an anchor buyer and a second buyer. Full design and a ten-year financial model are at Annex D.</w:t>
      </w:r>
    </w:p>
    <w:p>
      <w:pPr>
        <w:spacing w:after="120" w:line="276"/>
        <w:jc w:val="both"/>
      </w:pPr>
      <w:r>
        <w:t xml:space="preserve">The corrected model shows an operating surplus from year three, a ten-year operating surplus of ₹2.50 crore before capital cost, and recovery of the ₹1.65 crore capital cost in year nine. A drought in year two reduces ten-year revenue by about ₹15 lakh without changing the payback year.</w:t>
      </w:r>
    </w:p>
    <w:p>
      <w:pPr>
        <w:pStyle w:val="Heading2"/>
        <w:keepNext/>
        <w:spacing w:after="100" w:before="200"/>
      </w:pPr>
      <w:r>
        <w:t xml:space="preserve">4.3 Project 6 is a platform</w:t>
      </w:r>
    </w:p>
    <w:p>
      <w:pPr>
        <w:spacing w:after="120" w:line="276"/>
        <w:jc w:val="both"/>
      </w:pPr>
      <w:r>
        <w:t xml:space="preserve">Project 6 differs in kind from the other five. It builds a configurable instrument that any panchayat can use, released under the same open-source licence as the rest of the platform; Katlabodi is its first configuration. The module keeps a carbon account (enteric fermentation, manure, fertiliser, pumping, cooking fuel and transport, set against removals and avoided emissions); lets each panchayat set its own boundary, data sources, factors and target year; captures activity data through the cadres rather than a separate survey; accounts for the existing forest as a carbon stock; pools panchayats so that verification costs are shared; generates registry-agnostic documentation; and records benefit-sharing transparently. Estimated, verified and issued volumes are never merged.</w:t>
      </w:r>
    </w:p>
    <w:p>
      <w:pPr>
        <w:spacing w:after="120" w:line="276"/>
        <w:jc w:val="both"/>
      </w:pPr>
      <w:r>
        <w:t xml:space="preserve">Two structural conditions govern it. The approved offset methodologies under India’s Carbon Credit Trading Scheme do not yet cover village-scale biogas, inland agroforestry, soil carbon or livestock methane, so the near-term route is the voluntary standards [verify against current Bureau of Energy Efficiency documentation]. And verification costs cannot be carried by one panchayat, so aggregation across the Katol cluster is the condition of viability. Carbon revenue is a year-three-to-five outcome and is not represented as a year-one result.</w:t>
      </w:r>
    </w:p>
    <w:p>
      <w:pPr>
        <w:pStyle w:val="Heading1"/>
        <w:keepNext/>
        <w:spacing w:after="140" w:before="300"/>
      </w:pPr>
      <w:r>
        <w:t xml:space="preserve">5. Pillar one: DEVTech</w:t>
      </w:r>
    </w:p>
    <w:p>
      <w:pPr>
        <w:spacing w:after="120" w:line="276"/>
        <w:jc w:val="both"/>
      </w:pPr>
      <w:r>
        <w:t xml:space="preserve">DEVTech is a village-scale delivery and measurement platform developed and funded by UrjaGram. Four components are under development, three of them in production, and all are contributed in kind. The grant funds customisation and deployment for Katlabodi and release as a public asset — not the building of a platform. The platform responds to two gaps named by IPBES: the lack of indicators and data to monitor nexus interlinkages at the local scale at which they are managed (SPM Box SPM.2, p. 42), and the need to use artificial intelligence, digital twins and integrated modelling to quantify those interlinkages (SPM Appendix 3, p. 53).</w:t>
      </w:r>
    </w:p>
    <w:p>
      <w:pPr>
        <w:pStyle w:val="Heading2"/>
        <w:keepNext/>
        <w:spacing w:after="100" w:before="200"/>
      </w:pPr>
      <w:r>
        <w:t xml:space="preserve">5.1 What exists today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79"/>
        <w:gridCol w:w="6447"/>
      </w:tblGrid>
      <w:tr>
        <w:trPr>
          <w:tblHeader/>
        </w:trPr>
        <w:tc>
          <w:tcPr>
            <w:tcW w:type="dxa" w:w="2579"/>
            <w:shd w:fill="EAF1EE" w:color="auto" w:val="clear"/>
            <w:tcMar>
              <w:top w:type="dxa" w:w="60"/>
              <w:left w:type="dxa" w:w="90"/>
              <w:bottom w:type="dxa" w:w="60"/>
              <w:right w:type="dxa" w:w="90"/>
            </w:tcMar>
          </w:tcPr>
          <w:p>
            <w:pPr>
              <w:spacing w:after="40"/>
            </w:pPr>
            <w:r>
              <w:rPr>
                <w:b/>
                <w:bCs/>
                <w:sz w:val="19"/>
                <w:szCs w:val="19"/>
              </w:rPr>
              <w:t xml:space="preserve">Component</w:t>
            </w:r>
          </w:p>
        </w:tc>
        <w:tc>
          <w:tcPr>
            <w:tcW w:type="dxa" w:w="6447"/>
            <w:shd w:fill="EAF1EE" w:color="auto" w:val="clear"/>
            <w:tcMar>
              <w:top w:type="dxa" w:w="60"/>
              <w:left w:type="dxa" w:w="90"/>
              <w:bottom w:type="dxa" w:w="60"/>
              <w:right w:type="dxa" w:w="90"/>
            </w:tcMar>
          </w:tcPr>
          <w:p>
            <w:pPr>
              <w:spacing w:after="40"/>
            </w:pPr>
            <w:r>
              <w:rPr>
                <w:b/>
                <w:bCs/>
                <w:sz w:val="19"/>
                <w:szCs w:val="19"/>
              </w:rPr>
              <w:t xml:space="preserve">Function</w:t>
            </w:r>
          </w:p>
        </w:tc>
      </w:tr>
      <w:tr>
        <w:trPr>
          <w:cantSplit/>
        </w:trPr>
        <w:tc>
          <w:tcPr>
            <w:tcW w:type="dxa" w:w="2579"/>
            <w:tcMar>
              <w:top w:type="dxa" w:w="60"/>
              <w:left w:type="dxa" w:w="90"/>
              <w:bottom w:type="dxa" w:w="60"/>
              <w:right w:type="dxa" w:w="90"/>
            </w:tcMar>
          </w:tcPr>
          <w:p>
            <w:pPr>
              <w:spacing w:after="40"/>
            </w:pPr>
            <w:r>
              <w:rPr>
                <w:b w:val="false"/>
                <w:bCs w:val="false"/>
                <w:sz w:val="19"/>
                <w:szCs w:val="19"/>
              </w:rPr>
              <w:t xml:space="preserve">Energy platform — VET-OS</w:t>
            </w:r>
          </w:p>
        </w:tc>
        <w:tc>
          <w:tcPr>
            <w:tcW w:type="dxa" w:w="6447"/>
            <w:tcMar>
              <w:top w:type="dxa" w:w="60"/>
              <w:left w:type="dxa" w:w="90"/>
              <w:bottom w:type="dxa" w:w="60"/>
              <w:right w:type="dxa" w:w="90"/>
            </w:tcMar>
          </w:tcPr>
          <w:p>
            <w:pPr>
              <w:spacing w:after="40"/>
            </w:pPr>
            <w:r>
              <w:rPr>
                <w:b w:val="false"/>
                <w:bCs w:val="false"/>
                <w:sz w:val="19"/>
                <w:szCs w:val="19"/>
              </w:rPr>
              <w:t xml:space="preserve">Rooftop solar assessment structured on the PM Surya Ghar ten-stage journey, with drop-off tracking and escalation; clean-cooking transition calculator; field data-collection workflow</w:t>
            </w:r>
          </w:p>
        </w:tc>
      </w:tr>
      <w:tr>
        <w:trPr>
          <w:cantSplit/>
        </w:trPr>
        <w:tc>
          <w:tcPr>
            <w:tcW w:type="dxa" w:w="2579"/>
            <w:tcMar>
              <w:top w:type="dxa" w:w="60"/>
              <w:left w:type="dxa" w:w="90"/>
              <w:bottom w:type="dxa" w:w="60"/>
              <w:right w:type="dxa" w:w="90"/>
            </w:tcMar>
          </w:tcPr>
          <w:p>
            <w:pPr>
              <w:spacing w:after="40"/>
            </w:pPr>
            <w:r>
              <w:rPr>
                <w:b w:val="false"/>
                <w:bCs w:val="false"/>
                <w:sz w:val="19"/>
                <w:szCs w:val="19"/>
              </w:rPr>
              <w:t xml:space="preserve">Livestock and biogas portal</w:t>
            </w:r>
          </w:p>
        </w:tc>
        <w:tc>
          <w:tcPr>
            <w:tcW w:type="dxa" w:w="6447"/>
            <w:tcMar>
              <w:top w:type="dxa" w:w="60"/>
              <w:left w:type="dxa" w:w="90"/>
              <w:bottom w:type="dxa" w:w="60"/>
              <w:right w:type="dxa" w:w="90"/>
            </w:tcMar>
          </w:tcPr>
          <w:p>
            <w:pPr>
              <w:spacing w:after="40"/>
            </w:pPr>
            <w:r>
              <w:rPr>
                <w:b w:val="false"/>
                <w:bCs w:val="false"/>
                <w:sz w:val="19"/>
                <w:szCs w:val="19"/>
              </w:rPr>
              <w:t xml:space="preserve">Household and per-animal registration; community biogas viability engine with weather-driven heat-stress indexing; dung and milk procurement desk with quality grading and payment; veterinary referral queue</w:t>
            </w:r>
          </w:p>
        </w:tc>
      </w:tr>
      <w:tr>
        <w:trPr>
          <w:cantSplit/>
        </w:trPr>
        <w:tc>
          <w:tcPr>
            <w:tcW w:type="dxa" w:w="2579"/>
            <w:tcMar>
              <w:top w:type="dxa" w:w="60"/>
              <w:left w:type="dxa" w:w="90"/>
              <w:bottom w:type="dxa" w:w="60"/>
              <w:right w:type="dxa" w:w="90"/>
            </w:tcMar>
          </w:tcPr>
          <w:p>
            <w:pPr>
              <w:spacing w:after="40"/>
            </w:pPr>
            <w:r>
              <w:rPr>
                <w:b w:val="false"/>
                <w:bCs w:val="false"/>
                <w:sz w:val="19"/>
                <w:szCs w:val="19"/>
              </w:rPr>
              <w:t xml:space="preserve">Water and farmer platform — AquaGram OS</w:t>
            </w:r>
          </w:p>
        </w:tc>
        <w:tc>
          <w:tcPr>
            <w:tcW w:type="dxa" w:w="6447"/>
            <w:tcMar>
              <w:top w:type="dxa" w:w="60"/>
              <w:left w:type="dxa" w:w="90"/>
              <w:bottom w:type="dxa" w:w="60"/>
              <w:right w:type="dxa" w:w="90"/>
            </w:tcMar>
          </w:tcPr>
          <w:p>
            <w:pPr>
              <w:spacing w:after="40"/>
            </w:pPr>
            <w:r>
              <w:rPr>
                <w:b w:val="false"/>
                <w:bCs w:val="false"/>
                <w:sz w:val="19"/>
                <w:szCs w:val="19"/>
              </w:rPr>
              <w:t xml:space="preserve">Multilingual mobile application with field records, input health scoring, advisory and a water-credits ledger that separates estimated from settled values</w:t>
            </w:r>
          </w:p>
        </w:tc>
      </w:tr>
      <w:tr>
        <w:trPr>
          <w:cantSplit/>
        </w:trPr>
        <w:tc>
          <w:tcPr>
            <w:tcW w:type="dxa" w:w="2579"/>
            <w:tcMar>
              <w:top w:type="dxa" w:w="60"/>
              <w:left w:type="dxa" w:w="90"/>
              <w:bottom w:type="dxa" w:w="60"/>
              <w:right w:type="dxa" w:w="90"/>
            </w:tcMar>
          </w:tcPr>
          <w:p>
            <w:pPr>
              <w:spacing w:after="40"/>
            </w:pPr>
            <w:r>
              <w:rPr>
                <w:b w:val="false"/>
                <w:bCs w:val="false"/>
                <w:sz w:val="19"/>
                <w:szCs w:val="19"/>
              </w:rPr>
              <w:t xml:space="preserve">Biodiversity and agroforestry platform — VanaGram OS</w:t>
            </w:r>
          </w:p>
        </w:tc>
        <w:tc>
          <w:tcPr>
            <w:tcW w:type="dxa" w:w="6447"/>
            <w:tcMar>
              <w:top w:type="dxa" w:w="60"/>
              <w:left w:type="dxa" w:w="90"/>
              <w:bottom w:type="dxa" w:w="60"/>
              <w:right w:type="dxa" w:w="90"/>
            </w:tcMar>
          </w:tcPr>
          <w:p>
            <w:pPr>
              <w:spacing w:after="40"/>
            </w:pPr>
            <w:r>
              <w:rPr>
                <w:b w:val="false"/>
                <w:bCs w:val="false"/>
                <w:sz w:val="19"/>
                <w:szCs w:val="19"/>
              </w:rPr>
              <w:t xml:space="preserve">Preliminary design by VNIT Nagpur students, financed by UrjaGram until funding is received</w:t>
            </w:r>
          </w:p>
        </w:tc>
      </w:tr>
    </w:tbl>
    <w:p>
      <w:pPr>
        <w:spacing w:after="80"/>
      </w:pPr>
    </w:p>
    <w:p>
      <w:pPr>
        <w:pStyle w:val="Heading2"/>
        <w:keepNext/>
        <w:spacing w:after="100" w:before="200"/>
      </w:pPr>
      <w:r>
        <w:t xml:space="preserve">5.2 VanaGram OS</w:t>
      </w:r>
    </w:p>
    <w:p>
      <w:pPr>
        <w:spacing w:after="120" w:line="276"/>
        <w:jc w:val="both"/>
      </w:pPr>
      <w:r>
        <w:t xml:space="preserve">A farmer, Van Sakhi or Panchayat Secretary enters land details — district, land category, soil, area and water source — and VanaGram OS returns recommendations drawn from government documents, each cited to its clause and date: the National Agroforestry Policy, the 2025 model rules for felling trees on agricultural land, Maharashtra’s felling and transit rules, NABARD Wadi and Tribal Development Fund guidelines, National Medicinal Plants Board and National AYUSH Mission schemes, VB-G RAM G works, and the Biological Diversity Act. Each recommendation is classified as a direct VB-G RAM G work, a component of an existing work, or a convergence action, and tagged to its IPBES response option. Rules, recommendations and scientific evidence are kept separate. Over time, each parcel’s inputs and results become the local data that quantifies nexus linkages — the foundation for IPBES-based modelling.</w:t>
      </w:r>
    </w:p>
    <w:p>
      <w:pPr>
        <w:pStyle w:val="Heading2"/>
        <w:keepNext/>
        <w:spacing w:after="100" w:before="200"/>
      </w:pPr>
      <w:r>
        <w:t xml:space="preserve">5.3 What the grant funds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177"/>
        <w:gridCol w:w="7849"/>
      </w:tblGrid>
      <w:tr>
        <w:trPr>
          <w:tblHeader/>
        </w:trPr>
        <w:tc>
          <w:tcPr>
            <w:tcW w:type="dxa" w:w="1177"/>
            <w:shd w:fill="EAF1EE" w:color="auto" w:val="clear"/>
            <w:tcMar>
              <w:top w:type="dxa" w:w="60"/>
              <w:left w:type="dxa" w:w="90"/>
              <w:bottom w:type="dxa" w:w="60"/>
              <w:right w:type="dxa" w:w="90"/>
            </w:tcMar>
          </w:tcPr>
          <w:p>
            <w:pPr>
              <w:spacing w:after="40"/>
            </w:pPr>
            <w:r>
              <w:rPr>
                <w:b/>
                <w:bCs/>
                <w:sz w:val="19"/>
                <w:szCs w:val="19"/>
              </w:rPr>
              <w:t xml:space="preserve">Work package</w:t>
            </w:r>
          </w:p>
        </w:tc>
        <w:tc>
          <w:tcPr>
            <w:tcW w:type="dxa" w:w="7849"/>
            <w:shd w:fill="EAF1EE" w:color="auto" w:val="clear"/>
            <w:tcMar>
              <w:top w:type="dxa" w:w="60"/>
              <w:left w:type="dxa" w:w="90"/>
              <w:bottom w:type="dxa" w:w="60"/>
              <w:right w:type="dxa" w:w="90"/>
            </w:tcMar>
          </w:tcPr>
          <w:p>
            <w:pPr>
              <w:spacing w:after="40"/>
            </w:pPr>
            <w:r>
              <w:rPr>
                <w:b/>
                <w:bCs/>
                <w:sz w:val="19"/>
                <w:szCs w:val="19"/>
              </w:rPr>
              <w:t xml:space="preserve">Scope</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B1</w:t>
            </w:r>
          </w:p>
        </w:tc>
        <w:tc>
          <w:tcPr>
            <w:tcW w:type="dxa" w:w="7849"/>
            <w:tcMar>
              <w:top w:type="dxa" w:w="60"/>
              <w:left w:type="dxa" w:w="90"/>
              <w:bottom w:type="dxa" w:w="60"/>
              <w:right w:type="dxa" w:w="90"/>
            </w:tcMar>
          </w:tcPr>
          <w:p>
            <w:pPr>
              <w:spacing w:after="40"/>
            </w:pPr>
            <w:r>
              <w:rPr>
                <w:b w:val="false"/>
                <w:bCs w:val="false"/>
                <w:sz w:val="19"/>
                <w:szCs w:val="19"/>
              </w:rPr>
              <w:t xml:space="preserve">Katlabodi instance covering all three villages, and a household identity spine so that one household is one record across every module</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B2</w:t>
            </w:r>
          </w:p>
        </w:tc>
        <w:tc>
          <w:tcPr>
            <w:tcW w:type="dxa" w:w="7849"/>
            <w:tcMar>
              <w:top w:type="dxa" w:w="60"/>
              <w:left w:type="dxa" w:w="90"/>
              <w:bottom w:type="dxa" w:w="60"/>
              <w:right w:type="dxa" w:w="90"/>
            </w:tcMar>
          </w:tcPr>
          <w:p>
            <w:pPr>
              <w:spacing w:after="40"/>
            </w:pPr>
            <w:r>
              <w:rPr>
                <w:b w:val="false"/>
                <w:bCs w:val="false"/>
                <w:sz w:val="19"/>
                <w:szCs w:val="19"/>
              </w:rPr>
              <w:t xml:space="preserve">VanaGram OS — completion, including the document-grounded advisory</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B3</w:t>
            </w:r>
          </w:p>
        </w:tc>
        <w:tc>
          <w:tcPr>
            <w:tcW w:type="dxa" w:w="7849"/>
            <w:tcMar>
              <w:top w:type="dxa" w:w="60"/>
              <w:left w:type="dxa" w:w="90"/>
              <w:bottom w:type="dxa" w:w="60"/>
              <w:right w:type="dxa" w:w="90"/>
            </w:tcMar>
          </w:tcPr>
          <w:p>
            <w:pPr>
              <w:spacing w:after="40"/>
            </w:pPr>
            <w:r>
              <w:rPr>
                <w:b w:val="false"/>
                <w:bCs w:val="false"/>
                <w:sz w:val="19"/>
                <w:szCs w:val="19"/>
              </w:rPr>
              <w:t xml:space="preserve">Water module rebuilt for the region, in Marathi and against the applicable scheme environment</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B4</w:t>
            </w:r>
          </w:p>
        </w:tc>
        <w:tc>
          <w:tcPr>
            <w:tcW w:type="dxa" w:w="7849"/>
            <w:tcMar>
              <w:top w:type="dxa" w:w="60"/>
              <w:left w:type="dxa" w:w="90"/>
              <w:bottom w:type="dxa" w:w="60"/>
              <w:right w:type="dxa" w:w="90"/>
            </w:tcMar>
          </w:tcPr>
          <w:p>
            <w:pPr>
              <w:spacing w:after="40"/>
            </w:pPr>
            <w:r>
              <w:rPr>
                <w:b w:val="false"/>
                <w:bCs w:val="false"/>
                <w:sz w:val="19"/>
                <w:szCs w:val="19"/>
              </w:rPr>
              <w:t xml:space="preserve">Health and nutrition module, co-designed with its users</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B5</w:t>
            </w:r>
          </w:p>
        </w:tc>
        <w:tc>
          <w:tcPr>
            <w:tcW w:type="dxa" w:w="7849"/>
            <w:tcMar>
              <w:top w:type="dxa" w:w="60"/>
              <w:left w:type="dxa" w:w="90"/>
              <w:bottom w:type="dxa" w:w="60"/>
              <w:right w:type="dxa" w:w="90"/>
            </w:tcMar>
          </w:tcPr>
          <w:p>
            <w:pPr>
              <w:spacing w:after="40"/>
            </w:pPr>
            <w:r>
              <w:rPr>
                <w:b w:val="false"/>
                <w:bCs w:val="false"/>
                <w:sz w:val="19"/>
                <w:szCs w:val="19"/>
              </w:rPr>
              <w:t xml:space="preserve">Configurable net-zero and carbon revenue module (Project 6)</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B6</w:t>
            </w:r>
          </w:p>
        </w:tc>
        <w:tc>
          <w:tcPr>
            <w:tcW w:type="dxa" w:w="7849"/>
            <w:tcMar>
              <w:top w:type="dxa" w:w="60"/>
              <w:left w:type="dxa" w:w="90"/>
              <w:bottom w:type="dxa" w:w="60"/>
              <w:right w:type="dxa" w:w="90"/>
            </w:tcMar>
          </w:tcPr>
          <w:p>
            <w:pPr>
              <w:spacing w:after="40"/>
            </w:pPr>
            <w:r>
              <w:rPr>
                <w:b w:val="false"/>
                <w:bCs w:val="false"/>
                <w:sz w:val="19"/>
                <w:szCs w:val="19"/>
              </w:rPr>
              <w:t xml:space="preserve">Data protection and security layer, including Marathi consent capture, role-based access, retention rules and breach response</w:t>
            </w:r>
          </w:p>
        </w:tc>
      </w:tr>
      <w:tr>
        <w:trPr>
          <w:cantSplit/>
        </w:trPr>
        <w:tc>
          <w:tcPr>
            <w:tcW w:type="dxa" w:w="1177"/>
            <w:tcMar>
              <w:top w:type="dxa" w:w="60"/>
              <w:left w:type="dxa" w:w="90"/>
              <w:bottom w:type="dxa" w:w="60"/>
              <w:right w:type="dxa" w:w="90"/>
            </w:tcMar>
          </w:tcPr>
          <w:p>
            <w:pPr>
              <w:spacing w:after="40"/>
            </w:pPr>
            <w:r>
              <w:rPr>
                <w:b w:val="false"/>
                <w:bCs w:val="false"/>
                <w:sz w:val="19"/>
                <w:szCs w:val="19"/>
              </w:rPr>
              <w:t xml:space="preserve">B7–B8</w:t>
            </w:r>
          </w:p>
        </w:tc>
        <w:tc>
          <w:tcPr>
            <w:tcW w:type="dxa" w:w="7849"/>
            <w:tcMar>
              <w:top w:type="dxa" w:w="60"/>
              <w:left w:type="dxa" w:w="90"/>
              <w:bottom w:type="dxa" w:w="60"/>
              <w:right w:type="dxa" w:w="90"/>
            </w:tcMar>
          </w:tcPr>
          <w:p>
            <w:pPr>
              <w:spacing w:after="40"/>
            </w:pPr>
            <w:r>
              <w:rPr>
                <w:b w:val="false"/>
                <w:bCs w:val="false"/>
                <w:sz w:val="19"/>
                <w:szCs w:val="19"/>
              </w:rPr>
              <w:t xml:space="preserve">Open-source release; hosting, devices and field connectivity for year one</w:t>
            </w:r>
          </w:p>
        </w:tc>
      </w:tr>
    </w:tbl>
    <w:p>
      <w:pPr>
        <w:spacing w:after="80"/>
      </w:pPr>
    </w:p>
    <w:p>
      <w:pPr>
        <w:spacing w:after="120" w:line="276"/>
        <w:jc w:val="both"/>
      </w:pPr>
      <w:r>
        <w:rPr>
          <w:b/>
          <w:bCs/>
        </w:rPr>
        <w:t xml:space="preserve">Domain ownership.</w:t>
      </w:r>
      <w:r>
        <w:t xml:space="preserve"> Interns build; they do not specify. Species selection, collection practice, grading standards and model constants are specified and signed off by the named domain owner — Ayurvan for conservation and ecology, UrjaGram for its specialist domains — before implementation.</w:t>
      </w:r>
    </w:p>
    <w:p>
      <w:pPr>
        <w:pStyle w:val="Heading2"/>
        <w:keepNext/>
        <w:spacing w:after="100" w:before="200"/>
      </w:pPr>
      <w:r>
        <w:t xml:space="preserve">5.4 Open source, free panchayat use and closed data</w:t>
      </w:r>
    </w:p>
    <w:p>
      <w:pPr>
        <w:pStyle w:val="ListParagraph"/>
        <w:numPr>
          <w:ilvl w:val="0"/>
          <w:numId w:val="2"/>
        </w:numPr>
        <w:spacing w:after="80" w:line="264"/>
        <w:jc w:val="left"/>
      </w:pPr>
      <w:r>
        <w:t xml:space="preserve">The platform is released under the GNU Affero General Public License version 3, with the public repository published by month nine — after the data protection work is complete.</w:t>
      </w:r>
    </w:p>
    <w:p>
      <w:pPr>
        <w:pStyle w:val="ListParagraph"/>
        <w:numPr>
          <w:ilvl w:val="0"/>
          <w:numId w:val="2"/>
        </w:numPr>
        <w:spacing w:after="80" w:line="264"/>
        <w:jc w:val="left"/>
      </w:pPr>
      <w:r>
        <w:t xml:space="preserve">The Gram Panchayat, and any other panchayat, uses the platform free of charge.</w:t>
      </w:r>
    </w:p>
    <w:p>
      <w:pPr>
        <w:pStyle w:val="ListParagraph"/>
        <w:numPr>
          <w:ilvl w:val="0"/>
          <w:numId w:val="2"/>
        </w:numPr>
        <w:spacing w:after="80" w:line="264"/>
        <w:jc w:val="left"/>
      </w:pPr>
      <w:r>
        <w:t xml:space="preserve">Open source applies to the code, not to village data. The Gram Panchayat is the data fiduciary, by resolution, with Ayurvan and UrjaGram as processors under a written agreement.</w:t>
      </w:r>
    </w:p>
    <w:p>
      <w:pPr>
        <w:pStyle w:val="ListParagraph"/>
        <w:numPr>
          <w:ilvl w:val="0"/>
          <w:numId w:val="2"/>
        </w:numPr>
        <w:spacing w:after="80" w:line="264"/>
        <w:jc w:val="left"/>
      </w:pPr>
      <w:r>
        <w:rPr>
          <w:b/>
          <w:bCs/>
        </w:rPr>
        <w:t xml:space="preserve">Disclosure.</w:t>
      </w:r>
      <w:r>
        <w:t xml:space="preserve"> UrjaGram Innovations is a for-profit company. Its prior development is contributed in kind; code funded by this grant is released openly; and UrjaGram earns from project development and services, not from licence fees charged to panchayats.</w:t>
      </w:r>
    </w:p>
    <w:p>
      <w:pPr>
        <w:pStyle w:val="Heading1"/>
        <w:keepNext/>
        <w:spacing w:after="140" w:before="300"/>
      </w:pPr>
      <w:r>
        <w:t xml:space="preserve">6. Pillar two: local capacity</w:t>
      </w:r>
    </w:p>
    <w:p>
      <w:pPr>
        <w:spacing w:after="120" w:line="276"/>
        <w:jc w:val="both"/>
      </w:pPr>
      <w:r>
        <w:t xml:space="preserve">This is the core of what the grant pays for. Fifty people are trained and two employed, in a mentorship ladder: engineering interns bring technical and data skills; management interns bring business modelling and finance from month seven; students collect field data and learn by doing; and women’s cadres, trained as project managers, carry delivery across all three villages. The World Bank’s </w:t>
      </w:r>
      <w:r>
        <w:rPr>
          <w:i/>
          <w:iCs/>
        </w:rPr>
        <w:t xml:space="preserve">World Development Report 2026</w:t>
      </w:r>
      <w:r>
        <w:t xml:space="preserve"> finds that the binding constraint on artificial intelligence in developing economies is the capacity to adopt it; this programme tests whether a Gram Panchayat can run the adopt-and-adapt sequence itself.</w:t>
      </w:r>
    </w:p>
    <w:p>
      <w:pPr>
        <w:pStyle w:val="Heading2"/>
        <w:keepNext/>
        <w:spacing w:after="100" w:before="200"/>
      </w:pPr>
      <w:r>
        <w:t xml:space="preserve">6.1 Women’s cadres — twenty</w:t>
      </w:r>
    </w:p>
    <w:p>
      <w:pPr>
        <w:spacing w:after="120" w:line="276"/>
        <w:jc w:val="both"/>
      </w:pPr>
      <w:r>
        <w:t xml:space="preserve">Twenty women from existing self-help groups form five cadres of four, serving Projects 1 to 5; Project 6 draws its data from the others. The structure builds on the government’s community-cadre architecture, so that government training carries the base layer and the grant funds the project-specific layer. These are the climate-resilience cadres the VB-G RAM G planning process needs.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77"/>
        <w:gridCol w:w="1836"/>
        <w:gridCol w:w="3978"/>
        <w:gridCol w:w="1835"/>
      </w:tblGrid>
      <w:tr>
        <w:trPr>
          <w:tblHeader/>
        </w:trPr>
        <w:tc>
          <w:tcPr>
            <w:tcW w:type="dxa" w:w="1377"/>
            <w:shd w:fill="EAF1EE" w:color="auto" w:val="clear"/>
            <w:tcMar>
              <w:top w:type="dxa" w:w="60"/>
              <w:left w:type="dxa" w:w="90"/>
              <w:bottom w:type="dxa" w:w="60"/>
              <w:right w:type="dxa" w:w="90"/>
            </w:tcMar>
          </w:tcPr>
          <w:p>
            <w:pPr>
              <w:spacing w:after="40"/>
            </w:pPr>
            <w:r>
              <w:rPr>
                <w:b/>
                <w:bCs/>
                <w:sz w:val="19"/>
                <w:szCs w:val="19"/>
              </w:rPr>
              <w:t xml:space="preserve">Cadre</w:t>
            </w:r>
          </w:p>
        </w:tc>
        <w:tc>
          <w:tcPr>
            <w:tcW w:type="dxa" w:w="1836"/>
            <w:shd w:fill="EAF1EE" w:color="auto" w:val="clear"/>
            <w:tcMar>
              <w:top w:type="dxa" w:w="60"/>
              <w:left w:type="dxa" w:w="90"/>
              <w:bottom w:type="dxa" w:w="60"/>
              <w:right w:type="dxa" w:w="90"/>
            </w:tcMar>
          </w:tcPr>
          <w:p>
            <w:pPr>
              <w:spacing w:after="40"/>
            </w:pPr>
            <w:r>
              <w:rPr>
                <w:b/>
                <w:bCs/>
                <w:sz w:val="19"/>
                <w:szCs w:val="19"/>
              </w:rPr>
              <w:t xml:space="preserve">Project</w:t>
            </w:r>
          </w:p>
        </w:tc>
        <w:tc>
          <w:tcPr>
            <w:tcW w:type="dxa" w:w="3978"/>
            <w:shd w:fill="EAF1EE" w:color="auto" w:val="clear"/>
            <w:tcMar>
              <w:top w:type="dxa" w:w="60"/>
              <w:left w:type="dxa" w:w="90"/>
              <w:bottom w:type="dxa" w:w="60"/>
              <w:right w:type="dxa" w:w="90"/>
            </w:tcMar>
          </w:tcPr>
          <w:p>
            <w:pPr>
              <w:spacing w:after="40"/>
            </w:pPr>
            <w:r>
              <w:rPr>
                <w:b/>
                <w:bCs/>
                <w:sz w:val="19"/>
                <w:szCs w:val="19"/>
              </w:rPr>
              <w:t xml:space="preserve">Function</w:t>
            </w:r>
          </w:p>
        </w:tc>
        <w:tc>
          <w:tcPr>
            <w:tcW w:type="dxa" w:w="1835"/>
            <w:shd w:fill="EAF1EE" w:color="auto" w:val="clear"/>
            <w:tcMar>
              <w:top w:type="dxa" w:w="60"/>
              <w:left w:type="dxa" w:w="90"/>
              <w:bottom w:type="dxa" w:w="60"/>
              <w:right w:type="dxa" w:w="90"/>
            </w:tcMar>
          </w:tcPr>
          <w:p>
            <w:pPr>
              <w:spacing w:after="40"/>
            </w:pPr>
            <w:r>
              <w:rPr>
                <w:b/>
                <w:bCs/>
                <w:sz w:val="19"/>
                <w:szCs w:val="19"/>
              </w:rPr>
              <w:t xml:space="preserve">Platform module</w:t>
            </w:r>
          </w:p>
        </w:tc>
      </w:tr>
      <w:tr>
        <w:trPr>
          <w:cantSplit/>
        </w:trPr>
        <w:tc>
          <w:tcPr>
            <w:tcW w:type="dxa" w:w="1377"/>
            <w:tcMar>
              <w:top w:type="dxa" w:w="60"/>
              <w:left w:type="dxa" w:w="90"/>
              <w:bottom w:type="dxa" w:w="60"/>
              <w:right w:type="dxa" w:w="90"/>
            </w:tcMar>
          </w:tcPr>
          <w:p>
            <w:pPr>
              <w:spacing w:after="40"/>
            </w:pPr>
            <w:r>
              <w:rPr>
                <w:b w:val="false"/>
                <w:bCs w:val="false"/>
                <w:sz w:val="19"/>
                <w:szCs w:val="19"/>
              </w:rPr>
              <w:t xml:space="preserve">Van Sakhi</w:t>
            </w:r>
          </w:p>
        </w:tc>
        <w:tc>
          <w:tcPr>
            <w:tcW w:type="dxa" w:w="1836"/>
            <w:tcMar>
              <w:top w:type="dxa" w:w="60"/>
              <w:left w:type="dxa" w:w="90"/>
              <w:bottom w:type="dxa" w:w="60"/>
              <w:right w:type="dxa" w:w="90"/>
            </w:tcMar>
          </w:tcPr>
          <w:p>
            <w:pPr>
              <w:spacing w:after="40"/>
            </w:pPr>
            <w:r>
              <w:rPr>
                <w:b w:val="false"/>
                <w:bCs w:val="false"/>
                <w:sz w:val="19"/>
                <w:szCs w:val="19"/>
              </w:rPr>
              <w:t xml:space="preserve">Biodiversity and agroforestry</w:t>
            </w:r>
          </w:p>
        </w:tc>
        <w:tc>
          <w:tcPr>
            <w:tcW w:type="dxa" w:w="3978"/>
            <w:tcMar>
              <w:top w:type="dxa" w:w="60"/>
              <w:left w:type="dxa" w:w="90"/>
              <w:bottom w:type="dxa" w:w="60"/>
              <w:right w:type="dxa" w:w="90"/>
            </w:tcMar>
          </w:tcPr>
          <w:p>
            <w:pPr>
              <w:spacing w:after="40"/>
            </w:pPr>
            <w:r>
              <w:rPr>
                <w:b w:val="false"/>
                <w:bCs w:val="false"/>
                <w:sz w:val="19"/>
                <w:szCs w:val="19"/>
              </w:rPr>
              <w:t xml:space="preserve">Nursery, cultivation, collection practice, grading; People’s Biodiversity Register; forest and biodiversity mapping</w:t>
            </w:r>
          </w:p>
        </w:tc>
        <w:tc>
          <w:tcPr>
            <w:tcW w:type="dxa" w:w="1835"/>
            <w:tcMar>
              <w:top w:type="dxa" w:w="60"/>
              <w:left w:type="dxa" w:w="90"/>
              <w:bottom w:type="dxa" w:w="60"/>
              <w:right w:type="dxa" w:w="90"/>
            </w:tcMar>
          </w:tcPr>
          <w:p>
            <w:pPr>
              <w:spacing w:after="40"/>
            </w:pPr>
            <w:r>
              <w:rPr>
                <w:b w:val="false"/>
                <w:bCs w:val="false"/>
                <w:sz w:val="19"/>
                <w:szCs w:val="19"/>
              </w:rPr>
              <w:t xml:space="preserve">VanaGram OS — year one</w:t>
            </w:r>
          </w:p>
        </w:tc>
      </w:tr>
      <w:tr>
        <w:trPr>
          <w:cantSplit/>
        </w:trPr>
        <w:tc>
          <w:tcPr>
            <w:tcW w:type="dxa" w:w="1377"/>
            <w:tcMar>
              <w:top w:type="dxa" w:w="60"/>
              <w:left w:type="dxa" w:w="90"/>
              <w:bottom w:type="dxa" w:w="60"/>
              <w:right w:type="dxa" w:w="90"/>
            </w:tcMar>
          </w:tcPr>
          <w:p>
            <w:pPr>
              <w:spacing w:after="40"/>
            </w:pPr>
            <w:r>
              <w:rPr>
                <w:b w:val="false"/>
                <w:bCs w:val="false"/>
                <w:sz w:val="19"/>
                <w:szCs w:val="19"/>
              </w:rPr>
              <w:t xml:space="preserve">Jal Sakhi</w:t>
            </w:r>
          </w:p>
        </w:tc>
        <w:tc>
          <w:tcPr>
            <w:tcW w:type="dxa" w:w="1836"/>
            <w:tcMar>
              <w:top w:type="dxa" w:w="60"/>
              <w:left w:type="dxa" w:w="90"/>
              <w:bottom w:type="dxa" w:w="60"/>
              <w:right w:type="dxa" w:w="90"/>
            </w:tcMar>
          </w:tcPr>
          <w:p>
            <w:pPr>
              <w:spacing w:after="40"/>
            </w:pPr>
            <w:r>
              <w:rPr>
                <w:b w:val="false"/>
                <w:bCs w:val="false"/>
                <w:sz w:val="19"/>
                <w:szCs w:val="19"/>
              </w:rPr>
              <w:t xml:space="preserve">Water security</w:t>
            </w:r>
          </w:p>
        </w:tc>
        <w:tc>
          <w:tcPr>
            <w:tcW w:type="dxa" w:w="3978"/>
            <w:tcMar>
              <w:top w:type="dxa" w:w="60"/>
              <w:left w:type="dxa" w:w="90"/>
              <w:bottom w:type="dxa" w:w="60"/>
              <w:right w:type="dxa" w:w="90"/>
            </w:tcMar>
          </w:tcPr>
          <w:p>
            <w:pPr>
              <w:spacing w:after="40"/>
            </w:pPr>
            <w:r>
              <w:rPr>
                <w:b w:val="false"/>
                <w:bCs w:val="false"/>
                <w:sz w:val="19"/>
                <w:szCs w:val="19"/>
              </w:rPr>
              <w:t xml:space="preserve">Water mapping, budgeting, structure monitoring, micro-irrigation, drought contingency</w:t>
            </w:r>
          </w:p>
        </w:tc>
        <w:tc>
          <w:tcPr>
            <w:tcW w:type="dxa" w:w="1835"/>
            <w:tcMar>
              <w:top w:type="dxa" w:w="60"/>
              <w:left w:type="dxa" w:w="90"/>
              <w:bottom w:type="dxa" w:w="60"/>
              <w:right w:type="dxa" w:w="90"/>
            </w:tcMar>
          </w:tcPr>
          <w:p>
            <w:pPr>
              <w:spacing w:after="40"/>
            </w:pPr>
            <w:r>
              <w:rPr>
                <w:b w:val="false"/>
                <w:bCs w:val="false"/>
                <w:sz w:val="19"/>
                <w:szCs w:val="19"/>
              </w:rPr>
              <w:t xml:space="preserve">Rebuilt for the region — year one</w:t>
            </w:r>
          </w:p>
        </w:tc>
      </w:tr>
      <w:tr>
        <w:trPr>
          <w:cantSplit/>
        </w:trPr>
        <w:tc>
          <w:tcPr>
            <w:tcW w:type="dxa" w:w="1377"/>
            <w:tcMar>
              <w:top w:type="dxa" w:w="60"/>
              <w:left w:type="dxa" w:w="90"/>
              <w:bottom w:type="dxa" w:w="60"/>
              <w:right w:type="dxa" w:w="90"/>
            </w:tcMar>
          </w:tcPr>
          <w:p>
            <w:pPr>
              <w:spacing w:after="40"/>
            </w:pPr>
            <w:r>
              <w:rPr>
                <w:b w:val="false"/>
                <w:bCs w:val="false"/>
                <w:sz w:val="19"/>
                <w:szCs w:val="19"/>
              </w:rPr>
              <w:t xml:space="preserve">Pashu Sakhi</w:t>
            </w:r>
          </w:p>
        </w:tc>
        <w:tc>
          <w:tcPr>
            <w:tcW w:type="dxa" w:w="1836"/>
            <w:tcMar>
              <w:top w:type="dxa" w:w="60"/>
              <w:left w:type="dxa" w:w="90"/>
              <w:bottom w:type="dxa" w:w="60"/>
              <w:right w:type="dxa" w:w="90"/>
            </w:tcMar>
          </w:tcPr>
          <w:p>
            <w:pPr>
              <w:spacing w:after="40"/>
            </w:pPr>
            <w:r>
              <w:rPr>
                <w:b w:val="false"/>
                <w:bCs w:val="false"/>
                <w:sz w:val="19"/>
                <w:szCs w:val="19"/>
              </w:rPr>
              <w:t xml:space="preserve">Livestock and dairy</w:t>
            </w:r>
          </w:p>
        </w:tc>
        <w:tc>
          <w:tcPr>
            <w:tcW w:type="dxa" w:w="3978"/>
            <w:tcMar>
              <w:top w:type="dxa" w:w="60"/>
              <w:left w:type="dxa" w:w="90"/>
              <w:bottom w:type="dxa" w:w="60"/>
              <w:right w:type="dxa" w:w="90"/>
            </w:tcMar>
          </w:tcPr>
          <w:p>
            <w:pPr>
              <w:spacing w:after="40"/>
            </w:pPr>
            <w:r>
              <w:rPr>
                <w:b w:val="false"/>
                <w:bCs w:val="false"/>
                <w:sz w:val="19"/>
                <w:szCs w:val="19"/>
              </w:rPr>
              <w:t xml:space="preserve">Registration, health observation, breeding support, milk collection, fodder</w:t>
            </w:r>
          </w:p>
        </w:tc>
        <w:tc>
          <w:tcPr>
            <w:tcW w:type="dxa" w:w="1835"/>
            <w:tcMar>
              <w:top w:type="dxa" w:w="60"/>
              <w:left w:type="dxa" w:w="90"/>
              <w:bottom w:type="dxa" w:w="60"/>
              <w:right w:type="dxa" w:w="90"/>
            </w:tcMar>
          </w:tcPr>
          <w:p>
            <w:pPr>
              <w:spacing w:after="40"/>
            </w:pPr>
            <w:r>
              <w:rPr>
                <w:b w:val="false"/>
                <w:bCs w:val="false"/>
                <w:sz w:val="19"/>
                <w:szCs w:val="19"/>
              </w:rPr>
              <w:t xml:space="preserve">In production</w:t>
            </w:r>
          </w:p>
        </w:tc>
      </w:tr>
      <w:tr>
        <w:trPr>
          <w:cantSplit/>
        </w:trPr>
        <w:tc>
          <w:tcPr>
            <w:tcW w:type="dxa" w:w="1377"/>
            <w:tcMar>
              <w:top w:type="dxa" w:w="60"/>
              <w:left w:type="dxa" w:w="90"/>
              <w:bottom w:type="dxa" w:w="60"/>
              <w:right w:type="dxa" w:w="90"/>
            </w:tcMar>
          </w:tcPr>
          <w:p>
            <w:pPr>
              <w:spacing w:after="40"/>
            </w:pPr>
            <w:r>
              <w:rPr>
                <w:b w:val="false"/>
                <w:bCs w:val="false"/>
                <w:sz w:val="19"/>
                <w:szCs w:val="19"/>
              </w:rPr>
              <w:t xml:space="preserve">Urja Sakhi</w:t>
            </w:r>
          </w:p>
        </w:tc>
        <w:tc>
          <w:tcPr>
            <w:tcW w:type="dxa" w:w="1836"/>
            <w:tcMar>
              <w:top w:type="dxa" w:w="60"/>
              <w:left w:type="dxa" w:w="90"/>
              <w:bottom w:type="dxa" w:w="60"/>
              <w:right w:type="dxa" w:w="90"/>
            </w:tcMar>
          </w:tcPr>
          <w:p>
            <w:pPr>
              <w:spacing w:after="40"/>
            </w:pPr>
            <w:r>
              <w:rPr>
                <w:b w:val="false"/>
                <w:bCs w:val="false"/>
                <w:sz w:val="19"/>
                <w:szCs w:val="19"/>
              </w:rPr>
              <w:t xml:space="preserve">Clean energy</w:t>
            </w:r>
          </w:p>
        </w:tc>
        <w:tc>
          <w:tcPr>
            <w:tcW w:type="dxa" w:w="3978"/>
            <w:tcMar>
              <w:top w:type="dxa" w:w="60"/>
              <w:left w:type="dxa" w:w="90"/>
              <w:bottom w:type="dxa" w:w="60"/>
              <w:right w:type="dxa" w:w="90"/>
            </w:tcMar>
          </w:tcPr>
          <w:p>
            <w:pPr>
              <w:spacing w:after="40"/>
            </w:pPr>
            <w:r>
              <w:rPr>
                <w:b w:val="false"/>
                <w:bCs w:val="false"/>
                <w:sz w:val="19"/>
                <w:szCs w:val="19"/>
              </w:rPr>
              <w:t xml:space="preserve">Household energy assessment, solar facilitation, clean cooking, biogas connections</w:t>
            </w:r>
          </w:p>
        </w:tc>
        <w:tc>
          <w:tcPr>
            <w:tcW w:type="dxa" w:w="1835"/>
            <w:tcMar>
              <w:top w:type="dxa" w:w="60"/>
              <w:left w:type="dxa" w:w="90"/>
              <w:bottom w:type="dxa" w:w="60"/>
              <w:right w:type="dxa" w:w="90"/>
            </w:tcMar>
          </w:tcPr>
          <w:p>
            <w:pPr>
              <w:spacing w:after="40"/>
            </w:pPr>
            <w:r>
              <w:rPr>
                <w:b w:val="false"/>
                <w:bCs w:val="false"/>
                <w:sz w:val="19"/>
                <w:szCs w:val="19"/>
              </w:rPr>
              <w:t xml:space="preserve">In production</w:t>
            </w:r>
          </w:p>
        </w:tc>
      </w:tr>
      <w:tr>
        <w:trPr>
          <w:cantSplit/>
        </w:trPr>
        <w:tc>
          <w:tcPr>
            <w:tcW w:type="dxa" w:w="1377"/>
            <w:tcMar>
              <w:top w:type="dxa" w:w="60"/>
              <w:left w:type="dxa" w:w="90"/>
              <w:bottom w:type="dxa" w:w="60"/>
              <w:right w:type="dxa" w:w="90"/>
            </w:tcMar>
          </w:tcPr>
          <w:p>
            <w:pPr>
              <w:spacing w:after="40"/>
            </w:pPr>
            <w:r>
              <w:rPr>
                <w:b w:val="false"/>
                <w:bCs w:val="false"/>
                <w:sz w:val="19"/>
                <w:szCs w:val="19"/>
              </w:rPr>
              <w:t xml:space="preserve">Poshan Sakhi</w:t>
            </w:r>
          </w:p>
        </w:tc>
        <w:tc>
          <w:tcPr>
            <w:tcW w:type="dxa" w:w="1836"/>
            <w:tcMar>
              <w:top w:type="dxa" w:w="60"/>
              <w:left w:type="dxa" w:w="90"/>
              <w:bottom w:type="dxa" w:w="60"/>
              <w:right w:type="dxa" w:w="90"/>
            </w:tcMar>
          </w:tcPr>
          <w:p>
            <w:pPr>
              <w:spacing w:after="40"/>
            </w:pPr>
            <w:r>
              <w:rPr>
                <w:b w:val="false"/>
                <w:bCs w:val="false"/>
                <w:sz w:val="19"/>
                <w:szCs w:val="19"/>
              </w:rPr>
              <w:t xml:space="preserve">Health and nutrition</w:t>
            </w:r>
          </w:p>
        </w:tc>
        <w:tc>
          <w:tcPr>
            <w:tcW w:type="dxa" w:w="3978"/>
            <w:tcMar>
              <w:top w:type="dxa" w:w="60"/>
              <w:left w:type="dxa" w:w="90"/>
              <w:bottom w:type="dxa" w:w="60"/>
              <w:right w:type="dxa" w:w="90"/>
            </w:tcMar>
          </w:tcPr>
          <w:p>
            <w:pPr>
              <w:spacing w:after="40"/>
            </w:pPr>
            <w:r>
              <w:rPr>
                <w:b w:val="false"/>
                <w:bCs w:val="false"/>
                <w:sz w:val="19"/>
                <w:szCs w:val="19"/>
              </w:rPr>
              <w:t xml:space="preserve">Dietary assessment, indigenous practice, nutrition gardens, heat protocol, entitlements and referral</w:t>
            </w:r>
          </w:p>
        </w:tc>
        <w:tc>
          <w:tcPr>
            <w:tcW w:type="dxa" w:w="1835"/>
            <w:tcMar>
              <w:top w:type="dxa" w:w="60"/>
              <w:left w:type="dxa" w:w="90"/>
              <w:bottom w:type="dxa" w:w="60"/>
              <w:right w:type="dxa" w:w="90"/>
            </w:tcMar>
          </w:tcPr>
          <w:p>
            <w:pPr>
              <w:spacing w:after="40"/>
            </w:pPr>
            <w:r>
              <w:rPr>
                <w:b w:val="false"/>
                <w:bCs w:val="false"/>
                <w:sz w:val="19"/>
                <w:szCs w:val="19"/>
              </w:rPr>
              <w:t xml:space="preserve">Year one</w:t>
            </w:r>
          </w:p>
        </w:tc>
      </w:tr>
    </w:tbl>
    <w:p>
      <w:pPr>
        <w:spacing w:after="80"/>
      </w:pPr>
    </w:p>
    <w:p>
      <w:pPr>
        <w:pStyle w:val="ListParagraph"/>
        <w:numPr>
          <w:ilvl w:val="0"/>
          <w:numId w:val="2"/>
        </w:numPr>
        <w:spacing w:after="80" w:line="264"/>
        <w:jc w:val="left"/>
      </w:pPr>
      <w:r>
        <w:rPr>
          <w:b/>
          <w:bCs/>
        </w:rPr>
        <w:t xml:space="preserve">Distribution.</w:t>
      </w:r>
      <w:r>
        <w:t xml:space="preserve"> Two per cadre in Katlabodi and one each in Murli and Dhankundav — deliberately over-weighting the smaller villages.</w:t>
      </w:r>
    </w:p>
    <w:p>
      <w:pPr>
        <w:pStyle w:val="ListParagraph"/>
        <w:numPr>
          <w:ilvl w:val="0"/>
          <w:numId w:val="2"/>
        </w:numPr>
        <w:spacing w:after="80" w:line="264"/>
        <w:jc w:val="left"/>
      </w:pPr>
      <w:r>
        <w:rPr>
          <w:b/>
          <w:bCs/>
        </w:rPr>
        <w:t xml:space="preserve">Recognised equivalents.</w:t>
      </w:r>
      <w:r>
        <w:t xml:space="preserve"> Each cadre is mapped to its national or state counterpart [verify against state rural livelihoods mission nomenclature].</w:t>
      </w:r>
    </w:p>
    <w:p>
      <w:pPr>
        <w:pStyle w:val="ListParagraph"/>
        <w:numPr>
          <w:ilvl w:val="0"/>
          <w:numId w:val="2"/>
        </w:numPr>
        <w:spacing w:after="80" w:line="264"/>
        <w:jc w:val="left"/>
      </w:pPr>
      <w:r>
        <w:rPr>
          <w:b/>
          <w:bCs/>
        </w:rPr>
        <w:t xml:space="preserve">Selection.</w:t>
      </w:r>
      <w:r>
        <w:t xml:space="preserve"> Through the Gram Panchayat against published criteria agreed before names are proposed.</w:t>
      </w:r>
    </w:p>
    <w:p>
      <w:pPr>
        <w:pStyle w:val="Heading2"/>
        <w:keepNext/>
        <w:spacing w:after="100" w:before="200"/>
      </w:pPr>
      <w:r>
        <w:t xml:space="preserve">6.2 Students — twenty, and one tutor</w:t>
      </w:r>
    </w:p>
    <w:p>
      <w:pPr>
        <w:spacing w:after="120" w:line="276"/>
        <w:jc w:val="both"/>
      </w:pPr>
      <w:r>
        <w:t xml:space="preserve">Twenty students relate textbook mathematics and science to live project work using the platform. A tutor teaches from the syllabus and protects academic progress. With no secondary school within 30 kilometres, delivery combines a digital spine, weekend contact sessions in the village and project work mentored remotely by interns — piloted in month three and reviewed in month six [verify enrolment, network coverage and device access].</w:t>
      </w:r>
    </w:p>
    <w:p>
      <w:pPr>
        <w:pStyle w:val="Heading2"/>
        <w:keepNext/>
        <w:spacing w:after="100" w:before="200"/>
      </w:pPr>
      <w:r>
        <w:t xml:space="preserve">6.3 Interns — ten, in two cohorts</w:t>
      </w:r>
    </w:p>
    <w:p>
      <w:pPr>
        <w:spacing w:after="120" w:line="276"/>
        <w:jc w:val="both"/>
      </w:pPr>
      <w:r>
        <w:t xml:space="preserve">Five engineering interns from VNIT Nagpur deliver the platform work packages (section 5.3), design the field data workflow and mentor students. Five management interns from IIM Nagpur, from month seven, prepare business models, the six bankable project documents, the blended-finance structure and financial-closure routes. Rolling cohorts with overlap, written procedures and the open repository carry continuity when interns rotate.</w:t>
      </w:r>
    </w:p>
    <w:p>
      <w:pPr>
        <w:pStyle w:val="Heading2"/>
        <w:keepNext/>
        <w:spacing w:after="100" w:before="200"/>
      </w:pPr>
      <w:r>
        <w:t xml:space="preserve">6.4 The income objective</w:t>
      </w:r>
    </w:p>
    <w:p>
      <w:pPr>
        <w:spacing w:after="120" w:line="276"/>
        <w:jc w:val="both"/>
      </w:pPr>
      <w:r>
        <w:t xml:space="preserve">The cadre structure aims at incremental household income aligned to the Lakhpati Didi objective — household income of one lakh rupees or more, sustained across four seasons or cycles. The status cannot be claimed at the end of year one; the year-one indicator is that households are on track against a baseline established before training begins. Each cadre has a post-grant income line: fees for insemination and collection work; solar facilitation and gas tariffs; producer-organisation margin; water services contracted by the panchayat; and nutrition-garden material and programme incentives [verify].</w:t>
      </w:r>
    </w:p>
    <w:p>
      <w:pPr>
        <w:pStyle w:val="Heading1"/>
        <w:keepNext/>
        <w:spacing w:after="140" w:before="300"/>
      </w:pPr>
      <w:r>
        <w:t xml:space="preserve">7. The year-one output: the GP-IIP</w:t>
      </w:r>
    </w:p>
    <w:p>
      <w:pPr>
        <w:spacing w:after="120" w:line="276"/>
        <w:jc w:val="both"/>
      </w:pPr>
      <w:r>
        <w:t xml:space="preserve">The central output of year one is Katlabodi’s </w:t>
      </w:r>
      <w:r>
        <w:rPr>
          <w:b/>
          <w:bCs/>
        </w:rPr>
        <w:t xml:space="preserve">Gram Panchayat Integrated Investment Plan</w:t>
      </w:r>
      <w:r>
        <w:t xml:space="preserve"> — a ten-year plan that converges the six projects, with cost estimates, finance routes and indicators. It is prepared in the form required for the </w:t>
      </w:r>
      <w:r>
        <w:rPr>
          <w:b/>
          <w:bCs/>
        </w:rPr>
        <w:t xml:space="preserve">Viksit Gram Panchayat Plan</w:t>
      </w:r>
      <w:r>
        <w:t xml:space="preserve"> under VB-G RAM G, which came into force on 1 July 2026 and focuses works on water security, rural infrastructure, livelihood infrastructure and extreme-weather mitigation. The panchayat must prepare that plan in any case; the grant ensures it is climate-integrated, evidence-based and bankable.</w:t>
      </w:r>
    </w:p>
    <w:p>
      <w:pPr>
        <w:spacing w:after="120" w:line="276"/>
        <w:jc w:val="both"/>
      </w:pPr>
      <w:r>
        <w:t xml:space="preserve">The planning sequence runs from community landscape assessment, to community priority, to permissible VB-G RAM G work, to climate and natural-resource outcome, to convergence requirement, to indicator — so that community priorities are not lost because they do not match a work title. The grant pays for what a civil-works list cannot: participatory mapping, hydrogeological assessment, biodiversity survey, climate-risk analysis, technical design and monitoring. VB-G RAM G and other schemes then pay for the works.</w:t>
      </w:r>
    </w:p>
    <w:p>
      <w:pPr>
        <w:spacing w:after="120" w:line="276"/>
        <w:jc w:val="both"/>
      </w:pPr>
      <w:r>
        <w:t xml:space="preserve">Alongside the GP-IIP, year one produces six project documents to bankable standard, a trained and certified local cadre, a deployed and openly licensed platform, a working hub site, and a verified evidence base.</w:t>
      </w:r>
    </w:p>
    <w:p>
      <w:pPr>
        <w:pStyle w:val="Heading1"/>
        <w:keepNext/>
        <w:spacing w:after="140" w:before="300"/>
      </w:pPr>
      <w:r>
        <w:t xml:space="preserve">8. From hub to State: the scaling pathway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83"/>
        <w:gridCol w:w="1377"/>
        <w:gridCol w:w="2295"/>
        <w:gridCol w:w="3671"/>
      </w:tblGrid>
      <w:tr>
        <w:trPr>
          <w:tblHeader/>
        </w:trPr>
        <w:tc>
          <w:tcPr>
            <w:tcW w:type="dxa" w:w="1683"/>
            <w:shd w:fill="EAF1EE" w:color="auto" w:val="clear"/>
            <w:tcMar>
              <w:top w:type="dxa" w:w="60"/>
              <w:left w:type="dxa" w:w="90"/>
              <w:bottom w:type="dxa" w:w="60"/>
              <w:right w:type="dxa" w:w="90"/>
            </w:tcMar>
          </w:tcPr>
          <w:p>
            <w:pPr>
              <w:spacing w:after="40"/>
            </w:pPr>
            <w:r>
              <w:rPr>
                <w:b/>
                <w:bCs/>
                <w:sz w:val="19"/>
                <w:szCs w:val="19"/>
              </w:rPr>
              <w:t xml:space="preserve">Tier</w:t>
            </w:r>
          </w:p>
        </w:tc>
        <w:tc>
          <w:tcPr>
            <w:tcW w:type="dxa" w:w="1377"/>
            <w:shd w:fill="EAF1EE" w:color="auto" w:val="clear"/>
            <w:tcMar>
              <w:top w:type="dxa" w:w="60"/>
              <w:left w:type="dxa" w:w="90"/>
              <w:bottom w:type="dxa" w:w="60"/>
              <w:right w:type="dxa" w:w="90"/>
            </w:tcMar>
          </w:tcPr>
          <w:p>
            <w:pPr>
              <w:spacing w:after="40"/>
            </w:pPr>
            <w:r>
              <w:rPr>
                <w:b/>
                <w:bCs/>
                <w:sz w:val="19"/>
                <w:szCs w:val="19"/>
              </w:rPr>
              <w:t xml:space="preserve">When</w:t>
            </w:r>
          </w:p>
        </w:tc>
        <w:tc>
          <w:tcPr>
            <w:tcW w:type="dxa" w:w="2295"/>
            <w:shd w:fill="EAF1EE" w:color="auto" w:val="clear"/>
            <w:tcMar>
              <w:top w:type="dxa" w:w="60"/>
              <w:left w:type="dxa" w:w="90"/>
              <w:bottom w:type="dxa" w:w="60"/>
              <w:right w:type="dxa" w:w="90"/>
            </w:tcMar>
          </w:tcPr>
          <w:p>
            <w:pPr>
              <w:spacing w:after="40"/>
            </w:pPr>
            <w:r>
              <w:rPr>
                <w:b/>
                <w:bCs/>
                <w:sz w:val="19"/>
                <w:szCs w:val="19"/>
              </w:rPr>
              <w:t xml:space="preserve">Scale</w:t>
            </w:r>
          </w:p>
        </w:tc>
        <w:tc>
          <w:tcPr>
            <w:tcW w:type="dxa" w:w="3671"/>
            <w:shd w:fill="EAF1EE" w:color="auto" w:val="clear"/>
            <w:tcMar>
              <w:top w:type="dxa" w:w="60"/>
              <w:left w:type="dxa" w:w="90"/>
              <w:bottom w:type="dxa" w:w="60"/>
              <w:right w:type="dxa" w:w="90"/>
            </w:tcMar>
          </w:tcPr>
          <w:p>
            <w:pPr>
              <w:spacing w:after="40"/>
            </w:pPr>
            <w:r>
              <w:rPr>
                <w:b/>
                <w:bCs/>
                <w:sz w:val="19"/>
                <w:szCs w:val="19"/>
              </w:rPr>
              <w:t xml:space="preserve">What is proven or built</w:t>
            </w:r>
          </w:p>
        </w:tc>
      </w:tr>
      <w:tr>
        <w:trPr>
          <w:cantSplit/>
        </w:trPr>
        <w:tc>
          <w:tcPr>
            <w:tcW w:type="dxa" w:w="1683"/>
            <w:tcMar>
              <w:top w:type="dxa" w:w="60"/>
              <w:left w:type="dxa" w:w="90"/>
              <w:bottom w:type="dxa" w:w="60"/>
              <w:right w:type="dxa" w:w="90"/>
            </w:tcMar>
          </w:tcPr>
          <w:p>
            <w:pPr>
              <w:spacing w:after="40"/>
            </w:pPr>
            <w:r>
              <w:rPr>
                <w:b w:val="false"/>
                <w:bCs w:val="false"/>
                <w:sz w:val="19"/>
                <w:szCs w:val="19"/>
              </w:rPr>
              <w:t xml:space="preserve">Hub — Katlabodi</w:t>
            </w:r>
          </w:p>
        </w:tc>
        <w:tc>
          <w:tcPr>
            <w:tcW w:type="dxa" w:w="1377"/>
            <w:tcMar>
              <w:top w:type="dxa" w:w="60"/>
              <w:left w:type="dxa" w:w="90"/>
              <w:bottom w:type="dxa" w:w="60"/>
              <w:right w:type="dxa" w:w="90"/>
            </w:tcMar>
          </w:tcPr>
          <w:p>
            <w:pPr>
              <w:spacing w:after="40"/>
            </w:pPr>
            <w:r>
              <w:rPr>
                <w:b w:val="false"/>
                <w:bCs w:val="false"/>
                <w:sz w:val="19"/>
                <w:szCs w:val="19"/>
              </w:rPr>
              <w:t xml:space="preserve">Year 1 (this grant)</w:t>
            </w:r>
          </w:p>
        </w:tc>
        <w:tc>
          <w:tcPr>
            <w:tcW w:type="dxa" w:w="2295"/>
            <w:tcMar>
              <w:top w:type="dxa" w:w="60"/>
              <w:left w:type="dxa" w:w="90"/>
              <w:bottom w:type="dxa" w:w="60"/>
              <w:right w:type="dxa" w:w="90"/>
            </w:tcMar>
          </w:tcPr>
          <w:p>
            <w:pPr>
              <w:spacing w:after="40"/>
            </w:pPr>
            <w:r>
              <w:rPr>
                <w:b w:val="false"/>
                <w:bCs w:val="false"/>
                <w:sz w:val="19"/>
                <w:szCs w:val="19"/>
              </w:rPr>
              <w:t xml:space="preserve">3 villages; 717 people</w:t>
            </w:r>
          </w:p>
        </w:tc>
        <w:tc>
          <w:tcPr>
            <w:tcW w:type="dxa" w:w="3671"/>
            <w:tcMar>
              <w:top w:type="dxa" w:w="60"/>
              <w:left w:type="dxa" w:w="90"/>
              <w:bottom w:type="dxa" w:w="60"/>
              <w:right w:type="dxa" w:w="90"/>
            </w:tcMar>
          </w:tcPr>
          <w:p>
            <w:pPr>
              <w:spacing w:after="40"/>
            </w:pPr>
            <w:r>
              <w:rPr>
                <w:b w:val="false"/>
                <w:bCs w:val="false"/>
                <w:sz w:val="19"/>
                <w:szCs w:val="19"/>
              </w:rPr>
              <w:t xml:space="preserve">The model works: cadre, platform, baselines, hub site, GP-IIP and six bankable projects</w:t>
            </w:r>
          </w:p>
        </w:tc>
      </w:tr>
      <w:tr>
        <w:trPr>
          <w:cantSplit/>
        </w:trPr>
        <w:tc>
          <w:tcPr>
            <w:tcW w:type="dxa" w:w="1683"/>
            <w:tcMar>
              <w:top w:type="dxa" w:w="60"/>
              <w:left w:type="dxa" w:w="90"/>
              <w:bottom w:type="dxa" w:w="60"/>
              <w:right w:type="dxa" w:w="90"/>
            </w:tcMar>
          </w:tcPr>
          <w:p>
            <w:pPr>
              <w:spacing w:after="40"/>
            </w:pPr>
            <w:r>
              <w:rPr>
                <w:b w:val="false"/>
                <w:bCs w:val="false"/>
                <w:sz w:val="19"/>
                <w:szCs w:val="19"/>
              </w:rPr>
              <w:t xml:space="preserve">Cluster — Katol block</w:t>
            </w:r>
          </w:p>
        </w:tc>
        <w:tc>
          <w:tcPr>
            <w:tcW w:type="dxa" w:w="1377"/>
            <w:tcMar>
              <w:top w:type="dxa" w:w="60"/>
              <w:left w:type="dxa" w:w="90"/>
              <w:bottom w:type="dxa" w:w="60"/>
              <w:right w:type="dxa" w:w="90"/>
            </w:tcMar>
          </w:tcPr>
          <w:p>
            <w:pPr>
              <w:spacing w:after="40"/>
            </w:pPr>
            <w:r>
              <w:rPr>
                <w:b w:val="false"/>
                <w:bCs w:val="false"/>
                <w:sz w:val="19"/>
                <w:szCs w:val="19"/>
              </w:rPr>
              <w:t xml:space="preserve">Years 2–3</w:t>
            </w:r>
          </w:p>
        </w:tc>
        <w:tc>
          <w:tcPr>
            <w:tcW w:type="dxa" w:w="2295"/>
            <w:tcMar>
              <w:top w:type="dxa" w:w="60"/>
              <w:left w:type="dxa" w:w="90"/>
              <w:bottom w:type="dxa" w:w="60"/>
              <w:right w:type="dxa" w:w="90"/>
            </w:tcMar>
          </w:tcPr>
          <w:p>
            <w:pPr>
              <w:spacing w:after="40"/>
            </w:pPr>
            <w:r>
              <w:rPr>
                <w:b w:val="false"/>
                <w:bCs w:val="false"/>
                <w:sz w:val="19"/>
                <w:szCs w:val="19"/>
              </w:rPr>
              <w:t xml:space="preserve">186 villages; about 1.64 lakh people; 37,710 households (Census 2011) [verify number of Gram Panchayats]</w:t>
            </w:r>
          </w:p>
        </w:tc>
        <w:tc>
          <w:tcPr>
            <w:tcW w:type="dxa" w:w="3671"/>
            <w:tcMar>
              <w:top w:type="dxa" w:w="60"/>
              <w:left w:type="dxa" w:w="90"/>
              <w:bottom w:type="dxa" w:w="60"/>
              <w:right w:type="dxa" w:w="90"/>
            </w:tcMar>
          </w:tcPr>
          <w:p>
            <w:pPr>
              <w:spacing w:after="40"/>
            </w:pPr>
            <w:r>
              <w:rPr>
                <w:b w:val="false"/>
                <w:bCs w:val="false"/>
                <w:sz w:val="19"/>
                <w:szCs w:val="19"/>
              </w:rPr>
              <w:t xml:space="preserve">The model works across panchayats: trainer cascade; hub nursery supplies the cluster; block assets such as milk chilling and a dung-based biogas plant; landscape and watershed plans; carbon aggregation</w:t>
            </w:r>
          </w:p>
        </w:tc>
      </w:tr>
      <w:tr>
        <w:trPr>
          <w:cantSplit/>
        </w:trPr>
        <w:tc>
          <w:tcPr>
            <w:tcW w:type="dxa" w:w="1683"/>
            <w:tcMar>
              <w:top w:type="dxa" w:w="60"/>
              <w:left w:type="dxa" w:w="90"/>
              <w:bottom w:type="dxa" w:w="60"/>
              <w:right w:type="dxa" w:w="90"/>
            </w:tcMar>
          </w:tcPr>
          <w:p>
            <w:pPr>
              <w:spacing w:after="40"/>
            </w:pPr>
            <w:r>
              <w:rPr>
                <w:b w:val="false"/>
                <w:bCs w:val="false"/>
                <w:sz w:val="19"/>
                <w:szCs w:val="19"/>
              </w:rPr>
              <w:t xml:space="preserve">State — Maharashtra</w:t>
            </w:r>
          </w:p>
        </w:tc>
        <w:tc>
          <w:tcPr>
            <w:tcW w:type="dxa" w:w="1377"/>
            <w:tcMar>
              <w:top w:type="dxa" w:w="60"/>
              <w:left w:type="dxa" w:w="90"/>
              <w:bottom w:type="dxa" w:w="60"/>
              <w:right w:type="dxa" w:w="90"/>
            </w:tcMar>
          </w:tcPr>
          <w:p>
            <w:pPr>
              <w:spacing w:after="40"/>
            </w:pPr>
            <w:r>
              <w:rPr>
                <w:b w:val="false"/>
                <w:bCs w:val="false"/>
                <w:sz w:val="19"/>
                <w:szCs w:val="19"/>
              </w:rPr>
              <w:t xml:space="preserve">Years 3–5</w:t>
            </w:r>
          </w:p>
        </w:tc>
        <w:tc>
          <w:tcPr>
            <w:tcW w:type="dxa" w:w="2295"/>
            <w:tcMar>
              <w:top w:type="dxa" w:w="60"/>
              <w:left w:type="dxa" w:w="90"/>
              <w:bottom w:type="dxa" w:w="60"/>
              <w:right w:type="dxa" w:w="90"/>
            </w:tcMar>
          </w:tcPr>
          <w:p>
            <w:pPr>
              <w:spacing w:after="40"/>
            </w:pPr>
            <w:r>
              <w:rPr>
                <w:b w:val="false"/>
                <w:bCs w:val="false"/>
                <w:sz w:val="19"/>
                <w:szCs w:val="19"/>
              </w:rPr>
              <w:t xml:space="preserve">358 talukas</w:t>
            </w:r>
          </w:p>
        </w:tc>
        <w:tc>
          <w:tcPr>
            <w:tcW w:type="dxa" w:w="3671"/>
            <w:tcMar>
              <w:top w:type="dxa" w:w="60"/>
              <w:left w:type="dxa" w:w="90"/>
              <w:bottom w:type="dxa" w:w="60"/>
              <w:right w:type="dxa" w:w="90"/>
            </w:tcMar>
          </w:tcPr>
          <w:p>
            <w:pPr>
              <w:spacing w:after="40"/>
            </w:pPr>
            <w:r>
              <w:rPr>
                <w:b w:val="false"/>
                <w:bCs w:val="false"/>
                <w:sz w:val="19"/>
                <w:szCs w:val="19"/>
              </w:rPr>
              <w:t xml:space="preserve">A proven, costed and replicable model, ready for adoption through the State’s VGPP process</w:t>
            </w:r>
          </w:p>
        </w:tc>
      </w:tr>
    </w:tbl>
    <w:p>
      <w:pPr>
        <w:spacing w:after="80"/>
      </w:pPr>
    </w:p>
    <w:p>
      <w:pPr>
        <w:spacing w:after="120" w:line="276"/>
        <w:jc w:val="both"/>
      </w:pPr>
      <w:r>
        <w:rPr>
          <w:b/>
          <w:bCs/>
        </w:rPr>
        <w:t xml:space="preserve">How it scales.</w:t>
      </w:r>
      <w:r>
        <w:t xml:space="preserve"> Every Gram Panchayat must prepare a VGPP, so the State already has a channel to every village; a climate-integrated VGPP template proven in Katol travels through it. DEVTech is open source, so each new panchayat is a configuration, not a build. Sakhi cadre members become master trainers for neighbouring panchayats, working with the State Rural Livelihoods Mission. Watersheds, grazing, forest fire and carbon aggregation need planning above the panchayat, which the cluster tier provides.</w:t>
      </w:r>
    </w:p>
    <w:p>
      <w:pPr>
        <w:spacing w:after="120" w:line="276"/>
        <w:jc w:val="both"/>
      </w:pPr>
      <w:r>
        <w:rPr>
          <w:b/>
          <w:bCs/>
        </w:rPr>
        <w:t xml:space="preserve">Gates.</w:t>
      </w:r>
      <w:r>
        <w:t xml:space="preserve"> The cluster tier begins when the hub shows cadre income trajectories against baseline, a water budget maintained by the panchayat, the platform in routine use, and the GP-IIP adopted as the VGPP. The State tier is supported by cost per Gram Panchayat, documented from the cluster.</w:t>
      </w:r>
    </w:p>
    <w:p>
      <w:pPr>
        <w:pStyle w:val="Heading1"/>
        <w:keepNext/>
        <w:spacing w:after="140" w:before="300"/>
      </w:pPr>
      <w:r>
        <w:t xml:space="preserve">9. What each partner gains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62"/>
        <w:gridCol w:w="4431"/>
        <w:gridCol w:w="2133"/>
      </w:tblGrid>
      <w:tr>
        <w:trPr>
          <w:tblHeader/>
        </w:trPr>
        <w:tc>
          <w:tcPr>
            <w:tcW w:type="dxa" w:w="2462"/>
            <w:shd w:fill="EAF1EE" w:color="auto" w:val="clear"/>
            <w:tcMar>
              <w:top w:type="dxa" w:w="60"/>
              <w:left w:type="dxa" w:w="90"/>
              <w:bottom w:type="dxa" w:w="60"/>
              <w:right w:type="dxa" w:w="90"/>
            </w:tcMar>
          </w:tcPr>
          <w:p>
            <w:pPr>
              <w:spacing w:after="40"/>
            </w:pPr>
            <w:r>
              <w:rPr>
                <w:b/>
                <w:bCs/>
                <w:sz w:val="19"/>
                <w:szCs w:val="19"/>
              </w:rPr>
              <w:t xml:space="preserve">Partner</w:t>
            </w:r>
          </w:p>
        </w:tc>
        <w:tc>
          <w:tcPr>
            <w:tcW w:type="dxa" w:w="4431"/>
            <w:shd w:fill="EAF1EE" w:color="auto" w:val="clear"/>
            <w:tcMar>
              <w:top w:type="dxa" w:w="60"/>
              <w:left w:type="dxa" w:w="90"/>
              <w:bottom w:type="dxa" w:w="60"/>
              <w:right w:type="dxa" w:w="90"/>
            </w:tcMar>
          </w:tcPr>
          <w:p>
            <w:pPr>
              <w:spacing w:after="40"/>
            </w:pPr>
            <w:r>
              <w:rPr>
                <w:b/>
                <w:bCs/>
                <w:sz w:val="19"/>
                <w:szCs w:val="19"/>
              </w:rPr>
              <w:t xml:space="preserve">Value</w:t>
            </w:r>
          </w:p>
        </w:tc>
        <w:tc>
          <w:tcPr>
            <w:tcW w:type="dxa" w:w="2133"/>
            <w:shd w:fill="EAF1EE" w:color="auto" w:val="clear"/>
            <w:tcMar>
              <w:top w:type="dxa" w:w="60"/>
              <w:left w:type="dxa" w:w="90"/>
              <w:bottom w:type="dxa" w:w="60"/>
              <w:right w:type="dxa" w:w="90"/>
            </w:tcMar>
          </w:tcPr>
          <w:p>
            <w:pPr>
              <w:spacing w:after="40"/>
            </w:pPr>
            <w:r>
              <w:rPr>
                <w:b/>
                <w:bCs/>
                <w:sz w:val="19"/>
                <w:szCs w:val="19"/>
              </w:rPr>
              <w:t xml:space="preserve">Ask</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Solar Industries India Limited (CSR)</w:t>
            </w:r>
          </w:p>
        </w:tc>
        <w:tc>
          <w:tcPr>
            <w:tcW w:type="dxa" w:w="4431"/>
            <w:tcMar>
              <w:top w:type="dxa" w:w="60"/>
              <w:left w:type="dxa" w:w="90"/>
              <w:bottom w:type="dxa" w:w="60"/>
              <w:right w:type="dxa" w:w="90"/>
            </w:tcMar>
          </w:tcPr>
          <w:p>
            <w:pPr>
              <w:spacing w:after="40"/>
            </w:pPr>
            <w:r>
              <w:rPr>
                <w:b w:val="false"/>
                <w:bCs w:val="false"/>
                <w:sz w:val="19"/>
                <w:szCs w:val="19"/>
              </w:rPr>
              <w:t xml:space="preserve">A drought response with results fully attributable within twelve months; alignment with Schedule VII — hunger, health and drinking water; education and livelihoods; women; environmental sustainability and agroforestry; rural development; support for BRSR reporting on environment and inclusive development</w:t>
            </w:r>
          </w:p>
        </w:tc>
        <w:tc>
          <w:tcPr>
            <w:tcW w:type="dxa" w:w="2133"/>
            <w:tcMar>
              <w:top w:type="dxa" w:w="60"/>
              <w:left w:type="dxa" w:w="90"/>
              <w:bottom w:type="dxa" w:w="60"/>
              <w:right w:type="dxa" w:w="90"/>
            </w:tcMar>
          </w:tcPr>
          <w:p>
            <w:pPr>
              <w:spacing w:after="40"/>
            </w:pPr>
            <w:r>
              <w:rPr>
                <w:b w:val="false"/>
                <w:bCs w:val="false"/>
                <w:sz w:val="19"/>
                <w:szCs w:val="19"/>
              </w:rPr>
              <w:t xml:space="preserve">Year-one grant</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Gram Panchayat and community</w:t>
            </w:r>
          </w:p>
        </w:tc>
        <w:tc>
          <w:tcPr>
            <w:tcW w:type="dxa" w:w="4431"/>
            <w:tcMar>
              <w:top w:type="dxa" w:w="60"/>
              <w:left w:type="dxa" w:w="90"/>
              <w:bottom w:type="dxa" w:w="60"/>
              <w:right w:type="dxa" w:w="90"/>
            </w:tcMar>
          </w:tcPr>
          <w:p>
            <w:pPr>
              <w:spacing w:after="40"/>
            </w:pPr>
            <w:r>
              <w:rPr>
                <w:b w:val="false"/>
                <w:bCs w:val="false"/>
                <w:sz w:val="19"/>
                <w:szCs w:val="19"/>
              </w:rPr>
              <w:t xml:space="preserve">Income, fodder and water security; assets and data owned by the panchayat; a VGPP prepared for it</w:t>
            </w:r>
          </w:p>
        </w:tc>
        <w:tc>
          <w:tcPr>
            <w:tcW w:type="dxa" w:w="2133"/>
            <w:tcMar>
              <w:top w:type="dxa" w:w="60"/>
              <w:left w:type="dxa" w:w="90"/>
              <w:bottom w:type="dxa" w:w="60"/>
              <w:right w:type="dxa" w:w="90"/>
            </w:tcMar>
          </w:tcPr>
          <w:p>
            <w:pPr>
              <w:spacing w:after="40"/>
            </w:pPr>
            <w:r>
              <w:rPr>
                <w:b w:val="false"/>
                <w:bCs w:val="false"/>
                <w:sz w:val="19"/>
                <w:szCs w:val="19"/>
              </w:rPr>
              <w:t xml:space="preserve">Resolutions, land allocation, Biodiversity Management Committee</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District administration and State (Rural Development, VB-G RAM G)</w:t>
            </w:r>
          </w:p>
        </w:tc>
        <w:tc>
          <w:tcPr>
            <w:tcW w:type="dxa" w:w="4431"/>
            <w:tcMar>
              <w:top w:type="dxa" w:w="60"/>
              <w:left w:type="dxa" w:w="90"/>
              <w:bottom w:type="dxa" w:w="60"/>
              <w:right w:type="dxa" w:w="90"/>
            </w:tcMar>
          </w:tcPr>
          <w:p>
            <w:pPr>
              <w:spacing w:after="40"/>
            </w:pPr>
            <w:r>
              <w:rPr>
                <w:b w:val="false"/>
                <w:bCs w:val="false"/>
                <w:sz w:val="19"/>
                <w:szCs w:val="19"/>
              </w:rPr>
              <w:t xml:space="preserve">A climate-integrated VGPP template; drought relief delivered through local capacity; panchayat-level evidence against the Drought Management Code</w:t>
            </w:r>
          </w:p>
        </w:tc>
        <w:tc>
          <w:tcPr>
            <w:tcW w:type="dxa" w:w="2133"/>
            <w:tcMar>
              <w:top w:type="dxa" w:w="60"/>
              <w:left w:type="dxa" w:w="90"/>
              <w:bottom w:type="dxa" w:w="60"/>
              <w:right w:type="dxa" w:w="90"/>
            </w:tcMar>
          </w:tcPr>
          <w:p>
            <w:pPr>
              <w:spacing w:after="40"/>
            </w:pPr>
            <w:r>
              <w:rPr>
                <w:b w:val="false"/>
                <w:bCs w:val="false"/>
                <w:sz w:val="19"/>
                <w:szCs w:val="19"/>
              </w:rPr>
              <w:t xml:space="preserve">Convergence of works; adoption of the template</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State Rural Livelihoods Mission</w:t>
            </w:r>
          </w:p>
        </w:tc>
        <w:tc>
          <w:tcPr>
            <w:tcW w:type="dxa" w:w="4431"/>
            <w:tcMar>
              <w:top w:type="dxa" w:w="60"/>
              <w:left w:type="dxa" w:w="90"/>
              <w:bottom w:type="dxa" w:w="60"/>
              <w:right w:type="dxa" w:w="90"/>
            </w:tcMar>
          </w:tcPr>
          <w:p>
            <w:pPr>
              <w:spacing w:after="40"/>
            </w:pPr>
            <w:r>
              <w:rPr>
                <w:b w:val="false"/>
                <w:bCs w:val="false"/>
                <w:sz w:val="19"/>
                <w:szCs w:val="19"/>
              </w:rPr>
              <w:t xml:space="preserve">Certified cadres and a trainer cascade built on its architecture</w:t>
            </w:r>
          </w:p>
        </w:tc>
        <w:tc>
          <w:tcPr>
            <w:tcW w:type="dxa" w:w="2133"/>
            <w:tcMar>
              <w:top w:type="dxa" w:w="60"/>
              <w:left w:type="dxa" w:w="90"/>
              <w:bottom w:type="dxa" w:w="60"/>
              <w:right w:type="dxa" w:w="90"/>
            </w:tcMar>
          </w:tcPr>
          <w:p>
            <w:pPr>
              <w:spacing w:after="40"/>
            </w:pPr>
            <w:r>
              <w:rPr>
                <w:b w:val="false"/>
                <w:bCs w:val="false"/>
                <w:sz w:val="19"/>
                <w:szCs w:val="19"/>
              </w:rPr>
              <w:t xml:space="preserve">Certification linkage; cluster roll-out</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National Biodiversity Authority and Maharashtra State Biodiversity Board</w:t>
            </w:r>
          </w:p>
        </w:tc>
        <w:tc>
          <w:tcPr>
            <w:tcW w:type="dxa" w:w="4431"/>
            <w:tcMar>
              <w:top w:type="dxa" w:w="60"/>
              <w:left w:type="dxa" w:w="90"/>
              <w:bottom w:type="dxa" w:w="60"/>
              <w:right w:type="dxa" w:w="90"/>
            </w:tcMar>
          </w:tcPr>
          <w:p>
            <w:pPr>
              <w:spacing w:after="40"/>
            </w:pPr>
            <w:r>
              <w:rPr>
                <w:b w:val="false"/>
                <w:bCs w:val="false"/>
                <w:sz w:val="19"/>
                <w:szCs w:val="19"/>
              </w:rPr>
              <w:t xml:space="preserve">Biodiversity treated as infrastructure; a working BMC with a living digital People’s Biodiversity Register</w:t>
            </w:r>
          </w:p>
        </w:tc>
        <w:tc>
          <w:tcPr>
            <w:tcW w:type="dxa" w:w="2133"/>
            <w:tcMar>
              <w:top w:type="dxa" w:w="60"/>
              <w:left w:type="dxa" w:w="90"/>
              <w:bottom w:type="dxa" w:w="60"/>
              <w:right w:type="dxa" w:w="90"/>
            </w:tcMar>
          </w:tcPr>
          <w:p>
            <w:pPr>
              <w:spacing w:after="40"/>
            </w:pPr>
            <w:r>
              <w:rPr>
                <w:b w:val="false"/>
                <w:bCs w:val="false"/>
                <w:sz w:val="19"/>
                <w:szCs w:val="19"/>
              </w:rPr>
              <w:t xml:space="preserve">Recognition as a pilot; technical guidance</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Maharashtra Forest Department (JICA forest-management project)</w:t>
            </w:r>
          </w:p>
        </w:tc>
        <w:tc>
          <w:tcPr>
            <w:tcW w:type="dxa" w:w="4431"/>
            <w:tcMar>
              <w:top w:type="dxa" w:w="60"/>
              <w:left w:type="dxa" w:w="90"/>
              <w:bottom w:type="dxa" w:w="60"/>
              <w:right w:type="dxa" w:w="90"/>
            </w:tcMar>
          </w:tcPr>
          <w:p>
            <w:pPr>
              <w:spacing w:after="40"/>
            </w:pPr>
            <w:r>
              <w:rPr>
                <w:b w:val="false"/>
                <w:bCs w:val="false"/>
                <w:sz w:val="19"/>
                <w:szCs w:val="19"/>
              </w:rPr>
              <w:t xml:space="preserve">A forest-fringe field pilot combining local knowledge, a community cadre and digital tools</w:t>
            </w:r>
          </w:p>
        </w:tc>
        <w:tc>
          <w:tcPr>
            <w:tcW w:type="dxa" w:w="2133"/>
            <w:tcMar>
              <w:top w:type="dxa" w:w="60"/>
              <w:left w:type="dxa" w:w="90"/>
              <w:bottom w:type="dxa" w:w="60"/>
              <w:right w:type="dxa" w:w="90"/>
            </w:tcMar>
          </w:tcPr>
          <w:p>
            <w:pPr>
              <w:spacing w:after="40"/>
            </w:pPr>
            <w:r>
              <w:rPr>
                <w:b w:val="false"/>
                <w:bCs w:val="false"/>
                <w:sz w:val="19"/>
                <w:szCs w:val="19"/>
              </w:rPr>
              <w:t xml:space="preserve">Pilot site; joint training of frontline staff and cadre</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NABARD, National Medicinal Plants Board, National AYUSH Mission</w:t>
            </w:r>
          </w:p>
        </w:tc>
        <w:tc>
          <w:tcPr>
            <w:tcW w:type="dxa" w:w="4431"/>
            <w:tcMar>
              <w:top w:type="dxa" w:w="60"/>
              <w:left w:type="dxa" w:w="90"/>
              <w:bottom w:type="dxa" w:w="60"/>
              <w:right w:type="dxa" w:w="90"/>
            </w:tcMar>
          </w:tcPr>
          <w:p>
            <w:pPr>
              <w:spacing w:after="40"/>
            </w:pPr>
            <w:r>
              <w:rPr>
                <w:b w:val="false"/>
                <w:bCs w:val="false"/>
                <w:sz w:val="19"/>
                <w:szCs w:val="19"/>
              </w:rPr>
              <w:t xml:space="preserve">Bankable medicinal agroforestry and Wadi-type projects, prepared and verified</w:t>
            </w:r>
          </w:p>
        </w:tc>
        <w:tc>
          <w:tcPr>
            <w:tcW w:type="dxa" w:w="2133"/>
            <w:tcMar>
              <w:top w:type="dxa" w:w="60"/>
              <w:left w:type="dxa" w:w="90"/>
              <w:bottom w:type="dxa" w:w="60"/>
              <w:right w:type="dxa" w:w="90"/>
            </w:tcMar>
          </w:tcPr>
          <w:p>
            <w:pPr>
              <w:spacing w:after="40"/>
            </w:pPr>
            <w:r>
              <w:rPr>
                <w:b w:val="false"/>
                <w:bCs w:val="false"/>
                <w:sz w:val="19"/>
                <w:szCs w:val="19"/>
              </w:rPr>
              <w:t xml:space="preserve">Scheme finance from year two</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VNIT Nagpur and IIM Nagpur</w:t>
            </w:r>
          </w:p>
        </w:tc>
        <w:tc>
          <w:tcPr>
            <w:tcW w:type="dxa" w:w="4431"/>
            <w:tcMar>
              <w:top w:type="dxa" w:w="60"/>
              <w:left w:type="dxa" w:w="90"/>
              <w:bottom w:type="dxa" w:w="60"/>
              <w:right w:type="dxa" w:w="90"/>
            </w:tcMar>
          </w:tcPr>
          <w:p>
            <w:pPr>
              <w:spacing w:after="40"/>
            </w:pPr>
            <w:r>
              <w:rPr>
                <w:b w:val="false"/>
                <w:bCs w:val="false"/>
                <w:sz w:val="19"/>
                <w:szCs w:val="19"/>
              </w:rPr>
              <w:t xml:space="preserve">A live laboratory; IPBES-named data gaps addressed</w:t>
            </w:r>
          </w:p>
        </w:tc>
        <w:tc>
          <w:tcPr>
            <w:tcW w:type="dxa" w:w="2133"/>
            <w:tcMar>
              <w:top w:type="dxa" w:w="60"/>
              <w:left w:type="dxa" w:w="90"/>
              <w:bottom w:type="dxa" w:w="60"/>
              <w:right w:type="dxa" w:w="90"/>
            </w:tcMar>
          </w:tcPr>
          <w:p>
            <w:pPr>
              <w:spacing w:after="40"/>
            </w:pPr>
            <w:r>
              <w:rPr>
                <w:b w:val="false"/>
                <w:bCs w:val="false"/>
                <w:sz w:val="19"/>
                <w:szCs w:val="19"/>
              </w:rPr>
              <w:t xml:space="preserve">Intern cohorts; academic supervision</w:t>
            </w:r>
          </w:p>
        </w:tc>
      </w:tr>
      <w:tr>
        <w:trPr>
          <w:cantSplit/>
        </w:trPr>
        <w:tc>
          <w:tcPr>
            <w:tcW w:type="dxa" w:w="2462"/>
            <w:tcMar>
              <w:top w:type="dxa" w:w="60"/>
              <w:left w:type="dxa" w:w="90"/>
              <w:bottom w:type="dxa" w:w="60"/>
              <w:right w:type="dxa" w:w="90"/>
            </w:tcMar>
          </w:tcPr>
          <w:p>
            <w:pPr>
              <w:spacing w:after="40"/>
            </w:pPr>
            <w:r>
              <w:rPr>
                <w:b w:val="false"/>
                <w:bCs w:val="false"/>
                <w:sz w:val="19"/>
                <w:szCs w:val="19"/>
              </w:rPr>
              <w:t xml:space="preserve">Market partners (Ayurvan, Manas Ayurved)</w:t>
            </w:r>
          </w:p>
        </w:tc>
        <w:tc>
          <w:tcPr>
            <w:tcW w:type="dxa" w:w="4431"/>
            <w:tcMar>
              <w:top w:type="dxa" w:w="60"/>
              <w:left w:type="dxa" w:w="90"/>
              <w:bottom w:type="dxa" w:w="60"/>
              <w:right w:type="dxa" w:w="90"/>
            </w:tcMar>
          </w:tcPr>
          <w:p>
            <w:pPr>
              <w:spacing w:after="40"/>
            </w:pPr>
            <w:r>
              <w:rPr>
                <w:b w:val="false"/>
                <w:bCs w:val="false"/>
                <w:sz w:val="19"/>
                <w:szCs w:val="19"/>
              </w:rPr>
              <w:t xml:space="preserve">Graded, traceable medicinal produce from a women-led supply base</w:t>
            </w:r>
          </w:p>
        </w:tc>
        <w:tc>
          <w:tcPr>
            <w:tcW w:type="dxa" w:w="2133"/>
            <w:tcMar>
              <w:top w:type="dxa" w:w="60"/>
              <w:left w:type="dxa" w:w="90"/>
              <w:bottom w:type="dxa" w:w="60"/>
              <w:right w:type="dxa" w:w="90"/>
            </w:tcMar>
          </w:tcPr>
          <w:p>
            <w:pPr>
              <w:spacing w:after="40"/>
            </w:pPr>
            <w:r>
              <w:rPr>
                <w:b w:val="false"/>
                <w:bCs w:val="false"/>
                <w:sz w:val="19"/>
                <w:szCs w:val="19"/>
              </w:rPr>
              <w:t xml:space="preserve">Anchor and second-buyer offtake</w:t>
            </w:r>
          </w:p>
        </w:tc>
      </w:tr>
    </w:tbl>
    <w:p>
      <w:pPr>
        <w:spacing w:after="80"/>
      </w:pPr>
    </w:p>
    <w:p>
      <w:pPr>
        <w:pStyle w:val="Heading1"/>
        <w:keepNext/>
        <w:spacing w:after="140" w:before="300"/>
      </w:pPr>
      <w:r>
        <w:t xml:space="preserve">10. Governance, roles and safeguards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83"/>
        <w:gridCol w:w="6943"/>
      </w:tblGrid>
      <w:tr>
        <w:trPr>
          <w:tblHeader/>
        </w:trPr>
        <w:tc>
          <w:tcPr>
            <w:tcW w:type="dxa" w:w="2083"/>
            <w:shd w:fill="EAF1EE" w:color="auto" w:val="clear"/>
            <w:tcMar>
              <w:top w:type="dxa" w:w="60"/>
              <w:left w:type="dxa" w:w="90"/>
              <w:bottom w:type="dxa" w:w="60"/>
              <w:right w:type="dxa" w:w="90"/>
            </w:tcMar>
          </w:tcPr>
          <w:p>
            <w:pPr>
              <w:spacing w:after="40"/>
            </w:pPr>
            <w:r>
              <w:rPr>
                <w:b/>
                <w:bCs/>
                <w:sz w:val="19"/>
                <w:szCs w:val="19"/>
              </w:rPr>
              <w:t xml:space="preserve">Party</w:t>
            </w:r>
          </w:p>
        </w:tc>
        <w:tc>
          <w:tcPr>
            <w:tcW w:type="dxa" w:w="6943"/>
            <w:shd w:fill="EAF1EE" w:color="auto" w:val="clear"/>
            <w:tcMar>
              <w:top w:type="dxa" w:w="60"/>
              <w:left w:type="dxa" w:w="90"/>
              <w:bottom w:type="dxa" w:w="60"/>
              <w:right w:type="dxa" w:w="90"/>
            </w:tcMar>
          </w:tcPr>
          <w:p>
            <w:pPr>
              <w:spacing w:after="40"/>
            </w:pPr>
            <w:r>
              <w:rPr>
                <w:b/>
                <w:bCs/>
                <w:sz w:val="19"/>
                <w:szCs w:val="19"/>
              </w:rPr>
              <w:t xml:space="preserve">Role</w:t>
            </w:r>
          </w:p>
        </w:tc>
      </w:tr>
      <w:tr>
        <w:trPr>
          <w:cantSplit/>
        </w:trPr>
        <w:tc>
          <w:tcPr>
            <w:tcW w:type="dxa" w:w="2083"/>
            <w:tcMar>
              <w:top w:type="dxa" w:w="60"/>
              <w:left w:type="dxa" w:w="90"/>
              <w:bottom w:type="dxa" w:w="60"/>
              <w:right w:type="dxa" w:w="90"/>
            </w:tcMar>
          </w:tcPr>
          <w:p>
            <w:pPr>
              <w:spacing w:after="40"/>
            </w:pPr>
            <w:r>
              <w:rPr>
                <w:b w:val="false"/>
                <w:bCs w:val="false"/>
                <w:sz w:val="19"/>
                <w:szCs w:val="19"/>
              </w:rPr>
              <w:t xml:space="preserve">Ayurvan Foundation</w:t>
            </w:r>
          </w:p>
        </w:tc>
        <w:tc>
          <w:tcPr>
            <w:tcW w:type="dxa" w:w="6943"/>
            <w:tcMar>
              <w:top w:type="dxa" w:w="60"/>
              <w:left w:type="dxa" w:w="90"/>
              <w:bottom w:type="dxa" w:w="60"/>
              <w:right w:type="dxa" w:w="90"/>
            </w:tcMar>
          </w:tcPr>
          <w:p>
            <w:pPr>
              <w:spacing w:after="40"/>
            </w:pPr>
            <w:r>
              <w:rPr>
                <w:b w:val="false"/>
                <w:bCs w:val="false"/>
                <w:sz w:val="19"/>
                <w:szCs w:val="19"/>
              </w:rPr>
              <w:t xml:space="preserve">Implementation lead and grant recipient; conservation and ecological expertise; community mobilisation; accountable to the donor for delivery and utilisation; holder of capital assets created by the grant, with the Gram Panchayat</w:t>
            </w:r>
          </w:p>
        </w:tc>
      </w:tr>
      <w:tr>
        <w:trPr>
          <w:cantSplit/>
        </w:trPr>
        <w:tc>
          <w:tcPr>
            <w:tcW w:type="dxa" w:w="2083"/>
            <w:tcMar>
              <w:top w:type="dxa" w:w="60"/>
              <w:left w:type="dxa" w:w="90"/>
              <w:bottom w:type="dxa" w:w="60"/>
              <w:right w:type="dxa" w:w="90"/>
            </w:tcMar>
          </w:tcPr>
          <w:p>
            <w:pPr>
              <w:spacing w:after="40"/>
            </w:pPr>
            <w:r>
              <w:rPr>
                <w:b w:val="false"/>
                <w:bCs w:val="false"/>
                <w:sz w:val="19"/>
                <w:szCs w:val="19"/>
              </w:rPr>
              <w:t xml:space="preserve">UrjaGram Innovations</w:t>
            </w:r>
          </w:p>
        </w:tc>
        <w:tc>
          <w:tcPr>
            <w:tcW w:type="dxa" w:w="6943"/>
            <w:tcMar>
              <w:top w:type="dxa" w:w="60"/>
              <w:left w:type="dxa" w:w="90"/>
              <w:bottom w:type="dxa" w:w="60"/>
              <w:right w:type="dxa" w:w="90"/>
            </w:tcMar>
          </w:tcPr>
          <w:p>
            <w:pPr>
              <w:spacing w:after="40"/>
            </w:pPr>
            <w:r>
              <w:rPr>
                <w:b w:val="false"/>
                <w:bCs w:val="false"/>
                <w:sz w:val="19"/>
                <w:szCs w:val="19"/>
              </w:rPr>
              <w:t xml:space="preserve">USDF framework; DEVTech deployment; project development and monitoring; coordination with government; GP-IIP preparation; carbon accounting; reporting; contributes platform and specialist expertise in kind</w:t>
            </w:r>
          </w:p>
        </w:tc>
      </w:tr>
      <w:tr>
        <w:trPr>
          <w:cantSplit/>
        </w:trPr>
        <w:tc>
          <w:tcPr>
            <w:tcW w:type="dxa" w:w="2083"/>
            <w:tcMar>
              <w:top w:type="dxa" w:w="60"/>
              <w:left w:type="dxa" w:w="90"/>
              <w:bottom w:type="dxa" w:w="60"/>
              <w:right w:type="dxa" w:w="90"/>
            </w:tcMar>
          </w:tcPr>
          <w:p>
            <w:pPr>
              <w:spacing w:after="40"/>
            </w:pPr>
            <w:r>
              <w:rPr>
                <w:b w:val="false"/>
                <w:bCs w:val="false"/>
                <w:sz w:val="19"/>
                <w:szCs w:val="19"/>
              </w:rPr>
              <w:t xml:space="preserve">Gram Panchayat Katlabodi</w:t>
            </w:r>
          </w:p>
        </w:tc>
        <w:tc>
          <w:tcPr>
            <w:tcW w:type="dxa" w:w="6943"/>
            <w:tcMar>
              <w:top w:type="dxa" w:w="60"/>
              <w:left w:type="dxa" w:w="90"/>
              <w:bottom w:type="dxa" w:w="60"/>
              <w:right w:type="dxa" w:w="90"/>
            </w:tcMar>
          </w:tcPr>
          <w:p>
            <w:pPr>
              <w:spacing w:after="40"/>
            </w:pPr>
            <w:r>
              <w:rPr>
                <w:b w:val="false"/>
                <w:bCs w:val="false"/>
                <w:sz w:val="19"/>
                <w:szCs w:val="19"/>
              </w:rPr>
              <w:t xml:space="preserve">Land identification and allocation; approvals; scheme identification; self-help group support; data fiduciary; adoption of the GP-IIP as its VGPP</w:t>
            </w:r>
          </w:p>
        </w:tc>
      </w:tr>
      <w:tr>
        <w:trPr>
          <w:cantSplit/>
        </w:trPr>
        <w:tc>
          <w:tcPr>
            <w:tcW w:type="dxa" w:w="2083"/>
            <w:tcMar>
              <w:top w:type="dxa" w:w="60"/>
              <w:left w:type="dxa" w:w="90"/>
              <w:bottom w:type="dxa" w:w="60"/>
              <w:right w:type="dxa" w:w="90"/>
            </w:tcMar>
          </w:tcPr>
          <w:p>
            <w:pPr>
              <w:spacing w:after="40"/>
            </w:pPr>
            <w:r>
              <w:rPr>
                <w:b w:val="false"/>
                <w:bCs w:val="false"/>
                <w:sz w:val="19"/>
                <w:szCs w:val="19"/>
              </w:rPr>
              <w:t xml:space="preserve">VNIT Nagpur and IIM Nagpur</w:t>
            </w:r>
          </w:p>
        </w:tc>
        <w:tc>
          <w:tcPr>
            <w:tcW w:type="dxa" w:w="6943"/>
            <w:tcMar>
              <w:top w:type="dxa" w:w="60"/>
              <w:left w:type="dxa" w:w="90"/>
              <w:bottom w:type="dxa" w:w="60"/>
              <w:right w:type="dxa" w:w="90"/>
            </w:tcMar>
          </w:tcPr>
          <w:p>
            <w:pPr>
              <w:spacing w:after="40"/>
            </w:pPr>
            <w:r>
              <w:rPr>
                <w:b w:val="false"/>
                <w:bCs w:val="false"/>
                <w:sz w:val="19"/>
                <w:szCs w:val="19"/>
              </w:rPr>
              <w:t xml:space="preserve">Academic supervision of the intern cohorts</w:t>
            </w:r>
          </w:p>
        </w:tc>
      </w:tr>
    </w:tbl>
    <w:p>
      <w:pPr>
        <w:spacing w:after="80"/>
      </w:pPr>
    </w:p>
    <w:p>
      <w:pPr>
        <w:pStyle w:val="Heading2"/>
        <w:keepNext/>
        <w:spacing w:after="100" w:before="200"/>
      </w:pPr>
      <w:r>
        <w:t xml:space="preserve">10.1 Safeguards</w:t>
      </w:r>
    </w:p>
    <w:p>
      <w:pPr>
        <w:pStyle w:val="ListParagraph"/>
        <w:numPr>
          <w:ilvl w:val="0"/>
          <w:numId w:val="2"/>
        </w:numPr>
        <w:spacing w:after="80" w:line="264"/>
        <w:jc w:val="left"/>
      </w:pPr>
      <w:r>
        <w:rPr>
          <w:b/>
          <w:bCs/>
        </w:rPr>
        <w:t xml:space="preserve">No asset without a management plan</w:t>
      </w:r>
      <w:r>
        <w:t xml:space="preserve"> — operator, maintenance responsibility, fee model where relevant and indicators identified before approval.</w:t>
      </w:r>
    </w:p>
    <w:p>
      <w:pPr>
        <w:pStyle w:val="ListParagraph"/>
        <w:numPr>
          <w:ilvl w:val="0"/>
          <w:numId w:val="2"/>
        </w:numPr>
        <w:spacing w:after="80" w:line="264"/>
        <w:jc w:val="left"/>
      </w:pPr>
      <w:r>
        <w:rPr>
          <w:b/>
          <w:bCs/>
        </w:rPr>
        <w:t xml:space="preserve">No extraction without recharge</w:t>
      </w:r>
      <w:r>
        <w:t xml:space="preserve"> — groundwater and irrigation works follow a water budget and hydrogeological assessment.</w:t>
      </w:r>
    </w:p>
    <w:p>
      <w:pPr>
        <w:pStyle w:val="ListParagraph"/>
        <w:numPr>
          <w:ilvl w:val="0"/>
          <w:numId w:val="2"/>
        </w:numPr>
        <w:spacing w:after="80" w:line="264"/>
        <w:jc w:val="left"/>
      </w:pPr>
      <w:r>
        <w:rPr>
          <w:b/>
          <w:bCs/>
        </w:rPr>
        <w:t xml:space="preserve">No plantation without survival standards</w:t>
      </w:r>
      <w:r>
        <w:t xml:space="preserve"> — local, climate-suitable, mixed species, with survival and diversity measured for at least three to five years.</w:t>
      </w:r>
    </w:p>
    <w:p>
      <w:pPr>
        <w:pStyle w:val="ListParagraph"/>
        <w:numPr>
          <w:ilvl w:val="0"/>
          <w:numId w:val="2"/>
        </w:numPr>
        <w:spacing w:after="80" w:line="264"/>
        <w:jc w:val="left"/>
      </w:pPr>
      <w:r>
        <w:rPr>
          <w:b/>
          <w:bCs/>
        </w:rPr>
        <w:t xml:space="preserve">No restoration without community rights</w:t>
      </w:r>
      <w:r>
        <w:t xml:space="preserve"> — commons and forest-fringe land require Gram Panchayat participation, tenure clarity and benefit-sharing.</w:t>
      </w:r>
    </w:p>
    <w:p>
      <w:pPr>
        <w:pStyle w:val="ListParagraph"/>
        <w:numPr>
          <w:ilvl w:val="0"/>
          <w:numId w:val="2"/>
        </w:numPr>
        <w:spacing w:after="80" w:line="264"/>
        <w:jc w:val="left"/>
      </w:pPr>
      <w:r>
        <w:rPr>
          <w:b/>
          <w:bCs/>
        </w:rPr>
        <w:t xml:space="preserve">Equity</w:t>
      </w:r>
      <w:r>
        <w:t xml:space="preserve"> — selection rules adopted before selection; the share of benefit reaching the bottom half of livestock owners is reported.</w:t>
      </w:r>
    </w:p>
    <w:p>
      <w:pPr>
        <w:pStyle w:val="ListParagraph"/>
        <w:numPr>
          <w:ilvl w:val="0"/>
          <w:numId w:val="2"/>
        </w:numPr>
        <w:spacing w:after="80" w:line="264"/>
        <w:jc w:val="left"/>
      </w:pPr>
      <w:r>
        <w:rPr>
          <w:b/>
          <w:bCs/>
        </w:rPr>
        <w:t xml:space="preserve">Reach</w:t>
      </w:r>
      <w:r>
        <w:t xml:space="preserve"> — cadre places fixed at 2/1/1 by village; siting tested against access from all three villages; coverage reported by village.</w:t>
      </w:r>
    </w:p>
    <w:p>
      <w:pPr>
        <w:pStyle w:val="ListParagraph"/>
        <w:numPr>
          <w:ilvl w:val="0"/>
          <w:numId w:val="2"/>
        </w:numPr>
        <w:spacing w:after="80" w:line="264"/>
        <w:jc w:val="left"/>
      </w:pPr>
      <w:r>
        <w:rPr>
          <w:b/>
          <w:bCs/>
        </w:rPr>
        <w:t xml:space="preserve">Academic protection, grievance and financial governance</w:t>
      </w:r>
      <w:r>
        <w:t xml:space="preserve"> — the tutor protects academic progress; a grievance mechanism is published in Marathi; grant funds are held in a dedicated, audited project account.</w:t>
      </w:r>
    </w:p>
    <w:p>
      <w:pPr>
        <w:pStyle w:val="Heading2"/>
        <w:keepNext/>
        <w:spacing w:after="100" w:before="200"/>
      </w:pPr>
      <w:r>
        <w:t xml:space="preserve">10.2 Compliance matters</w:t>
      </w:r>
    </w:p>
    <w:p>
      <w:pPr>
        <w:pStyle w:val="ListParagraph"/>
        <w:numPr>
          <w:ilvl w:val="0"/>
          <w:numId w:val="2"/>
        </w:numPr>
        <w:spacing w:after="80" w:line="264"/>
        <w:jc w:val="left"/>
      </w:pPr>
      <w:r>
        <w:t xml:space="preserve">Registration of the implementing agency for CSR funding and its tax-exemption registrations.</w:t>
      </w:r>
    </w:p>
    <w:p>
      <w:pPr>
        <w:pStyle w:val="ListParagraph"/>
        <w:numPr>
          <w:ilvl w:val="0"/>
          <w:numId w:val="2"/>
        </w:numPr>
        <w:spacing w:after="80" w:line="264"/>
        <w:jc w:val="left"/>
      </w:pPr>
      <w:r>
        <w:t xml:space="preserve">Gram Panchayat resolutions on execution authority, site allocation, data fiduciary designation and constitution or activation of the Biodiversity Management Committee.</w:t>
      </w:r>
    </w:p>
    <w:p>
      <w:pPr>
        <w:pStyle w:val="ListParagraph"/>
        <w:numPr>
          <w:ilvl w:val="0"/>
          <w:numId w:val="2"/>
        </w:numPr>
        <w:spacing w:after="80" w:line="264"/>
        <w:jc w:val="left"/>
      </w:pPr>
      <w:r>
        <w:t xml:space="preserve">Capital assets created from the grant vest in Ayurvan Foundation or the Gram Panchayat, as the CSR Rules require [verify Rule 7(4)].</w:t>
      </w:r>
    </w:p>
    <w:p>
      <w:pPr>
        <w:pStyle w:val="ListParagraph"/>
        <w:numPr>
          <w:ilvl w:val="0"/>
          <w:numId w:val="2"/>
        </w:numPr>
        <w:spacing w:after="80" w:line="264"/>
        <w:jc w:val="left"/>
      </w:pPr>
      <w:r>
        <w:t xml:space="preserve">Project addenda to the tripartite agreement: funds flow, carbon rights, intellectual property, data ownership, asset vesting and term.</w:t>
      </w:r>
    </w:p>
    <w:p>
      <w:pPr>
        <w:pStyle w:val="ListParagraph"/>
        <w:numPr>
          <w:ilvl w:val="0"/>
          <w:numId w:val="2"/>
        </w:numPr>
        <w:spacing w:after="80" w:line="264"/>
        <w:jc w:val="left"/>
      </w:pPr>
      <w:r>
        <w:t xml:space="preserve">Administrative overheads within the limit prescribed under the CSR Rules; the measurement framework supports an independent impact assessment where required.</w:t>
      </w:r>
    </w:p>
    <w:p>
      <w:pPr>
        <w:pStyle w:val="ListParagraph"/>
        <w:numPr>
          <w:ilvl w:val="0"/>
          <w:numId w:val="2"/>
        </w:numPr>
        <w:spacing w:after="80" w:line="264"/>
        <w:jc w:val="left"/>
      </w:pPr>
      <w:r>
        <w:t xml:space="preserve">Any surplus from revenue-bearing components is retained within the programme.</w:t>
      </w:r>
    </w:p>
    <w:p>
      <w:pPr>
        <w:pStyle w:val="Heading1"/>
        <w:keepNext/>
        <w:spacing w:after="140" w:before="300"/>
      </w:pPr>
      <w:r>
        <w:t xml:space="preserve">11. Year-one milestones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36"/>
        <w:gridCol w:w="7290"/>
      </w:tblGrid>
      <w:tr>
        <w:trPr>
          <w:tblHeader/>
        </w:trPr>
        <w:tc>
          <w:tcPr>
            <w:tcW w:type="dxa" w:w="1736"/>
            <w:shd w:fill="EAF1EE" w:color="auto" w:val="clear"/>
            <w:tcMar>
              <w:top w:type="dxa" w:w="60"/>
              <w:left w:type="dxa" w:w="90"/>
              <w:bottom w:type="dxa" w:w="60"/>
              <w:right w:type="dxa" w:w="90"/>
            </w:tcMar>
          </w:tcPr>
          <w:p>
            <w:pPr>
              <w:spacing w:after="40"/>
            </w:pPr>
            <w:r>
              <w:rPr>
                <w:b/>
                <w:bCs/>
                <w:sz w:val="19"/>
                <w:szCs w:val="19"/>
              </w:rPr>
              <w:t xml:space="preserve">Months</w:t>
            </w:r>
          </w:p>
        </w:tc>
        <w:tc>
          <w:tcPr>
            <w:tcW w:type="dxa" w:w="7290"/>
            <w:shd w:fill="EAF1EE" w:color="auto" w:val="clear"/>
            <w:tcMar>
              <w:top w:type="dxa" w:w="60"/>
              <w:left w:type="dxa" w:w="90"/>
              <w:bottom w:type="dxa" w:w="60"/>
              <w:right w:type="dxa" w:w="90"/>
            </w:tcMar>
          </w:tcPr>
          <w:p>
            <w:pPr>
              <w:spacing w:after="40"/>
            </w:pPr>
            <w:r>
              <w:rPr>
                <w:b/>
                <w:bCs/>
                <w:sz w:val="19"/>
                <w:szCs w:val="19"/>
              </w:rPr>
              <w:t xml:space="preserve">Milestones</w:t>
            </w:r>
          </w:p>
        </w:tc>
      </w:tr>
      <w:tr>
        <w:trPr>
          <w:cantSplit/>
        </w:trPr>
        <w:tc>
          <w:tcPr>
            <w:tcW w:type="dxa" w:w="1736"/>
            <w:tcMar>
              <w:top w:type="dxa" w:w="60"/>
              <w:left w:type="dxa" w:w="90"/>
              <w:bottom w:type="dxa" w:w="60"/>
              <w:right w:type="dxa" w:w="90"/>
            </w:tcMar>
          </w:tcPr>
          <w:p>
            <w:pPr>
              <w:spacing w:after="40"/>
            </w:pPr>
            <w:r>
              <w:rPr>
                <w:b w:val="false"/>
                <w:bCs w:val="false"/>
                <w:sz w:val="19"/>
                <w:szCs w:val="19"/>
              </w:rPr>
              <w:t xml:space="preserve">1–3 (Dec–Feb)</w:t>
            </w:r>
          </w:p>
        </w:tc>
        <w:tc>
          <w:tcPr>
            <w:tcW w:type="dxa" w:w="7290"/>
            <w:tcMar>
              <w:top w:type="dxa" w:w="60"/>
              <w:left w:type="dxa" w:w="90"/>
              <w:bottom w:type="dxa" w:w="60"/>
              <w:right w:type="dxa" w:w="90"/>
            </w:tcMar>
          </w:tcPr>
          <w:p>
            <w:pPr>
              <w:spacing w:after="40"/>
            </w:pPr>
            <w:r>
              <w:rPr>
                <w:b w:val="false"/>
                <w:bCs w:val="false"/>
                <w:sz w:val="19"/>
                <w:szCs w:val="19"/>
              </w:rPr>
              <w:t xml:space="preserve">Project account opened; Gram Panchayat resolutions adopted; cadre and students selected; tutor and project manager engaged; engineering interns onboarded. Drought-state baselines: livestock re-verification, household income, water mapping, health and nutrition. Drought contingency plan for fodder and water. Hub-site preparation and nursery set-up begin. Katlabodi instance configuration. Student model piloted</w:t>
            </w:r>
          </w:p>
        </w:tc>
      </w:tr>
      <w:tr>
        <w:trPr>
          <w:cantSplit/>
        </w:trPr>
        <w:tc>
          <w:tcPr>
            <w:tcW w:type="dxa" w:w="1736"/>
            <w:tcMar>
              <w:top w:type="dxa" w:w="60"/>
              <w:left w:type="dxa" w:w="90"/>
              <w:bottom w:type="dxa" w:w="60"/>
              <w:right w:type="dxa" w:w="90"/>
            </w:tcMar>
          </w:tcPr>
          <w:p>
            <w:pPr>
              <w:spacing w:after="40"/>
            </w:pPr>
            <w:r>
              <w:rPr>
                <w:b w:val="false"/>
                <w:bCs w:val="false"/>
                <w:sz w:val="19"/>
                <w:szCs w:val="19"/>
              </w:rPr>
              <w:t xml:space="preserve">4–6 (Mar–May)</w:t>
            </w:r>
          </w:p>
        </w:tc>
        <w:tc>
          <w:tcPr>
            <w:tcW w:type="dxa" w:w="7290"/>
            <w:tcMar>
              <w:top w:type="dxa" w:w="60"/>
              <w:left w:type="dxa" w:w="90"/>
              <w:bottom w:type="dxa" w:w="60"/>
              <w:right w:type="dxa" w:w="90"/>
            </w:tcMar>
          </w:tcPr>
          <w:p>
            <w:pPr>
              <w:spacing w:after="40"/>
            </w:pPr>
            <w:r>
              <w:rPr>
                <w:b w:val="false"/>
                <w:bCs w:val="false"/>
                <w:sz w:val="19"/>
                <w:szCs w:val="19"/>
              </w:rPr>
              <w:t xml:space="preserve">Baselines published. Recharge and repair works through VB-G RAM G convergence. Nursery stock raised. Livestock and energy cadres trained. VanaGram OS and water modules under construction. Identity spine live. Land, species and PBR assessment complete. Health gap analysis submitted to the district. Student model reviewed</w:t>
            </w:r>
          </w:p>
        </w:tc>
      </w:tr>
      <w:tr>
        <w:trPr>
          <w:cantSplit/>
        </w:trPr>
        <w:tc>
          <w:tcPr>
            <w:tcW w:type="dxa" w:w="1736"/>
            <w:tcMar>
              <w:top w:type="dxa" w:w="60"/>
              <w:left w:type="dxa" w:w="90"/>
              <w:bottom w:type="dxa" w:w="60"/>
              <w:right w:type="dxa" w:w="90"/>
            </w:tcMar>
          </w:tcPr>
          <w:p>
            <w:pPr>
              <w:spacing w:after="40"/>
            </w:pPr>
            <w:r>
              <w:rPr>
                <w:b w:val="false"/>
                <w:bCs w:val="false"/>
                <w:sz w:val="19"/>
                <w:szCs w:val="19"/>
              </w:rPr>
              <w:t xml:space="preserve">7–9 (Jun–Aug)</w:t>
            </w:r>
          </w:p>
        </w:tc>
        <w:tc>
          <w:tcPr>
            <w:tcW w:type="dxa" w:w="7290"/>
            <w:tcMar>
              <w:top w:type="dxa" w:w="60"/>
              <w:left w:type="dxa" w:w="90"/>
              <w:bottom w:type="dxa" w:w="60"/>
              <w:right w:type="dxa" w:w="90"/>
            </w:tcMar>
          </w:tcPr>
          <w:p>
            <w:pPr>
              <w:spacing w:after="40"/>
            </w:pPr>
            <w:r>
              <w:rPr>
                <w:b w:val="false"/>
                <w:bCs w:val="false"/>
                <w:sz w:val="19"/>
                <w:szCs w:val="19"/>
              </w:rPr>
              <w:t xml:space="preserve">Monsoon planting at the hub site. Management interns onboarded. All five cadres trained; certification linkage established. Data protection layer and Marathi consent live. Public repository published. Net-zero module and carbon baseline delivered. Draft project documents circulated</w:t>
            </w:r>
          </w:p>
        </w:tc>
      </w:tr>
      <w:tr>
        <w:trPr>
          <w:cantSplit/>
        </w:trPr>
        <w:tc>
          <w:tcPr>
            <w:tcW w:type="dxa" w:w="1736"/>
            <w:tcMar>
              <w:top w:type="dxa" w:w="60"/>
              <w:left w:type="dxa" w:w="90"/>
              <w:bottom w:type="dxa" w:w="60"/>
              <w:right w:type="dxa" w:w="90"/>
            </w:tcMar>
          </w:tcPr>
          <w:p>
            <w:pPr>
              <w:spacing w:after="40"/>
            </w:pPr>
            <w:r>
              <w:rPr>
                <w:b w:val="false"/>
                <w:bCs w:val="false"/>
                <w:sz w:val="19"/>
                <w:szCs w:val="19"/>
              </w:rPr>
              <w:t xml:space="preserve">10–12 (Sep–Nov)</w:t>
            </w:r>
          </w:p>
        </w:tc>
        <w:tc>
          <w:tcPr>
            <w:tcW w:type="dxa" w:w="7290"/>
            <w:tcMar>
              <w:top w:type="dxa" w:w="60"/>
              <w:left w:type="dxa" w:w="90"/>
              <w:bottom w:type="dxa" w:w="60"/>
              <w:right w:type="dxa" w:w="90"/>
            </w:tcMar>
          </w:tcPr>
          <w:p>
            <w:pPr>
              <w:spacing w:after="40"/>
            </w:pPr>
            <w:r>
              <w:rPr>
                <w:b w:val="false"/>
                <w:bCs w:val="false"/>
                <w:sz w:val="19"/>
                <w:szCs w:val="19"/>
              </w:rPr>
              <w:t xml:space="preserve">GP-IIP adopted as the VGPP. Six project documents at bankable standard. Finance routes opened. Cluster roll-out plan and aggregation structure designed; carbon rights resolved. Year-one evaluation. Platform administration handed to the panchayat</w:t>
            </w:r>
          </w:p>
        </w:tc>
      </w:tr>
    </w:tbl>
    <w:p>
      <w:pPr>
        <w:spacing w:after="80"/>
      </w:pPr>
    </w:p>
    <w:p>
      <w:pPr>
        <w:pStyle w:val="Heading1"/>
        <w:keepNext/>
        <w:spacing w:after="140" w:before="300"/>
      </w:pPr>
      <w:r>
        <w:t xml:space="preserve">12. Measurement framework</w:t>
      </w:r>
    </w:p>
    <w:p>
      <w:pPr>
        <w:spacing w:after="120" w:line="276"/>
        <w:jc w:val="both"/>
      </w:pPr>
      <w:r>
        <w:t xml:space="preserve">Year-one indicators are outputs within the programme’s control and are what the donor is accountable for. Ten-year indicators are outcomes that depend on the finance year one unlocks, and are shown so that the donor can see what the contribution leads to.</w:t>
      </w:r>
    </w:p>
    <w:p>
      <w:pPr>
        <w:pStyle w:val="Heading2"/>
        <w:keepNext/>
        <w:spacing w:after="100" w:before="200"/>
      </w:pPr>
      <w:r>
        <w:t xml:space="preserve">12.1 Year-one indicators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868"/>
        <w:gridCol w:w="2257"/>
        <w:gridCol w:w="2901"/>
      </w:tblGrid>
      <w:tr>
        <w:trPr>
          <w:tblHeader/>
        </w:trPr>
        <w:tc>
          <w:tcPr>
            <w:tcW w:type="dxa" w:w="3868"/>
            <w:shd w:fill="EAF1EE" w:color="auto" w:val="clear"/>
            <w:tcMar>
              <w:top w:type="dxa" w:w="60"/>
              <w:left w:type="dxa" w:w="90"/>
              <w:bottom w:type="dxa" w:w="60"/>
              <w:right w:type="dxa" w:w="90"/>
            </w:tcMar>
          </w:tcPr>
          <w:p>
            <w:pPr>
              <w:spacing w:after="40"/>
            </w:pPr>
            <w:r>
              <w:rPr>
                <w:b/>
                <w:bCs/>
                <w:sz w:val="19"/>
                <w:szCs w:val="19"/>
              </w:rPr>
              <w:t xml:space="preserve">Indicator</w:t>
            </w:r>
          </w:p>
        </w:tc>
        <w:tc>
          <w:tcPr>
            <w:tcW w:type="dxa" w:w="2257"/>
            <w:shd w:fill="EAF1EE" w:color="auto" w:val="clear"/>
            <w:tcMar>
              <w:top w:type="dxa" w:w="60"/>
              <w:left w:type="dxa" w:w="90"/>
              <w:bottom w:type="dxa" w:w="60"/>
              <w:right w:type="dxa" w:w="90"/>
            </w:tcMar>
          </w:tcPr>
          <w:p>
            <w:pPr>
              <w:spacing w:after="40"/>
            </w:pPr>
            <w:r>
              <w:rPr>
                <w:b/>
                <w:bCs/>
                <w:sz w:val="19"/>
                <w:szCs w:val="19"/>
              </w:rPr>
              <w:t xml:space="preserve">Baseline</w:t>
            </w:r>
          </w:p>
        </w:tc>
        <w:tc>
          <w:tcPr>
            <w:tcW w:type="dxa" w:w="2901"/>
            <w:shd w:fill="EAF1EE" w:color="auto" w:val="clear"/>
            <w:tcMar>
              <w:top w:type="dxa" w:w="60"/>
              <w:left w:type="dxa" w:w="90"/>
              <w:bottom w:type="dxa" w:w="60"/>
              <w:right w:type="dxa" w:w="90"/>
            </w:tcMar>
          </w:tcPr>
          <w:p>
            <w:pPr>
              <w:spacing w:after="40"/>
            </w:pPr>
            <w:r>
              <w:rPr>
                <w:b/>
                <w:bCs/>
                <w:sz w:val="19"/>
                <w:szCs w:val="19"/>
              </w:rPr>
              <w:t xml:space="preserve">Year-one target</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Women trained and certified across five cadres</w:t>
            </w:r>
          </w:p>
        </w:tc>
        <w:tc>
          <w:tcPr>
            <w:tcW w:type="dxa" w:w="2257"/>
            <w:tcMar>
              <w:top w:type="dxa" w:w="60"/>
              <w:left w:type="dxa" w:w="90"/>
              <w:bottom w:type="dxa" w:w="60"/>
              <w:right w:type="dxa" w:w="90"/>
            </w:tcMar>
          </w:tcPr>
          <w:p>
            <w:pPr>
              <w:spacing w:after="40"/>
            </w:pPr>
            <w:r>
              <w:rPr>
                <w:b w:val="false"/>
                <w:bCs w:val="false"/>
                <w:sz w:val="19"/>
                <w:szCs w:val="19"/>
              </w:rPr>
              <w:t xml:space="preserve">0</w:t>
            </w:r>
          </w:p>
        </w:tc>
        <w:tc>
          <w:tcPr>
            <w:tcW w:type="dxa" w:w="2901"/>
            <w:tcMar>
              <w:top w:type="dxa" w:w="60"/>
              <w:left w:type="dxa" w:w="90"/>
              <w:bottom w:type="dxa" w:w="60"/>
              <w:right w:type="dxa" w:w="90"/>
            </w:tcMar>
          </w:tcPr>
          <w:p>
            <w:pPr>
              <w:spacing w:after="40"/>
            </w:pPr>
            <w:r>
              <w:rPr>
                <w:b w:val="false"/>
                <w:bCs w:val="false"/>
                <w:sz w:val="19"/>
                <w:szCs w:val="19"/>
              </w:rPr>
              <w:t xml:space="preserve">20 — four per cadre, distributed 2/1/1</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Students enrolled and retained; tutor engaged</w:t>
            </w:r>
          </w:p>
        </w:tc>
        <w:tc>
          <w:tcPr>
            <w:tcW w:type="dxa" w:w="2257"/>
            <w:tcMar>
              <w:top w:type="dxa" w:w="60"/>
              <w:left w:type="dxa" w:w="90"/>
              <w:bottom w:type="dxa" w:w="60"/>
              <w:right w:type="dxa" w:w="90"/>
            </w:tcMar>
          </w:tcPr>
          <w:p>
            <w:pPr>
              <w:spacing w:after="40"/>
            </w:pPr>
            <w:r>
              <w:rPr>
                <w:b w:val="false"/>
                <w:bCs w:val="false"/>
                <w:sz w:val="19"/>
                <w:szCs w:val="19"/>
              </w:rPr>
              <w:t xml:space="preserve">0</w:t>
            </w:r>
          </w:p>
        </w:tc>
        <w:tc>
          <w:tcPr>
            <w:tcW w:type="dxa" w:w="2901"/>
            <w:tcMar>
              <w:top w:type="dxa" w:w="60"/>
              <w:left w:type="dxa" w:w="90"/>
              <w:bottom w:type="dxa" w:w="60"/>
              <w:right w:type="dxa" w:w="90"/>
            </w:tcMar>
          </w:tcPr>
          <w:p>
            <w:pPr>
              <w:spacing w:after="40"/>
            </w:pPr>
            <w:r>
              <w:rPr>
                <w:b w:val="false"/>
                <w:bCs w:val="false"/>
                <w:sz w:val="19"/>
                <w:szCs w:val="19"/>
              </w:rPr>
              <w:t xml:space="preserve">20 students; 12 months</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Interns engaged with archived deliverables</w:t>
            </w:r>
          </w:p>
        </w:tc>
        <w:tc>
          <w:tcPr>
            <w:tcW w:type="dxa" w:w="2257"/>
            <w:tcMar>
              <w:top w:type="dxa" w:w="60"/>
              <w:left w:type="dxa" w:w="90"/>
              <w:bottom w:type="dxa" w:w="60"/>
              <w:right w:type="dxa" w:w="90"/>
            </w:tcMar>
          </w:tcPr>
          <w:p>
            <w:pPr>
              <w:spacing w:after="40"/>
            </w:pPr>
            <w:r>
              <w:rPr>
                <w:b w:val="false"/>
                <w:bCs w:val="false"/>
                <w:sz w:val="19"/>
                <w:szCs w:val="19"/>
              </w:rPr>
              <w:t xml:space="preserve">0</w:t>
            </w:r>
          </w:p>
        </w:tc>
        <w:tc>
          <w:tcPr>
            <w:tcW w:type="dxa" w:w="2901"/>
            <w:tcMar>
              <w:top w:type="dxa" w:w="60"/>
              <w:left w:type="dxa" w:w="90"/>
              <w:bottom w:type="dxa" w:w="60"/>
              <w:right w:type="dxa" w:w="90"/>
            </w:tcMar>
          </w:tcPr>
          <w:p>
            <w:pPr>
              <w:spacing w:after="40"/>
            </w:pPr>
            <w:r>
              <w:rPr>
                <w:b w:val="false"/>
                <w:bCs w:val="false"/>
                <w:sz w:val="19"/>
                <w:szCs w:val="19"/>
              </w:rPr>
              <w:t xml:space="preserve">10</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Drought contingency plan for fodder and water</w:t>
            </w:r>
          </w:p>
        </w:tc>
        <w:tc>
          <w:tcPr>
            <w:tcW w:type="dxa" w:w="2257"/>
            <w:tcMar>
              <w:top w:type="dxa" w:w="60"/>
              <w:left w:type="dxa" w:w="90"/>
              <w:bottom w:type="dxa" w:w="60"/>
              <w:right w:type="dxa" w:w="90"/>
            </w:tcMar>
          </w:tcPr>
          <w:p>
            <w:pPr>
              <w:spacing w:after="40"/>
            </w:pPr>
            <w:r>
              <w:rPr>
                <w:b w:val="false"/>
                <w:bCs w:val="false"/>
                <w:sz w:val="19"/>
                <w:szCs w:val="19"/>
              </w:rPr>
              <w:t xml:space="preserve">None</w:t>
            </w:r>
          </w:p>
        </w:tc>
        <w:tc>
          <w:tcPr>
            <w:tcW w:type="dxa" w:w="2901"/>
            <w:tcMar>
              <w:top w:type="dxa" w:w="60"/>
              <w:left w:type="dxa" w:w="90"/>
              <w:bottom w:type="dxa" w:w="60"/>
              <w:right w:type="dxa" w:w="90"/>
            </w:tcMar>
          </w:tcPr>
          <w:p>
            <w:pPr>
              <w:spacing w:after="40"/>
            </w:pPr>
            <w:r>
              <w:rPr>
                <w:b w:val="false"/>
                <w:bCs w:val="false"/>
                <w:sz w:val="19"/>
                <w:szCs w:val="19"/>
              </w:rPr>
              <w:t xml:space="preserve">Adopted by the Gram Panchayat</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Livestock register re-verified</w:t>
            </w:r>
          </w:p>
        </w:tc>
        <w:tc>
          <w:tcPr>
            <w:tcW w:type="dxa" w:w="2257"/>
            <w:tcMar>
              <w:top w:type="dxa" w:w="60"/>
              <w:left w:type="dxa" w:w="90"/>
              <w:bottom w:type="dxa" w:w="60"/>
              <w:right w:type="dxa" w:w="90"/>
            </w:tcMar>
          </w:tcPr>
          <w:p>
            <w:pPr>
              <w:spacing w:after="40"/>
            </w:pPr>
            <w:r>
              <w:rPr>
                <w:b w:val="false"/>
                <w:bCs w:val="false"/>
                <w:sz w:val="19"/>
                <w:szCs w:val="19"/>
              </w:rPr>
              <w:t xml:space="preserve">94% of volume entered 2017–22</w:t>
            </w:r>
          </w:p>
        </w:tc>
        <w:tc>
          <w:tcPr>
            <w:tcW w:type="dxa" w:w="2901"/>
            <w:tcMar>
              <w:top w:type="dxa" w:w="60"/>
              <w:left w:type="dxa" w:w="90"/>
              <w:bottom w:type="dxa" w:w="60"/>
              <w:right w:type="dxa" w:w="90"/>
            </w:tcMar>
          </w:tcPr>
          <w:p>
            <w:pPr>
              <w:spacing w:after="40"/>
            </w:pPr>
            <w:r>
              <w:rPr>
                <w:b w:val="false"/>
                <w:bCs w:val="false"/>
                <w:sz w:val="19"/>
                <w:szCs w:val="19"/>
              </w:rPr>
              <w:t xml:space="preserve">Households with four or more animals re-verified</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Household income baseline for cadre households</w:t>
            </w:r>
          </w:p>
        </w:tc>
        <w:tc>
          <w:tcPr>
            <w:tcW w:type="dxa" w:w="2257"/>
            <w:tcMar>
              <w:top w:type="dxa" w:w="60"/>
              <w:left w:type="dxa" w:w="90"/>
              <w:bottom w:type="dxa" w:w="60"/>
              <w:right w:type="dxa" w:w="90"/>
            </w:tcMar>
          </w:tcPr>
          <w:p>
            <w:pPr>
              <w:spacing w:after="40"/>
            </w:pPr>
            <w:r>
              <w:rPr>
                <w:b w:val="false"/>
                <w:bCs w:val="false"/>
                <w:sz w:val="19"/>
                <w:szCs w:val="19"/>
              </w:rPr>
              <w:t xml:space="preserve">None</w:t>
            </w:r>
          </w:p>
        </w:tc>
        <w:tc>
          <w:tcPr>
            <w:tcW w:type="dxa" w:w="2901"/>
            <w:tcMar>
              <w:top w:type="dxa" w:w="60"/>
              <w:left w:type="dxa" w:w="90"/>
              <w:bottom w:type="dxa" w:w="60"/>
              <w:right w:type="dxa" w:w="90"/>
            </w:tcMar>
          </w:tcPr>
          <w:p>
            <w:pPr>
              <w:spacing w:after="40"/>
            </w:pPr>
            <w:r>
              <w:rPr>
                <w:b w:val="false"/>
                <w:bCs w:val="false"/>
                <w:sz w:val="19"/>
                <w:szCs w:val="19"/>
              </w:rPr>
              <w:t xml:space="preserve">20 households</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Health and nutrition baseline; gap analysis to district</w:t>
            </w:r>
          </w:p>
        </w:tc>
        <w:tc>
          <w:tcPr>
            <w:tcW w:type="dxa" w:w="2257"/>
            <w:tcMar>
              <w:top w:type="dxa" w:w="60"/>
              <w:left w:type="dxa" w:w="90"/>
              <w:bottom w:type="dxa" w:w="60"/>
              <w:right w:type="dxa" w:w="90"/>
            </w:tcMar>
          </w:tcPr>
          <w:p>
            <w:pPr>
              <w:spacing w:after="40"/>
            </w:pPr>
            <w:r>
              <w:rPr>
                <w:b w:val="false"/>
                <w:bCs w:val="false"/>
                <w:sz w:val="19"/>
                <w:szCs w:val="19"/>
              </w:rPr>
              <w:t xml:space="preserve">None</w:t>
            </w:r>
          </w:p>
        </w:tc>
        <w:tc>
          <w:tcPr>
            <w:tcW w:type="dxa" w:w="2901"/>
            <w:tcMar>
              <w:top w:type="dxa" w:w="60"/>
              <w:left w:type="dxa" w:w="90"/>
              <w:bottom w:type="dxa" w:w="60"/>
              <w:right w:type="dxa" w:w="90"/>
            </w:tcMar>
          </w:tcPr>
          <w:p>
            <w:pPr>
              <w:spacing w:after="40"/>
            </w:pPr>
            <w:r>
              <w:rPr>
                <w:b w:val="false"/>
                <w:bCs w:val="false"/>
                <w:sz w:val="19"/>
                <w:szCs w:val="19"/>
              </w:rPr>
              <w:t xml:space="preserve">Complete and submitted</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Hub site: nursery and demonstration plantation</w:t>
            </w:r>
          </w:p>
        </w:tc>
        <w:tc>
          <w:tcPr>
            <w:tcW w:type="dxa" w:w="2257"/>
            <w:tcMar>
              <w:top w:type="dxa" w:w="60"/>
              <w:left w:type="dxa" w:w="90"/>
              <w:bottom w:type="dxa" w:w="60"/>
              <w:right w:type="dxa" w:w="90"/>
            </w:tcMar>
          </w:tcPr>
          <w:p>
            <w:pPr>
              <w:spacing w:after="40"/>
            </w:pPr>
            <w:r>
              <w:rPr>
                <w:b w:val="false"/>
                <w:bCs w:val="false"/>
                <w:sz w:val="19"/>
                <w:szCs w:val="19"/>
              </w:rPr>
              <w:t xml:space="preserve">None</w:t>
            </w:r>
          </w:p>
        </w:tc>
        <w:tc>
          <w:tcPr>
            <w:tcW w:type="dxa" w:w="2901"/>
            <w:tcMar>
              <w:top w:type="dxa" w:w="60"/>
              <w:left w:type="dxa" w:w="90"/>
              <w:bottom w:type="dxa" w:w="60"/>
              <w:right w:type="dxa" w:w="90"/>
            </w:tcMar>
          </w:tcPr>
          <w:p>
            <w:pPr>
              <w:spacing w:after="40"/>
            </w:pPr>
            <w:r>
              <w:rPr>
                <w:b w:val="false"/>
                <w:bCs w:val="false"/>
                <w:sz w:val="19"/>
                <w:szCs w:val="19"/>
              </w:rPr>
              <w:t xml:space="preserve">Nursery operating; about 5 ha planted; survival monitored</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People’s Biodiversity Register</w:t>
            </w:r>
          </w:p>
        </w:tc>
        <w:tc>
          <w:tcPr>
            <w:tcW w:type="dxa" w:w="2257"/>
            <w:tcMar>
              <w:top w:type="dxa" w:w="60"/>
              <w:left w:type="dxa" w:w="90"/>
              <w:bottom w:type="dxa" w:w="60"/>
              <w:right w:type="dxa" w:w="90"/>
            </w:tcMar>
          </w:tcPr>
          <w:p>
            <w:pPr>
              <w:spacing w:after="40"/>
            </w:pPr>
            <w:r>
              <w:rPr>
                <w:b w:val="false"/>
                <w:bCs w:val="false"/>
                <w:sz w:val="19"/>
                <w:szCs w:val="19"/>
              </w:rPr>
              <w:t xml:space="preserve">[verify current status]</w:t>
            </w:r>
          </w:p>
        </w:tc>
        <w:tc>
          <w:tcPr>
            <w:tcW w:type="dxa" w:w="2901"/>
            <w:tcMar>
              <w:top w:type="dxa" w:w="60"/>
              <w:left w:type="dxa" w:w="90"/>
              <w:bottom w:type="dxa" w:w="60"/>
              <w:right w:type="dxa" w:w="90"/>
            </w:tcMar>
          </w:tcPr>
          <w:p>
            <w:pPr>
              <w:spacing w:after="40"/>
            </w:pPr>
            <w:r>
              <w:rPr>
                <w:b w:val="false"/>
                <w:bCs w:val="false"/>
                <w:sz w:val="19"/>
                <w:szCs w:val="19"/>
              </w:rPr>
              <w:t xml:space="preserve">Updated and maintained on VanaGram OS</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Platform instance with five cadre modules</w:t>
            </w:r>
          </w:p>
        </w:tc>
        <w:tc>
          <w:tcPr>
            <w:tcW w:type="dxa" w:w="2257"/>
            <w:tcMar>
              <w:top w:type="dxa" w:w="60"/>
              <w:left w:type="dxa" w:w="90"/>
              <w:bottom w:type="dxa" w:w="60"/>
              <w:right w:type="dxa" w:w="90"/>
            </w:tcMar>
          </w:tcPr>
          <w:p>
            <w:pPr>
              <w:spacing w:after="40"/>
            </w:pPr>
            <w:r>
              <w:rPr>
                <w:b w:val="false"/>
                <w:bCs w:val="false"/>
                <w:sz w:val="19"/>
                <w:szCs w:val="19"/>
              </w:rPr>
              <w:t xml:space="preserve">0</w:t>
            </w:r>
          </w:p>
        </w:tc>
        <w:tc>
          <w:tcPr>
            <w:tcW w:type="dxa" w:w="2901"/>
            <w:tcMar>
              <w:top w:type="dxa" w:w="60"/>
              <w:left w:type="dxa" w:w="90"/>
              <w:bottom w:type="dxa" w:w="60"/>
              <w:right w:type="dxa" w:w="90"/>
            </w:tcMar>
          </w:tcPr>
          <w:p>
            <w:pPr>
              <w:spacing w:after="40"/>
            </w:pPr>
            <w:r>
              <w:rPr>
                <w:b w:val="false"/>
                <w:bCs w:val="false"/>
                <w:sz w:val="19"/>
                <w:szCs w:val="19"/>
              </w:rPr>
              <w:t xml:space="preserve">5 modules configured</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Public repository under AGPL-3.0</w:t>
            </w:r>
          </w:p>
        </w:tc>
        <w:tc>
          <w:tcPr>
            <w:tcW w:type="dxa" w:w="2257"/>
            <w:tcMar>
              <w:top w:type="dxa" w:w="60"/>
              <w:left w:type="dxa" w:w="90"/>
              <w:bottom w:type="dxa" w:w="60"/>
              <w:right w:type="dxa" w:w="90"/>
            </w:tcMar>
          </w:tcPr>
          <w:p>
            <w:pPr>
              <w:spacing w:after="40"/>
            </w:pPr>
            <w:r>
              <w:rPr>
                <w:b w:val="false"/>
                <w:bCs w:val="false"/>
                <w:sz w:val="19"/>
                <w:szCs w:val="19"/>
              </w:rPr>
              <w:t xml:space="preserve">Not published</w:t>
            </w:r>
          </w:p>
        </w:tc>
        <w:tc>
          <w:tcPr>
            <w:tcW w:type="dxa" w:w="2901"/>
            <w:tcMar>
              <w:top w:type="dxa" w:w="60"/>
              <w:left w:type="dxa" w:w="90"/>
              <w:bottom w:type="dxa" w:w="60"/>
              <w:right w:type="dxa" w:w="90"/>
            </w:tcMar>
          </w:tcPr>
          <w:p>
            <w:pPr>
              <w:spacing w:after="40"/>
            </w:pPr>
            <w:r>
              <w:rPr>
                <w:b w:val="false"/>
                <w:bCs w:val="false"/>
                <w:sz w:val="19"/>
                <w:szCs w:val="19"/>
              </w:rPr>
              <w:t xml:space="preserve">By month 9</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GP-IIP adopted as VGPP; project documents at bankable standard</w:t>
            </w:r>
          </w:p>
        </w:tc>
        <w:tc>
          <w:tcPr>
            <w:tcW w:type="dxa" w:w="2257"/>
            <w:tcMar>
              <w:top w:type="dxa" w:w="60"/>
              <w:left w:type="dxa" w:w="90"/>
              <w:bottom w:type="dxa" w:w="60"/>
              <w:right w:type="dxa" w:w="90"/>
            </w:tcMar>
          </w:tcPr>
          <w:p>
            <w:pPr>
              <w:spacing w:after="40"/>
            </w:pPr>
            <w:r>
              <w:rPr>
                <w:b w:val="false"/>
                <w:bCs w:val="false"/>
                <w:sz w:val="19"/>
                <w:szCs w:val="19"/>
              </w:rPr>
              <w:t xml:space="preserve">0</w:t>
            </w:r>
          </w:p>
        </w:tc>
        <w:tc>
          <w:tcPr>
            <w:tcW w:type="dxa" w:w="2901"/>
            <w:tcMar>
              <w:top w:type="dxa" w:w="60"/>
              <w:left w:type="dxa" w:w="90"/>
              <w:bottom w:type="dxa" w:w="60"/>
              <w:right w:type="dxa" w:w="90"/>
            </w:tcMar>
          </w:tcPr>
          <w:p>
            <w:pPr>
              <w:spacing w:after="40"/>
            </w:pPr>
            <w:r>
              <w:rPr>
                <w:b w:val="false"/>
                <w:bCs w:val="false"/>
                <w:sz w:val="19"/>
                <w:szCs w:val="19"/>
              </w:rPr>
              <w:t xml:space="preserve">1 plan; 6 documents</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Panchayat carbon account and baseline</w:t>
            </w:r>
          </w:p>
        </w:tc>
        <w:tc>
          <w:tcPr>
            <w:tcW w:type="dxa" w:w="2257"/>
            <w:tcMar>
              <w:top w:type="dxa" w:w="60"/>
              <w:left w:type="dxa" w:w="90"/>
              <w:bottom w:type="dxa" w:w="60"/>
              <w:right w:type="dxa" w:w="90"/>
            </w:tcMar>
          </w:tcPr>
          <w:p>
            <w:pPr>
              <w:spacing w:after="40"/>
            </w:pPr>
            <w:r>
              <w:rPr>
                <w:b w:val="false"/>
                <w:bCs w:val="false"/>
                <w:sz w:val="19"/>
                <w:szCs w:val="19"/>
              </w:rPr>
              <w:t xml:space="preserve">No inventory</w:t>
            </w:r>
          </w:p>
        </w:tc>
        <w:tc>
          <w:tcPr>
            <w:tcW w:type="dxa" w:w="2901"/>
            <w:tcMar>
              <w:top w:type="dxa" w:w="60"/>
              <w:left w:type="dxa" w:w="90"/>
              <w:bottom w:type="dxa" w:w="60"/>
              <w:right w:type="dxa" w:w="90"/>
            </w:tcMar>
          </w:tcPr>
          <w:p>
            <w:pPr>
              <w:spacing w:after="40"/>
            </w:pPr>
            <w:r>
              <w:rPr>
                <w:b w:val="false"/>
                <w:bCs w:val="false"/>
                <w:sz w:val="19"/>
                <w:szCs w:val="19"/>
              </w:rPr>
              <w:t xml:space="preserve">Complete; carbon rights recorded in an addendum</w:t>
            </w:r>
          </w:p>
        </w:tc>
      </w:tr>
      <w:tr>
        <w:trPr>
          <w:cantSplit/>
        </w:trPr>
        <w:tc>
          <w:tcPr>
            <w:tcW w:type="dxa" w:w="3868"/>
            <w:tcMar>
              <w:top w:type="dxa" w:w="60"/>
              <w:left w:type="dxa" w:w="90"/>
              <w:bottom w:type="dxa" w:w="60"/>
              <w:right w:type="dxa" w:w="90"/>
            </w:tcMar>
          </w:tcPr>
          <w:p>
            <w:pPr>
              <w:spacing w:after="40"/>
            </w:pPr>
            <w:r>
              <w:rPr>
                <w:b w:val="false"/>
                <w:bCs w:val="false"/>
                <w:sz w:val="19"/>
                <w:szCs w:val="19"/>
              </w:rPr>
              <w:t xml:space="preserve">Cluster roll-out plan and aggregation structure</w:t>
            </w:r>
          </w:p>
        </w:tc>
        <w:tc>
          <w:tcPr>
            <w:tcW w:type="dxa" w:w="2257"/>
            <w:tcMar>
              <w:top w:type="dxa" w:w="60"/>
              <w:left w:type="dxa" w:w="90"/>
              <w:bottom w:type="dxa" w:w="60"/>
              <w:right w:type="dxa" w:w="90"/>
            </w:tcMar>
          </w:tcPr>
          <w:p>
            <w:pPr>
              <w:spacing w:after="40"/>
            </w:pPr>
            <w:r>
              <w:rPr>
                <w:b w:val="false"/>
                <w:bCs w:val="false"/>
                <w:sz w:val="19"/>
                <w:szCs w:val="19"/>
              </w:rPr>
              <w:t xml:space="preserve">None</w:t>
            </w:r>
          </w:p>
        </w:tc>
        <w:tc>
          <w:tcPr>
            <w:tcW w:type="dxa" w:w="2901"/>
            <w:tcMar>
              <w:top w:type="dxa" w:w="60"/>
              <w:left w:type="dxa" w:w="90"/>
              <w:bottom w:type="dxa" w:w="60"/>
              <w:right w:type="dxa" w:w="90"/>
            </w:tcMar>
          </w:tcPr>
          <w:p>
            <w:pPr>
              <w:spacing w:after="40"/>
            </w:pPr>
            <w:r>
              <w:rPr>
                <w:b w:val="false"/>
                <w:bCs w:val="false"/>
                <w:sz w:val="19"/>
                <w:szCs w:val="19"/>
              </w:rPr>
              <w:t xml:space="preserve">Designed and costed</w:t>
            </w:r>
          </w:p>
        </w:tc>
      </w:tr>
    </w:tbl>
    <w:p>
      <w:pPr>
        <w:spacing w:after="80"/>
      </w:pPr>
    </w:p>
    <w:p>
      <w:pPr>
        <w:pStyle w:val="Heading2"/>
        <w:keepNext/>
        <w:spacing w:after="100" w:before="200"/>
      </w:pPr>
      <w:r>
        <w:t xml:space="preserve">12.2 Ten-year and scaling indicators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05"/>
        <w:gridCol w:w="3939"/>
        <w:gridCol w:w="3282"/>
      </w:tblGrid>
      <w:tr>
        <w:trPr>
          <w:tblHeader/>
        </w:trPr>
        <w:tc>
          <w:tcPr>
            <w:tcW w:type="dxa" w:w="1805"/>
            <w:shd w:fill="EAF1EE" w:color="auto" w:val="clear"/>
            <w:tcMar>
              <w:top w:type="dxa" w:w="60"/>
              <w:left w:type="dxa" w:w="90"/>
              <w:bottom w:type="dxa" w:w="60"/>
              <w:right w:type="dxa" w:w="90"/>
            </w:tcMar>
          </w:tcPr>
          <w:p>
            <w:pPr>
              <w:spacing w:after="40"/>
            </w:pPr>
            <w:r>
              <w:rPr>
                <w:b/>
                <w:bCs/>
                <w:sz w:val="19"/>
                <w:szCs w:val="19"/>
              </w:rPr>
              <w:t xml:space="preserve">Area</w:t>
            </w:r>
          </w:p>
        </w:tc>
        <w:tc>
          <w:tcPr>
            <w:tcW w:type="dxa" w:w="3939"/>
            <w:shd w:fill="EAF1EE" w:color="auto" w:val="clear"/>
            <w:tcMar>
              <w:top w:type="dxa" w:w="60"/>
              <w:left w:type="dxa" w:w="90"/>
              <w:bottom w:type="dxa" w:w="60"/>
              <w:right w:type="dxa" w:w="90"/>
            </w:tcMar>
          </w:tcPr>
          <w:p>
            <w:pPr>
              <w:spacing w:after="40"/>
            </w:pPr>
            <w:r>
              <w:rPr>
                <w:b/>
                <w:bCs/>
                <w:sz w:val="19"/>
                <w:szCs w:val="19"/>
              </w:rPr>
              <w:t xml:space="preserve">Indicator</w:t>
            </w:r>
          </w:p>
        </w:tc>
        <w:tc>
          <w:tcPr>
            <w:tcW w:type="dxa" w:w="3282"/>
            <w:shd w:fill="EAF1EE" w:color="auto" w:val="clear"/>
            <w:tcMar>
              <w:top w:type="dxa" w:w="60"/>
              <w:left w:type="dxa" w:w="90"/>
              <w:bottom w:type="dxa" w:w="60"/>
              <w:right w:type="dxa" w:w="90"/>
            </w:tcMar>
          </w:tcPr>
          <w:p>
            <w:pPr>
              <w:spacing w:after="40"/>
            </w:pPr>
            <w:r>
              <w:rPr>
                <w:b/>
                <w:bCs/>
                <w:sz w:val="19"/>
                <w:szCs w:val="19"/>
              </w:rPr>
              <w:t xml:space="preserve">Direction of travel</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Agroforestry</w:t>
            </w:r>
          </w:p>
        </w:tc>
        <w:tc>
          <w:tcPr>
            <w:tcW w:type="dxa" w:w="3939"/>
            <w:tcMar>
              <w:top w:type="dxa" w:w="60"/>
              <w:left w:type="dxa" w:w="90"/>
              <w:bottom w:type="dxa" w:w="60"/>
              <w:right w:type="dxa" w:w="90"/>
            </w:tcMar>
          </w:tcPr>
          <w:p>
            <w:pPr>
              <w:spacing w:after="40"/>
            </w:pPr>
            <w:r>
              <w:rPr>
                <w:b w:val="false"/>
                <w:bCs w:val="false"/>
                <w:sz w:val="19"/>
                <w:szCs w:val="19"/>
              </w:rPr>
              <w:t xml:space="preserve">Area under cultivation; women earning; share sold processed; woody survival</w:t>
            </w:r>
          </w:p>
        </w:tc>
        <w:tc>
          <w:tcPr>
            <w:tcW w:type="dxa" w:w="3282"/>
            <w:tcMar>
              <w:top w:type="dxa" w:w="60"/>
              <w:left w:type="dxa" w:w="90"/>
              <w:bottom w:type="dxa" w:w="60"/>
              <w:right w:type="dxa" w:w="90"/>
            </w:tcMar>
          </w:tcPr>
          <w:p>
            <w:pPr>
              <w:spacing w:after="40"/>
            </w:pPr>
            <w:r>
              <w:rPr>
                <w:b w:val="false"/>
                <w:bCs w:val="false"/>
                <w:sz w:val="19"/>
                <w:szCs w:val="19"/>
              </w:rPr>
              <w:t xml:space="preserve">From zero to an operating value chain and a permanent asset</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Water</w:t>
            </w:r>
          </w:p>
        </w:tc>
        <w:tc>
          <w:tcPr>
            <w:tcW w:type="dxa" w:w="3939"/>
            <w:tcMar>
              <w:top w:type="dxa" w:w="60"/>
              <w:left w:type="dxa" w:w="90"/>
              <w:bottom w:type="dxa" w:w="60"/>
              <w:right w:type="dxa" w:w="90"/>
            </w:tcMar>
          </w:tcPr>
          <w:p>
            <w:pPr>
              <w:spacing w:after="40"/>
            </w:pPr>
            <w:r>
              <w:rPr>
                <w:b w:val="false"/>
                <w:bCs w:val="false"/>
                <w:sz w:val="19"/>
                <w:szCs w:val="19"/>
              </w:rPr>
              <w:t xml:space="preserve">Groundwater trend; water budget maintained by the panchayat</w:t>
            </w:r>
          </w:p>
        </w:tc>
        <w:tc>
          <w:tcPr>
            <w:tcW w:type="dxa" w:w="3282"/>
            <w:tcMar>
              <w:top w:type="dxa" w:w="60"/>
              <w:left w:type="dxa" w:w="90"/>
              <w:bottom w:type="dxa" w:w="60"/>
              <w:right w:type="dxa" w:w="90"/>
            </w:tcMar>
          </w:tcPr>
          <w:p>
            <w:pPr>
              <w:spacing w:after="40"/>
            </w:pPr>
            <w:r>
              <w:rPr>
                <w:b w:val="false"/>
                <w:bCs w:val="false"/>
                <w:sz w:val="19"/>
                <w:szCs w:val="19"/>
              </w:rPr>
              <w:t xml:space="preserve">From unmeasured to measured stability</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Livestock</w:t>
            </w:r>
          </w:p>
        </w:tc>
        <w:tc>
          <w:tcPr>
            <w:tcW w:type="dxa" w:w="3939"/>
            <w:tcMar>
              <w:top w:type="dxa" w:w="60"/>
              <w:left w:type="dxa" w:w="90"/>
              <w:bottom w:type="dxa" w:w="60"/>
              <w:right w:type="dxa" w:w="90"/>
            </w:tcMar>
          </w:tcPr>
          <w:p>
            <w:pPr>
              <w:spacing w:after="40"/>
            </w:pPr>
            <w:r>
              <w:rPr>
                <w:b w:val="false"/>
                <w:bCs w:val="false"/>
                <w:sz w:val="19"/>
                <w:szCs w:val="19"/>
              </w:rPr>
              <w:t xml:space="preserve">Live register; milk pooled; price per litre; share of income to bottom half; methane per litre</w:t>
            </w:r>
          </w:p>
        </w:tc>
        <w:tc>
          <w:tcPr>
            <w:tcW w:type="dxa" w:w="3282"/>
            <w:tcMar>
              <w:top w:type="dxa" w:w="60"/>
              <w:left w:type="dxa" w:w="90"/>
              <w:bottom w:type="dxa" w:w="60"/>
              <w:right w:type="dxa" w:w="90"/>
            </w:tcMar>
          </w:tcPr>
          <w:p>
            <w:pPr>
              <w:spacing w:after="40"/>
            </w:pPr>
            <w:r>
              <w:rPr>
                <w:b w:val="false"/>
                <w:bCs w:val="false"/>
                <w:sz w:val="19"/>
                <w:szCs w:val="19"/>
              </w:rPr>
              <w:t xml:space="preserve">From concentrated, informal and unrecorded to organised and widening</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Energy and carbon</w:t>
            </w:r>
          </w:p>
        </w:tc>
        <w:tc>
          <w:tcPr>
            <w:tcW w:type="dxa" w:w="3939"/>
            <w:tcMar>
              <w:top w:type="dxa" w:w="60"/>
              <w:left w:type="dxa" w:w="90"/>
              <w:bottom w:type="dxa" w:w="60"/>
              <w:right w:type="dxa" w:w="90"/>
            </w:tcMar>
          </w:tcPr>
          <w:p>
            <w:pPr>
              <w:spacing w:after="40"/>
            </w:pPr>
            <w:r>
              <w:rPr>
                <w:b w:val="false"/>
                <w:bCs w:val="false"/>
                <w:sz w:val="19"/>
                <w:szCs w:val="19"/>
              </w:rPr>
              <w:t xml:space="preserve">Clean cooking; solar installed; net carbon balance</w:t>
            </w:r>
          </w:p>
        </w:tc>
        <w:tc>
          <w:tcPr>
            <w:tcW w:type="dxa" w:w="3282"/>
            <w:tcMar>
              <w:top w:type="dxa" w:w="60"/>
              <w:left w:type="dxa" w:w="90"/>
              <w:bottom w:type="dxa" w:w="60"/>
              <w:right w:type="dxa" w:w="90"/>
            </w:tcMar>
          </w:tcPr>
          <w:p>
            <w:pPr>
              <w:spacing w:after="40"/>
            </w:pPr>
            <w:r>
              <w:rPr>
                <w:b w:val="false"/>
                <w:bCs w:val="false"/>
                <w:sz w:val="19"/>
                <w:szCs w:val="19"/>
              </w:rPr>
              <w:t xml:space="preserve">From no inventory to an audited balance</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Health</w:t>
            </w:r>
          </w:p>
        </w:tc>
        <w:tc>
          <w:tcPr>
            <w:tcW w:type="dxa" w:w="3939"/>
            <w:tcMar>
              <w:top w:type="dxa" w:w="60"/>
              <w:left w:type="dxa" w:w="90"/>
              <w:bottom w:type="dxa" w:w="60"/>
              <w:right w:type="dxa" w:w="90"/>
            </w:tcMar>
          </w:tcPr>
          <w:p>
            <w:pPr>
              <w:spacing w:after="40"/>
            </w:pPr>
            <w:r>
              <w:rPr>
                <w:b w:val="false"/>
                <w:bCs w:val="false"/>
                <w:sz w:val="19"/>
                <w:szCs w:val="19"/>
              </w:rPr>
              <w:t xml:space="preserve">Dietary diversity; local food share; entitlement enrolment; unmet need</w:t>
            </w:r>
          </w:p>
        </w:tc>
        <w:tc>
          <w:tcPr>
            <w:tcW w:type="dxa" w:w="3282"/>
            <w:tcMar>
              <w:top w:type="dxa" w:w="60"/>
              <w:left w:type="dxa" w:w="90"/>
              <w:bottom w:type="dxa" w:w="60"/>
              <w:right w:type="dxa" w:w="90"/>
            </w:tcMar>
          </w:tcPr>
          <w:p>
            <w:pPr>
              <w:spacing w:after="40"/>
            </w:pPr>
            <w:r>
              <w:rPr>
                <w:b w:val="false"/>
                <w:bCs w:val="false"/>
                <w:sz w:val="19"/>
                <w:szCs w:val="19"/>
              </w:rPr>
              <w:t xml:space="preserve">From seasonal deficit to local sufficiency and full enrolment</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Net-zero</w:t>
            </w:r>
          </w:p>
        </w:tc>
        <w:tc>
          <w:tcPr>
            <w:tcW w:type="dxa" w:w="3939"/>
            <w:tcMar>
              <w:top w:type="dxa" w:w="60"/>
              <w:left w:type="dxa" w:w="90"/>
              <w:bottom w:type="dxa" w:w="60"/>
              <w:right w:type="dxa" w:w="90"/>
            </w:tcMar>
          </w:tcPr>
          <w:p>
            <w:pPr>
              <w:spacing w:after="40"/>
            </w:pPr>
            <w:r>
              <w:rPr>
                <w:b w:val="false"/>
                <w:bCs w:val="false"/>
                <w:sz w:val="19"/>
                <w:szCs w:val="19"/>
              </w:rPr>
              <w:t xml:space="preserve">Panchayats configured; credits verified; revenue shared</w:t>
            </w:r>
          </w:p>
        </w:tc>
        <w:tc>
          <w:tcPr>
            <w:tcW w:type="dxa" w:w="3282"/>
            <w:tcMar>
              <w:top w:type="dxa" w:w="60"/>
              <w:left w:type="dxa" w:w="90"/>
              <w:bottom w:type="dxa" w:w="60"/>
              <w:right w:type="dxa" w:w="90"/>
            </w:tcMar>
          </w:tcPr>
          <w:p>
            <w:pPr>
              <w:spacing w:after="40"/>
            </w:pPr>
            <w:r>
              <w:rPr>
                <w:b w:val="false"/>
                <w:bCs w:val="false"/>
                <w:sz w:val="19"/>
                <w:szCs w:val="19"/>
              </w:rPr>
              <w:t xml:space="preserve">From one panchayat to a block cohort</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Scaling</w:t>
            </w:r>
          </w:p>
        </w:tc>
        <w:tc>
          <w:tcPr>
            <w:tcW w:type="dxa" w:w="3939"/>
            <w:tcMar>
              <w:top w:type="dxa" w:w="60"/>
              <w:left w:type="dxa" w:w="90"/>
              <w:bottom w:type="dxa" w:w="60"/>
              <w:right w:type="dxa" w:w="90"/>
            </w:tcMar>
          </w:tcPr>
          <w:p>
            <w:pPr>
              <w:spacing w:after="40"/>
            </w:pPr>
            <w:r>
              <w:rPr>
                <w:b w:val="false"/>
                <w:bCs w:val="false"/>
                <w:sz w:val="19"/>
                <w:szCs w:val="19"/>
              </w:rPr>
              <w:t xml:space="preserve">Gram Panchayats with climate-integrated VGPPs; master trainers certified; cost per Gram Panchayat</w:t>
            </w:r>
          </w:p>
        </w:tc>
        <w:tc>
          <w:tcPr>
            <w:tcW w:type="dxa" w:w="3282"/>
            <w:tcMar>
              <w:top w:type="dxa" w:w="60"/>
              <w:left w:type="dxa" w:w="90"/>
              <w:bottom w:type="dxa" w:w="60"/>
              <w:right w:type="dxa" w:w="90"/>
            </w:tcMar>
          </w:tcPr>
          <w:p>
            <w:pPr>
              <w:spacing w:after="40"/>
            </w:pPr>
            <w:r>
              <w:rPr>
                <w:b w:val="false"/>
                <w:bCs w:val="false"/>
                <w:sz w:val="19"/>
                <w:szCs w:val="19"/>
              </w:rPr>
              <w:t xml:space="preserve">Katol cluster by year 3; State-ready model by year 5</w:t>
            </w:r>
          </w:p>
        </w:tc>
      </w:tr>
      <w:tr>
        <w:trPr>
          <w:cantSplit/>
        </w:trPr>
        <w:tc>
          <w:tcPr>
            <w:tcW w:type="dxa" w:w="1805"/>
            <w:tcMar>
              <w:top w:type="dxa" w:w="60"/>
              <w:left w:type="dxa" w:w="90"/>
              <w:bottom w:type="dxa" w:w="60"/>
              <w:right w:type="dxa" w:w="90"/>
            </w:tcMar>
          </w:tcPr>
          <w:p>
            <w:pPr>
              <w:spacing w:after="40"/>
            </w:pPr>
            <w:r>
              <w:rPr>
                <w:b w:val="false"/>
                <w:bCs w:val="false"/>
                <w:sz w:val="19"/>
                <w:szCs w:val="19"/>
              </w:rPr>
              <w:t xml:space="preserve">Cross-cutting</w:t>
            </w:r>
          </w:p>
        </w:tc>
        <w:tc>
          <w:tcPr>
            <w:tcW w:type="dxa" w:w="3939"/>
            <w:tcMar>
              <w:top w:type="dxa" w:w="60"/>
              <w:left w:type="dxa" w:w="90"/>
              <w:bottom w:type="dxa" w:w="60"/>
              <w:right w:type="dxa" w:w="90"/>
            </w:tcMar>
          </w:tcPr>
          <w:p>
            <w:pPr>
              <w:spacing w:after="40"/>
            </w:pPr>
            <w:r>
              <w:rPr>
                <w:b w:val="false"/>
                <w:bCs w:val="false"/>
                <w:sz w:val="19"/>
                <w:szCs w:val="19"/>
              </w:rPr>
              <w:t xml:space="preserve">Self-help group households sustaining ₹1 lakh income</w:t>
            </w:r>
          </w:p>
        </w:tc>
        <w:tc>
          <w:tcPr>
            <w:tcW w:type="dxa" w:w="3282"/>
            <w:tcMar>
              <w:top w:type="dxa" w:w="60"/>
              <w:left w:type="dxa" w:w="90"/>
              <w:bottom w:type="dxa" w:w="60"/>
              <w:right w:type="dxa" w:w="90"/>
            </w:tcMar>
          </w:tcPr>
          <w:p>
            <w:pPr>
              <w:spacing w:after="40"/>
            </w:pPr>
            <w:r>
              <w:rPr>
                <w:b w:val="false"/>
                <w:bCs w:val="false"/>
                <w:sz w:val="19"/>
                <w:szCs w:val="19"/>
              </w:rPr>
              <w:t xml:space="preserve">Aligned to Lakhpati Didi</w:t>
            </w:r>
          </w:p>
        </w:tc>
      </w:tr>
    </w:tbl>
    <w:p>
      <w:pPr>
        <w:spacing w:after="80"/>
      </w:pPr>
    </w:p>
    <w:p>
      <w:pPr>
        <w:spacing w:after="120" w:line="276"/>
        <w:jc w:val="both"/>
      </w:pPr>
      <w:r>
        <w:t xml:space="preserve">The scaling indicators make a grant to a panchayat of 717 people rational: without them the donor funds one village; with them, the donor funds a replication method, with Katlabodi as the proving ground.</w:t>
      </w:r>
    </w:p>
    <w:p>
      <w:pPr>
        <w:pStyle w:val="Heading1"/>
        <w:keepNext/>
        <w:spacing w:after="140" w:before="300"/>
      </w:pPr>
      <w:r>
        <w:t xml:space="preserve">13. What year one unlocks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12"/>
        <w:gridCol w:w="4191"/>
        <w:gridCol w:w="3223"/>
      </w:tblGrid>
      <w:tr>
        <w:trPr>
          <w:tblHeader/>
        </w:trPr>
        <w:tc>
          <w:tcPr>
            <w:tcW w:type="dxa" w:w="1612"/>
            <w:shd w:fill="EAF1EE" w:color="auto" w:val="clear"/>
            <w:tcMar>
              <w:top w:type="dxa" w:w="60"/>
              <w:left w:type="dxa" w:w="90"/>
              <w:bottom w:type="dxa" w:w="60"/>
              <w:right w:type="dxa" w:w="90"/>
            </w:tcMar>
          </w:tcPr>
          <w:p>
            <w:pPr>
              <w:spacing w:after="40"/>
            </w:pPr>
            <w:r>
              <w:rPr>
                <w:b/>
                <w:bCs/>
                <w:sz w:val="19"/>
                <w:szCs w:val="19"/>
              </w:rPr>
              <w:t xml:space="preserve">Project</w:t>
            </w:r>
          </w:p>
        </w:tc>
        <w:tc>
          <w:tcPr>
            <w:tcW w:type="dxa" w:w="4191"/>
            <w:shd w:fill="EAF1EE" w:color="auto" w:val="clear"/>
            <w:tcMar>
              <w:top w:type="dxa" w:w="60"/>
              <w:left w:type="dxa" w:w="90"/>
              <w:bottom w:type="dxa" w:w="60"/>
              <w:right w:type="dxa" w:w="90"/>
            </w:tcMar>
          </w:tcPr>
          <w:p>
            <w:pPr>
              <w:spacing w:after="40"/>
            </w:pPr>
            <w:r>
              <w:rPr>
                <w:b/>
                <w:bCs/>
                <w:sz w:val="19"/>
                <w:szCs w:val="19"/>
              </w:rPr>
              <w:t xml:space="preserve">Convergence and finance routes</w:t>
            </w:r>
          </w:p>
        </w:tc>
        <w:tc>
          <w:tcPr>
            <w:tcW w:type="dxa" w:w="3223"/>
            <w:shd w:fill="EAF1EE" w:color="auto" w:val="clear"/>
            <w:tcMar>
              <w:top w:type="dxa" w:w="60"/>
              <w:left w:type="dxa" w:w="90"/>
              <w:bottom w:type="dxa" w:w="60"/>
              <w:right w:type="dxa" w:w="90"/>
            </w:tcMar>
          </w:tcPr>
          <w:p>
            <w:pPr>
              <w:spacing w:after="40"/>
            </w:pPr>
            <w:r>
              <w:rPr>
                <w:b/>
                <w:bCs/>
                <w:sz w:val="19"/>
                <w:szCs w:val="19"/>
              </w:rPr>
              <w:t xml:space="preserve">Year-one precondition</w:t>
            </w:r>
          </w:p>
        </w:tc>
      </w:tr>
      <w:tr>
        <w:trPr>
          <w:cantSplit/>
        </w:trPr>
        <w:tc>
          <w:tcPr>
            <w:tcW w:type="dxa" w:w="1612"/>
            <w:tcMar>
              <w:top w:type="dxa" w:w="60"/>
              <w:left w:type="dxa" w:w="90"/>
              <w:bottom w:type="dxa" w:w="60"/>
              <w:right w:type="dxa" w:w="90"/>
            </w:tcMar>
          </w:tcPr>
          <w:p>
            <w:pPr>
              <w:spacing w:after="40"/>
            </w:pPr>
            <w:r>
              <w:rPr>
                <w:b w:val="false"/>
                <w:bCs w:val="false"/>
                <w:sz w:val="19"/>
                <w:szCs w:val="19"/>
              </w:rPr>
              <w:t xml:space="preserve">Agroforestry</w:t>
            </w:r>
          </w:p>
        </w:tc>
        <w:tc>
          <w:tcPr>
            <w:tcW w:type="dxa" w:w="4191"/>
            <w:tcMar>
              <w:top w:type="dxa" w:w="60"/>
              <w:left w:type="dxa" w:w="90"/>
              <w:bottom w:type="dxa" w:w="60"/>
              <w:right w:type="dxa" w:w="90"/>
            </w:tcMar>
          </w:tcPr>
          <w:p>
            <w:pPr>
              <w:spacing w:after="40"/>
            </w:pPr>
            <w:r>
              <w:rPr>
                <w:b w:val="false"/>
                <w:bCs w:val="false"/>
                <w:sz w:val="19"/>
                <w:szCs w:val="19"/>
              </w:rPr>
              <w:t xml:space="preserve">National Medicinal Plants Board and National AYUSH Mission; NABARD Wadi and Tribal Development Fund; VB-G RAM G nursery and plantation works; JICA forest-management pilot</w:t>
            </w:r>
          </w:p>
        </w:tc>
        <w:tc>
          <w:tcPr>
            <w:tcW w:type="dxa" w:w="3223"/>
            <w:tcMar>
              <w:top w:type="dxa" w:w="60"/>
              <w:left w:type="dxa" w:w="90"/>
              <w:bottom w:type="dxa" w:w="60"/>
              <w:right w:type="dxa" w:w="90"/>
            </w:tcMar>
          </w:tcPr>
          <w:p>
            <w:pPr>
              <w:spacing w:after="40"/>
            </w:pPr>
            <w:r>
              <w:rPr>
                <w:b w:val="false"/>
                <w:bCs w:val="false"/>
                <w:sz w:val="19"/>
                <w:szCs w:val="19"/>
              </w:rPr>
              <w:t xml:space="preserve">Hub site; land and species assessment; PBR; trained cadre; offtake arrangement</w:t>
            </w:r>
          </w:p>
        </w:tc>
      </w:tr>
      <w:tr>
        <w:trPr>
          <w:cantSplit/>
        </w:trPr>
        <w:tc>
          <w:tcPr>
            <w:tcW w:type="dxa" w:w="1612"/>
            <w:tcMar>
              <w:top w:type="dxa" w:w="60"/>
              <w:left w:type="dxa" w:w="90"/>
              <w:bottom w:type="dxa" w:w="60"/>
              <w:right w:type="dxa" w:w="90"/>
            </w:tcMar>
          </w:tcPr>
          <w:p>
            <w:pPr>
              <w:spacing w:after="40"/>
            </w:pPr>
            <w:r>
              <w:rPr>
                <w:b w:val="false"/>
                <w:bCs w:val="false"/>
                <w:sz w:val="19"/>
                <w:szCs w:val="19"/>
              </w:rPr>
              <w:t xml:space="preserve">Water</w:t>
            </w:r>
          </w:p>
        </w:tc>
        <w:tc>
          <w:tcPr>
            <w:tcW w:type="dxa" w:w="4191"/>
            <w:tcMar>
              <w:top w:type="dxa" w:w="60"/>
              <w:left w:type="dxa" w:w="90"/>
              <w:bottom w:type="dxa" w:w="60"/>
              <w:right w:type="dxa" w:w="90"/>
            </w:tcMar>
          </w:tcPr>
          <w:p>
            <w:pPr>
              <w:spacing w:after="40"/>
            </w:pPr>
            <w:r>
              <w:rPr>
                <w:b w:val="false"/>
                <w:bCs w:val="false"/>
                <w:sz w:val="19"/>
                <w:szCs w:val="19"/>
              </w:rPr>
              <w:t xml:space="preserve">VB-G RAM G water-security and extreme-weather works; State watershed and drought works; Finance Commission tied grants; micro-irrigation schemes</w:t>
            </w:r>
          </w:p>
        </w:tc>
        <w:tc>
          <w:tcPr>
            <w:tcW w:type="dxa" w:w="3223"/>
            <w:tcMar>
              <w:top w:type="dxa" w:w="60"/>
              <w:left w:type="dxa" w:w="90"/>
              <w:bottom w:type="dxa" w:w="60"/>
              <w:right w:type="dxa" w:w="90"/>
            </w:tcMar>
          </w:tcPr>
          <w:p>
            <w:pPr>
              <w:spacing w:after="40"/>
            </w:pPr>
            <w:r>
              <w:rPr>
                <w:b w:val="false"/>
                <w:bCs w:val="false"/>
                <w:sz w:val="19"/>
                <w:szCs w:val="19"/>
              </w:rPr>
              <w:t xml:space="preserve">Water budget; hydrogeological assessment; prioritised works list; contingency plan</w:t>
            </w:r>
          </w:p>
        </w:tc>
      </w:tr>
      <w:tr>
        <w:trPr>
          <w:cantSplit/>
        </w:trPr>
        <w:tc>
          <w:tcPr>
            <w:tcW w:type="dxa" w:w="1612"/>
            <w:tcMar>
              <w:top w:type="dxa" w:w="60"/>
              <w:left w:type="dxa" w:w="90"/>
              <w:bottom w:type="dxa" w:w="60"/>
              <w:right w:type="dxa" w:w="90"/>
            </w:tcMar>
          </w:tcPr>
          <w:p>
            <w:pPr>
              <w:spacing w:after="40"/>
            </w:pPr>
            <w:r>
              <w:rPr>
                <w:b w:val="false"/>
                <w:bCs w:val="false"/>
                <w:sz w:val="19"/>
                <w:szCs w:val="19"/>
              </w:rPr>
              <w:t xml:space="preserve">Livestock</w:t>
            </w:r>
          </w:p>
        </w:tc>
        <w:tc>
          <w:tcPr>
            <w:tcW w:type="dxa" w:w="4191"/>
            <w:tcMar>
              <w:top w:type="dxa" w:w="60"/>
              <w:left w:type="dxa" w:w="90"/>
              <w:bottom w:type="dxa" w:w="60"/>
              <w:right w:type="dxa" w:w="90"/>
            </w:tcMar>
          </w:tcPr>
          <w:p>
            <w:pPr>
              <w:spacing w:after="40"/>
            </w:pPr>
            <w:r>
              <w:rPr>
                <w:b w:val="false"/>
                <w:bCs w:val="false"/>
                <w:sz w:val="19"/>
                <w:szCs w:val="19"/>
              </w:rPr>
              <w:t xml:space="preserve">National livestock and cattle missions; sexed semen and breeding support; Katol block milk chilling and biogas under the State CBG policy</w:t>
            </w:r>
          </w:p>
        </w:tc>
        <w:tc>
          <w:tcPr>
            <w:tcW w:type="dxa" w:w="3223"/>
            <w:tcMar>
              <w:top w:type="dxa" w:w="60"/>
              <w:left w:type="dxa" w:w="90"/>
              <w:bottom w:type="dxa" w:w="60"/>
              <w:right w:type="dxa" w:w="90"/>
            </w:tcMar>
          </w:tcPr>
          <w:p>
            <w:pPr>
              <w:spacing w:after="40"/>
            </w:pPr>
            <w:r>
              <w:rPr>
                <w:b w:val="false"/>
                <w:bCs w:val="false"/>
                <w:sz w:val="19"/>
                <w:szCs w:val="19"/>
              </w:rPr>
              <w:t xml:space="preserve">Verified register; trained cadre; facility design; collection arrangement</w:t>
            </w:r>
          </w:p>
        </w:tc>
      </w:tr>
      <w:tr>
        <w:trPr>
          <w:cantSplit/>
        </w:trPr>
        <w:tc>
          <w:tcPr>
            <w:tcW w:type="dxa" w:w="1612"/>
            <w:tcMar>
              <w:top w:type="dxa" w:w="60"/>
              <w:left w:type="dxa" w:w="90"/>
              <w:bottom w:type="dxa" w:w="60"/>
              <w:right w:type="dxa" w:w="90"/>
            </w:tcMar>
          </w:tcPr>
          <w:p>
            <w:pPr>
              <w:spacing w:after="40"/>
            </w:pPr>
            <w:r>
              <w:rPr>
                <w:b w:val="false"/>
                <w:bCs w:val="false"/>
                <w:sz w:val="19"/>
                <w:szCs w:val="19"/>
              </w:rPr>
              <w:t xml:space="preserve">Energy</w:t>
            </w:r>
          </w:p>
        </w:tc>
        <w:tc>
          <w:tcPr>
            <w:tcW w:type="dxa" w:w="4191"/>
            <w:tcMar>
              <w:top w:type="dxa" w:w="60"/>
              <w:left w:type="dxa" w:w="90"/>
              <w:bottom w:type="dxa" w:w="60"/>
              <w:right w:type="dxa" w:w="90"/>
            </w:tcMar>
          </w:tcPr>
          <w:p>
            <w:pPr>
              <w:spacing w:after="40"/>
            </w:pPr>
            <w:r>
              <w:rPr>
                <w:b w:val="false"/>
                <w:bCs w:val="false"/>
                <w:sz w:val="19"/>
                <w:szCs w:val="19"/>
              </w:rPr>
              <w:t xml:space="preserve">Community biogas and solar programmes; PM Surya Ghar; blended and corporate finance</w:t>
            </w:r>
          </w:p>
        </w:tc>
        <w:tc>
          <w:tcPr>
            <w:tcW w:type="dxa" w:w="3223"/>
            <w:tcMar>
              <w:top w:type="dxa" w:w="60"/>
              <w:left w:type="dxa" w:w="90"/>
              <w:bottom w:type="dxa" w:w="60"/>
              <w:right w:type="dxa" w:w="90"/>
            </w:tcMar>
          </w:tcPr>
          <w:p>
            <w:pPr>
              <w:spacing w:after="40"/>
            </w:pPr>
            <w:r>
              <w:rPr>
                <w:b w:val="false"/>
                <w:bCs w:val="false"/>
                <w:sz w:val="19"/>
                <w:szCs w:val="19"/>
              </w:rPr>
              <w:t xml:space="preserve">Plant design and siting; operator training plan</w:t>
            </w:r>
          </w:p>
        </w:tc>
      </w:tr>
      <w:tr>
        <w:trPr>
          <w:cantSplit/>
        </w:trPr>
        <w:tc>
          <w:tcPr>
            <w:tcW w:type="dxa" w:w="1612"/>
            <w:tcMar>
              <w:top w:type="dxa" w:w="60"/>
              <w:left w:type="dxa" w:w="90"/>
              <w:bottom w:type="dxa" w:w="60"/>
              <w:right w:type="dxa" w:w="90"/>
            </w:tcMar>
          </w:tcPr>
          <w:p>
            <w:pPr>
              <w:spacing w:after="40"/>
            </w:pPr>
            <w:r>
              <w:rPr>
                <w:b w:val="false"/>
                <w:bCs w:val="false"/>
                <w:sz w:val="19"/>
                <w:szCs w:val="19"/>
              </w:rPr>
              <w:t xml:space="preserve">Health and nutrition</w:t>
            </w:r>
          </w:p>
        </w:tc>
        <w:tc>
          <w:tcPr>
            <w:tcW w:type="dxa" w:w="4191"/>
            <w:tcMar>
              <w:top w:type="dxa" w:w="60"/>
              <w:left w:type="dxa" w:w="90"/>
              <w:bottom w:type="dxa" w:w="60"/>
              <w:right w:type="dxa" w:w="90"/>
            </w:tcMar>
          </w:tcPr>
          <w:p>
            <w:pPr>
              <w:spacing w:after="40"/>
            </w:pPr>
            <w:r>
              <w:rPr>
                <w:b w:val="false"/>
                <w:bCs w:val="false"/>
                <w:sz w:val="19"/>
                <w:szCs w:val="19"/>
              </w:rPr>
              <w:t xml:space="preserve">National Health Mission and Ayushman Bharat; Mission Saksham Anganwadi and Poshan 2.0; school feeding; National AYUSH Mission [verify]</w:t>
            </w:r>
          </w:p>
        </w:tc>
        <w:tc>
          <w:tcPr>
            <w:tcW w:type="dxa" w:w="3223"/>
            <w:tcMar>
              <w:top w:type="dxa" w:w="60"/>
              <w:left w:type="dxa" w:w="90"/>
              <w:bottom w:type="dxa" w:w="60"/>
              <w:right w:type="dxa" w:w="90"/>
            </w:tcMar>
          </w:tcPr>
          <w:p>
            <w:pPr>
              <w:spacing w:after="40"/>
            </w:pPr>
            <w:r>
              <w:rPr>
                <w:b w:val="false"/>
                <w:bCs w:val="false"/>
                <w:sz w:val="19"/>
                <w:szCs w:val="19"/>
              </w:rPr>
              <w:t xml:space="preserve">Baseline; gap analysis; Poshan Sakhi cadre; local-food protocol</w:t>
            </w:r>
          </w:p>
        </w:tc>
      </w:tr>
      <w:tr>
        <w:trPr>
          <w:cantSplit/>
        </w:trPr>
        <w:tc>
          <w:tcPr>
            <w:tcW w:type="dxa" w:w="1612"/>
            <w:tcMar>
              <w:top w:type="dxa" w:w="60"/>
              <w:left w:type="dxa" w:w="90"/>
              <w:bottom w:type="dxa" w:w="60"/>
              <w:right w:type="dxa" w:w="90"/>
            </w:tcMar>
          </w:tcPr>
          <w:p>
            <w:pPr>
              <w:spacing w:after="40"/>
            </w:pPr>
            <w:r>
              <w:rPr>
                <w:b w:val="false"/>
                <w:bCs w:val="false"/>
                <w:sz w:val="19"/>
                <w:szCs w:val="19"/>
              </w:rPr>
              <w:t xml:space="preserve">Net-zero platform</w:t>
            </w:r>
          </w:p>
        </w:tc>
        <w:tc>
          <w:tcPr>
            <w:tcW w:type="dxa" w:w="4191"/>
            <w:tcMar>
              <w:top w:type="dxa" w:w="60"/>
              <w:left w:type="dxa" w:w="90"/>
              <w:bottom w:type="dxa" w:w="60"/>
              <w:right w:type="dxa" w:w="90"/>
            </w:tcMar>
          </w:tcPr>
          <w:p>
            <w:pPr>
              <w:spacing w:after="40"/>
            </w:pPr>
            <w:r>
              <w:rPr>
                <w:b w:val="false"/>
                <w:bCs w:val="false"/>
                <w:sz w:val="19"/>
                <w:szCs w:val="19"/>
              </w:rPr>
              <w:t xml:space="preserve">Voluntary carbon standards; domestic offset mechanism as it widens; climate finance and aggregation vehicles</w:t>
            </w:r>
          </w:p>
        </w:tc>
        <w:tc>
          <w:tcPr>
            <w:tcW w:type="dxa" w:w="3223"/>
            <w:tcMar>
              <w:top w:type="dxa" w:w="60"/>
              <w:left w:type="dxa" w:w="90"/>
              <w:bottom w:type="dxa" w:w="60"/>
              <w:right w:type="dxa" w:w="90"/>
            </w:tcMar>
          </w:tcPr>
          <w:p>
            <w:pPr>
              <w:spacing w:after="40"/>
            </w:pPr>
            <w:r>
              <w:rPr>
                <w:b w:val="false"/>
                <w:bCs w:val="false"/>
                <w:sz w:val="19"/>
                <w:szCs w:val="19"/>
              </w:rPr>
              <w:t xml:space="preserve">Configured platform; baseline; aggregation structure; rights resolved</w:t>
            </w:r>
          </w:p>
        </w:tc>
      </w:tr>
    </w:tbl>
    <w:p>
      <w:pPr>
        <w:spacing w:after="80"/>
      </w:pPr>
    </w:p>
    <w:p>
      <w:pPr>
        <w:pStyle w:val="Heading1"/>
        <w:keepNext/>
        <w:spacing w:after="140" w:before="300"/>
      </w:pPr>
      <w:r>
        <w:t xml:space="preserve">14. Principal risks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30"/>
        <w:gridCol w:w="2604"/>
        <w:gridCol w:w="3992"/>
      </w:tblGrid>
      <w:tr>
        <w:trPr>
          <w:tblHeader/>
        </w:trPr>
        <w:tc>
          <w:tcPr>
            <w:tcW w:type="dxa" w:w="2430"/>
            <w:shd w:fill="EAF1EE" w:color="auto" w:val="clear"/>
            <w:tcMar>
              <w:top w:type="dxa" w:w="60"/>
              <w:left w:type="dxa" w:w="90"/>
              <w:bottom w:type="dxa" w:w="60"/>
              <w:right w:type="dxa" w:w="90"/>
            </w:tcMar>
          </w:tcPr>
          <w:p>
            <w:pPr>
              <w:spacing w:after="40"/>
            </w:pPr>
            <w:r>
              <w:rPr>
                <w:b/>
                <w:bCs/>
                <w:sz w:val="19"/>
                <w:szCs w:val="19"/>
              </w:rPr>
              <w:t xml:space="preserve">Risk</w:t>
            </w:r>
          </w:p>
        </w:tc>
        <w:tc>
          <w:tcPr>
            <w:tcW w:type="dxa" w:w="2604"/>
            <w:shd w:fill="EAF1EE" w:color="auto" w:val="clear"/>
            <w:tcMar>
              <w:top w:type="dxa" w:w="60"/>
              <w:left w:type="dxa" w:w="90"/>
              <w:bottom w:type="dxa" w:w="60"/>
              <w:right w:type="dxa" w:w="90"/>
            </w:tcMar>
          </w:tcPr>
          <w:p>
            <w:pPr>
              <w:spacing w:after="40"/>
            </w:pPr>
            <w:r>
              <w:rPr>
                <w:b/>
                <w:bCs/>
                <w:sz w:val="19"/>
                <w:szCs w:val="19"/>
              </w:rPr>
              <w:t xml:space="preserve">Consequence</w:t>
            </w:r>
          </w:p>
        </w:tc>
        <w:tc>
          <w:tcPr>
            <w:tcW w:type="dxa" w:w="3992"/>
            <w:shd w:fill="EAF1EE" w:color="auto" w:val="clear"/>
            <w:tcMar>
              <w:top w:type="dxa" w:w="60"/>
              <w:left w:type="dxa" w:w="90"/>
              <w:bottom w:type="dxa" w:w="60"/>
              <w:right w:type="dxa" w:w="90"/>
            </w:tcMar>
          </w:tcPr>
          <w:p>
            <w:pPr>
              <w:spacing w:after="40"/>
            </w:pPr>
            <w:r>
              <w:rPr>
                <w:b/>
                <w:bCs/>
                <w:sz w:val="19"/>
                <w:szCs w:val="19"/>
              </w:rPr>
              <w:t xml:space="preserve">Mitigation</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Drought recurs in 2027</w:t>
            </w:r>
          </w:p>
        </w:tc>
        <w:tc>
          <w:tcPr>
            <w:tcW w:type="dxa" w:w="2604"/>
            <w:tcMar>
              <w:top w:type="dxa" w:w="60"/>
              <w:left w:type="dxa" w:w="90"/>
              <w:bottom w:type="dxa" w:w="60"/>
              <w:right w:type="dxa" w:w="90"/>
            </w:tcMar>
          </w:tcPr>
          <w:p>
            <w:pPr>
              <w:spacing w:after="40"/>
            </w:pPr>
            <w:r>
              <w:rPr>
                <w:b w:val="false"/>
                <w:bCs w:val="false"/>
                <w:sz w:val="19"/>
                <w:szCs w:val="19"/>
              </w:rPr>
              <w:t xml:space="preserve">Hub-site yields and incomes fall; cadre confidence drops</w:t>
            </w:r>
          </w:p>
        </w:tc>
        <w:tc>
          <w:tcPr>
            <w:tcW w:type="dxa" w:w="3992"/>
            <w:tcMar>
              <w:top w:type="dxa" w:w="60"/>
              <w:left w:type="dxa" w:w="90"/>
              <w:bottom w:type="dxa" w:w="60"/>
              <w:right w:type="dxa" w:w="90"/>
            </w:tcMar>
          </w:tcPr>
          <w:p>
            <w:pPr>
              <w:spacing w:after="40"/>
            </w:pPr>
            <w:r>
              <w:rPr>
                <w:b w:val="false"/>
                <w:bCs w:val="false"/>
                <w:sz w:val="19"/>
                <w:szCs w:val="19"/>
              </w:rPr>
              <w:t xml:space="preserve">Drought-tolerant species; water budget before extraction; contingency plan; stress-tested finances (Annex D)</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Sanction later than January 2027</w:t>
            </w:r>
          </w:p>
        </w:tc>
        <w:tc>
          <w:tcPr>
            <w:tcW w:type="dxa" w:w="2604"/>
            <w:tcMar>
              <w:top w:type="dxa" w:w="60"/>
              <w:left w:type="dxa" w:w="90"/>
              <w:bottom w:type="dxa" w:w="60"/>
              <w:right w:type="dxa" w:w="90"/>
            </w:tcMar>
          </w:tcPr>
          <w:p>
            <w:pPr>
              <w:spacing w:after="40"/>
            </w:pPr>
            <w:r>
              <w:rPr>
                <w:b w:val="false"/>
                <w:bCs w:val="false"/>
                <w:sz w:val="19"/>
                <w:szCs w:val="19"/>
              </w:rPr>
              <w:t xml:space="preserve">Dry-season works and monsoon planting slip a year</w:t>
            </w:r>
          </w:p>
        </w:tc>
        <w:tc>
          <w:tcPr>
            <w:tcW w:type="dxa" w:w="3992"/>
            <w:tcMar>
              <w:top w:type="dxa" w:w="60"/>
              <w:left w:type="dxa" w:w="90"/>
              <w:bottom w:type="dxa" w:w="60"/>
              <w:right w:type="dxa" w:w="90"/>
            </w:tcMar>
          </w:tcPr>
          <w:p>
            <w:pPr>
              <w:spacing w:after="40"/>
            </w:pPr>
            <w:r>
              <w:rPr>
                <w:b w:val="false"/>
                <w:bCs w:val="false"/>
                <w:sz w:val="19"/>
                <w:szCs w:val="19"/>
              </w:rPr>
              <w:t xml:space="preserve">Target start December 2026; baselines and contingency planning front-loaded</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Elite capture of benefits</w:t>
            </w:r>
          </w:p>
        </w:tc>
        <w:tc>
          <w:tcPr>
            <w:tcW w:type="dxa" w:w="2604"/>
            <w:tcMar>
              <w:top w:type="dxa" w:w="60"/>
              <w:left w:type="dxa" w:w="90"/>
              <w:bottom w:type="dxa" w:w="60"/>
              <w:right w:type="dxa" w:w="90"/>
            </w:tcMar>
          </w:tcPr>
          <w:p>
            <w:pPr>
              <w:spacing w:after="40"/>
            </w:pPr>
            <w:r>
              <w:rPr>
                <w:b w:val="false"/>
                <w:bCs w:val="false"/>
                <w:sz w:val="19"/>
                <w:szCs w:val="19"/>
              </w:rPr>
              <w:t xml:space="preserve">A few families absorb the gains</w:t>
            </w:r>
          </w:p>
        </w:tc>
        <w:tc>
          <w:tcPr>
            <w:tcW w:type="dxa" w:w="3992"/>
            <w:tcMar>
              <w:top w:type="dxa" w:w="60"/>
              <w:left w:type="dxa" w:w="90"/>
              <w:bottom w:type="dxa" w:w="60"/>
              <w:right w:type="dxa" w:w="90"/>
            </w:tcMar>
          </w:tcPr>
          <w:p>
            <w:pPr>
              <w:spacing w:after="40"/>
            </w:pPr>
            <w:r>
              <w:rPr>
                <w:b w:val="false"/>
                <w:bCs w:val="false"/>
                <w:sz w:val="19"/>
                <w:szCs w:val="19"/>
              </w:rPr>
              <w:t xml:space="preserve">Selection rules adopted before selection; equity share reported</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Project 1 operating shortfall in year two</w:t>
            </w:r>
          </w:p>
        </w:tc>
        <w:tc>
          <w:tcPr>
            <w:tcW w:type="dxa" w:w="2604"/>
            <w:tcMar>
              <w:top w:type="dxa" w:w="60"/>
              <w:left w:type="dxa" w:w="90"/>
              <w:bottom w:type="dxa" w:w="60"/>
              <w:right w:type="dxa" w:w="90"/>
            </w:tcMar>
          </w:tcPr>
          <w:p>
            <w:pPr>
              <w:spacing w:after="40"/>
            </w:pPr>
            <w:r>
              <w:rPr>
                <w:b w:val="false"/>
                <w:bCs w:val="false"/>
                <w:sz w:val="19"/>
                <w:szCs w:val="19"/>
              </w:rPr>
              <w:t xml:space="preserve">Hub site under-maintained after the grant</w:t>
            </w:r>
          </w:p>
        </w:tc>
        <w:tc>
          <w:tcPr>
            <w:tcW w:type="dxa" w:w="3992"/>
            <w:tcMar>
              <w:top w:type="dxa" w:w="60"/>
              <w:left w:type="dxa" w:w="90"/>
              <w:bottom w:type="dxa" w:w="60"/>
              <w:right w:type="dxa" w:w="90"/>
            </w:tcMar>
          </w:tcPr>
          <w:p>
            <w:pPr>
              <w:spacing w:after="40"/>
            </w:pPr>
            <w:r>
              <w:rPr>
                <w:b w:val="false"/>
                <w:bCs w:val="false"/>
                <w:sz w:val="19"/>
                <w:szCs w:val="19"/>
              </w:rPr>
              <w:t xml:space="preserve">Nursery sales to the cluster and VB-G RAM G works; convergence finance from year two</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Student component fails on geography</w:t>
            </w:r>
          </w:p>
        </w:tc>
        <w:tc>
          <w:tcPr>
            <w:tcW w:type="dxa" w:w="2604"/>
            <w:tcMar>
              <w:top w:type="dxa" w:w="60"/>
              <w:left w:type="dxa" w:w="90"/>
              <w:bottom w:type="dxa" w:w="60"/>
              <w:right w:type="dxa" w:w="90"/>
            </w:tcMar>
          </w:tcPr>
          <w:p>
            <w:pPr>
              <w:spacing w:after="40"/>
            </w:pPr>
            <w:r>
              <w:rPr>
                <w:b w:val="false"/>
                <w:bCs w:val="false"/>
                <w:sz w:val="19"/>
                <w:szCs w:val="19"/>
              </w:rPr>
              <w:t xml:space="preserve">Attrition; education objective missed</w:t>
            </w:r>
          </w:p>
        </w:tc>
        <w:tc>
          <w:tcPr>
            <w:tcW w:type="dxa" w:w="3992"/>
            <w:tcMar>
              <w:top w:type="dxa" w:w="60"/>
              <w:left w:type="dxa" w:w="90"/>
              <w:bottom w:type="dxa" w:w="60"/>
              <w:right w:type="dxa" w:w="90"/>
            </w:tcMar>
          </w:tcPr>
          <w:p>
            <w:pPr>
              <w:spacing w:after="40"/>
            </w:pPr>
            <w:r>
              <w:rPr>
                <w:b w:val="false"/>
                <w:bCs w:val="false"/>
                <w:sz w:val="19"/>
                <w:szCs w:val="19"/>
              </w:rPr>
              <w:t xml:space="preserve">Blended delivery piloted and reviewed; connectivity verified</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Cadre roles end with the grant</w:t>
            </w:r>
          </w:p>
        </w:tc>
        <w:tc>
          <w:tcPr>
            <w:tcW w:type="dxa" w:w="2604"/>
            <w:tcMar>
              <w:top w:type="dxa" w:w="60"/>
              <w:left w:type="dxa" w:w="90"/>
              <w:bottom w:type="dxa" w:w="60"/>
              <w:right w:type="dxa" w:w="90"/>
            </w:tcMar>
          </w:tcPr>
          <w:p>
            <w:pPr>
              <w:spacing w:after="40"/>
            </w:pPr>
            <w:r>
              <w:rPr>
                <w:b w:val="false"/>
                <w:bCs w:val="false"/>
                <w:sz w:val="19"/>
                <w:szCs w:val="19"/>
              </w:rPr>
              <w:t xml:space="preserve">Capacity dissipates</w:t>
            </w:r>
          </w:p>
        </w:tc>
        <w:tc>
          <w:tcPr>
            <w:tcW w:type="dxa" w:w="3992"/>
            <w:tcMar>
              <w:top w:type="dxa" w:w="60"/>
              <w:left w:type="dxa" w:w="90"/>
              <w:bottom w:type="dxa" w:w="60"/>
              <w:right w:type="dxa" w:w="90"/>
            </w:tcMar>
          </w:tcPr>
          <w:p>
            <w:pPr>
              <w:spacing w:after="40"/>
            </w:pPr>
            <w:r>
              <w:rPr>
                <w:b w:val="false"/>
                <w:bCs w:val="false"/>
                <w:sz w:val="19"/>
                <w:szCs w:val="19"/>
              </w:rPr>
              <w:t xml:space="preserve">Post-grant income lines; government certification</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Delay in scheme convergence</w:t>
            </w:r>
          </w:p>
        </w:tc>
        <w:tc>
          <w:tcPr>
            <w:tcW w:type="dxa" w:w="2604"/>
            <w:tcMar>
              <w:top w:type="dxa" w:w="60"/>
              <w:left w:type="dxa" w:w="90"/>
              <w:bottom w:type="dxa" w:w="60"/>
              <w:right w:type="dxa" w:w="90"/>
            </w:tcMar>
          </w:tcPr>
          <w:p>
            <w:pPr>
              <w:spacing w:after="40"/>
            </w:pPr>
            <w:r>
              <w:rPr>
                <w:b w:val="false"/>
                <w:bCs w:val="false"/>
                <w:sz w:val="19"/>
                <w:szCs w:val="19"/>
              </w:rPr>
              <w:t xml:space="preserve">Year two stalls</w:t>
            </w:r>
          </w:p>
        </w:tc>
        <w:tc>
          <w:tcPr>
            <w:tcW w:type="dxa" w:w="3992"/>
            <w:tcMar>
              <w:top w:type="dxa" w:w="60"/>
              <w:left w:type="dxa" w:w="90"/>
              <w:bottom w:type="dxa" w:w="60"/>
              <w:right w:type="dxa" w:w="90"/>
            </w:tcMar>
          </w:tcPr>
          <w:p>
            <w:pPr>
              <w:spacing w:after="40"/>
            </w:pPr>
            <w:r>
              <w:rPr>
                <w:b w:val="false"/>
                <w:bCs w:val="false"/>
                <w:sz w:val="19"/>
                <w:szCs w:val="19"/>
              </w:rPr>
              <w:t xml:space="preserve">Several routes per project; documents ready before application windows</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Data protection failure</w:t>
            </w:r>
          </w:p>
        </w:tc>
        <w:tc>
          <w:tcPr>
            <w:tcW w:type="dxa" w:w="2604"/>
            <w:tcMar>
              <w:top w:type="dxa" w:w="60"/>
              <w:left w:type="dxa" w:w="90"/>
              <w:bottom w:type="dxa" w:w="60"/>
              <w:right w:type="dxa" w:w="90"/>
            </w:tcMar>
          </w:tcPr>
          <w:p>
            <w:pPr>
              <w:spacing w:after="40"/>
            </w:pPr>
            <w:r>
              <w:rPr>
                <w:b w:val="false"/>
                <w:bCs w:val="false"/>
                <w:sz w:val="19"/>
                <w:szCs w:val="19"/>
              </w:rPr>
              <w:t xml:space="preserve">Harm to residents; reputational exposure</w:t>
            </w:r>
          </w:p>
        </w:tc>
        <w:tc>
          <w:tcPr>
            <w:tcW w:type="dxa" w:w="3992"/>
            <w:tcMar>
              <w:top w:type="dxa" w:w="60"/>
              <w:left w:type="dxa" w:w="90"/>
              <w:bottom w:type="dxa" w:w="60"/>
              <w:right w:type="dxa" w:w="90"/>
            </w:tcMar>
          </w:tcPr>
          <w:p>
            <w:pPr>
              <w:spacing w:after="40"/>
            </w:pPr>
            <w:r>
              <w:rPr>
                <w:b w:val="false"/>
                <w:bCs w:val="false"/>
                <w:sz w:val="19"/>
                <w:szCs w:val="19"/>
              </w:rPr>
              <w:t xml:space="preserve">Panchayat as fiduciary; consent, access and retention before release</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No applicable carbon methodology; aggregation below viable volume</w:t>
            </w:r>
          </w:p>
        </w:tc>
        <w:tc>
          <w:tcPr>
            <w:tcW w:type="dxa" w:w="2604"/>
            <w:tcMar>
              <w:top w:type="dxa" w:w="60"/>
              <w:left w:type="dxa" w:w="90"/>
              <w:bottom w:type="dxa" w:w="60"/>
              <w:right w:type="dxa" w:w="90"/>
            </w:tcMar>
          </w:tcPr>
          <w:p>
            <w:pPr>
              <w:spacing w:after="40"/>
            </w:pPr>
            <w:r>
              <w:rPr>
                <w:b w:val="false"/>
                <w:bCs w:val="false"/>
                <w:sz w:val="19"/>
                <w:szCs w:val="19"/>
              </w:rPr>
              <w:t xml:space="preserve">Balance sheet without revenue</w:t>
            </w:r>
          </w:p>
        </w:tc>
        <w:tc>
          <w:tcPr>
            <w:tcW w:type="dxa" w:w="3992"/>
            <w:tcMar>
              <w:top w:type="dxa" w:w="60"/>
              <w:left w:type="dxa" w:w="90"/>
              <w:bottom w:type="dxa" w:w="60"/>
              <w:right w:type="dxa" w:w="90"/>
            </w:tcMar>
          </w:tcPr>
          <w:p>
            <w:pPr>
              <w:spacing w:after="40"/>
            </w:pPr>
            <w:r>
              <w:rPr>
                <w:b w:val="false"/>
                <w:bCs w:val="false"/>
                <w:sz w:val="19"/>
                <w:szCs w:val="19"/>
              </w:rPr>
              <w:t xml:space="preserve">Registry-agnostic design; voluntary standards; cluster aggregation; open source</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Carbon claimed without real reduction</w:t>
            </w:r>
          </w:p>
        </w:tc>
        <w:tc>
          <w:tcPr>
            <w:tcW w:type="dxa" w:w="2604"/>
            <w:tcMar>
              <w:top w:type="dxa" w:w="60"/>
              <w:left w:type="dxa" w:w="90"/>
              <w:bottom w:type="dxa" w:w="60"/>
              <w:right w:type="dxa" w:w="90"/>
            </w:tcMar>
          </w:tcPr>
          <w:p>
            <w:pPr>
              <w:spacing w:after="40"/>
            </w:pPr>
            <w:r>
              <w:rPr>
                <w:b w:val="false"/>
                <w:bCs w:val="false"/>
                <w:sz w:val="19"/>
                <w:szCs w:val="19"/>
              </w:rPr>
              <w:t xml:space="preserve">Reputational damage to all parties</w:t>
            </w:r>
          </w:p>
        </w:tc>
        <w:tc>
          <w:tcPr>
            <w:tcW w:type="dxa" w:w="3992"/>
            <w:tcMar>
              <w:top w:type="dxa" w:w="60"/>
              <w:left w:type="dxa" w:w="90"/>
              <w:bottom w:type="dxa" w:w="60"/>
              <w:right w:type="dxa" w:w="90"/>
            </w:tcMar>
          </w:tcPr>
          <w:p>
            <w:pPr>
              <w:spacing w:after="40"/>
            </w:pPr>
            <w:r>
              <w:rPr>
                <w:b w:val="false"/>
                <w:bCs w:val="false"/>
                <w:sz w:val="19"/>
                <w:szCs w:val="19"/>
              </w:rPr>
              <w:t xml:space="preserve">Conservative defaults; volumes never merged; independent verification</w:t>
            </w:r>
          </w:p>
        </w:tc>
      </w:tr>
      <w:tr>
        <w:trPr>
          <w:cantSplit/>
        </w:trPr>
        <w:tc>
          <w:tcPr>
            <w:tcW w:type="dxa" w:w="2430"/>
            <w:tcMar>
              <w:top w:type="dxa" w:w="60"/>
              <w:left w:type="dxa" w:w="90"/>
              <w:bottom w:type="dxa" w:w="60"/>
              <w:right w:type="dxa" w:w="90"/>
            </w:tcMar>
          </w:tcPr>
          <w:p>
            <w:pPr>
              <w:spacing w:after="40"/>
            </w:pPr>
            <w:r>
              <w:rPr>
                <w:b w:val="false"/>
                <w:bCs w:val="false"/>
                <w:sz w:val="19"/>
                <w:szCs w:val="19"/>
              </w:rPr>
              <w:t xml:space="preserve">Health access depends on facilities outside the panchayat</w:t>
            </w:r>
          </w:p>
        </w:tc>
        <w:tc>
          <w:tcPr>
            <w:tcW w:type="dxa" w:w="2604"/>
            <w:tcMar>
              <w:top w:type="dxa" w:w="60"/>
              <w:left w:type="dxa" w:w="90"/>
              <w:bottom w:type="dxa" w:w="60"/>
              <w:right w:type="dxa" w:w="90"/>
            </w:tcMar>
          </w:tcPr>
          <w:p>
            <w:pPr>
              <w:spacing w:after="40"/>
            </w:pPr>
            <w:r>
              <w:rPr>
                <w:b w:val="false"/>
                <w:bCs w:val="false"/>
                <w:sz w:val="19"/>
                <w:szCs w:val="19"/>
              </w:rPr>
              <w:t xml:space="preserve">Health objective half met</w:t>
            </w:r>
          </w:p>
        </w:tc>
        <w:tc>
          <w:tcPr>
            <w:tcW w:type="dxa" w:w="3992"/>
            <w:tcMar>
              <w:top w:type="dxa" w:w="60"/>
              <w:left w:type="dxa" w:w="90"/>
              <w:bottom w:type="dxa" w:w="60"/>
              <w:right w:type="dxa" w:w="90"/>
            </w:tcMar>
          </w:tcPr>
          <w:p>
            <w:pPr>
              <w:spacing w:after="40"/>
            </w:pPr>
            <w:r>
              <w:rPr>
                <w:b w:val="false"/>
                <w:bCs w:val="false"/>
                <w:sz w:val="19"/>
                <w:szCs w:val="19"/>
              </w:rPr>
              <w:t xml:space="preserve">Gap analysis addressed to the district; enrolment as the year-one deliverable</w:t>
            </w:r>
          </w:p>
        </w:tc>
      </w:tr>
    </w:tbl>
    <w:p>
      <w:pPr>
        <w:spacing w:after="80"/>
      </w:pPr>
    </w:p>
    <w:p>
      <w:pPr>
        <w:pStyle w:val="Heading1"/>
        <w:keepNext/>
        <w:spacing w:after="140" w:before="300"/>
      </w:pPr>
      <w:r>
        <w:t xml:space="preserve">15. Budget</w:t>
      </w:r>
    </w:p>
    <w:p>
      <w:pPr>
        <w:spacing w:after="120" w:line="276"/>
        <w:jc w:val="both"/>
      </w:pPr>
      <w:r>
        <w:t xml:space="preserve">Human capital and Project 1 are costed. Platform and programme-management lines are being developed with VNIT Nagpur and local stakeholders so that unit costs reflect local conditions. The detailed Project 1 model is in the accompanying workbook.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92"/>
        <w:gridCol w:w="6334"/>
        <w:gridCol w:w="1900"/>
      </w:tblGrid>
      <w:tr>
        <w:trPr>
          <w:tblHeader/>
        </w:trPr>
        <w:tc>
          <w:tcPr>
            <w:tcW w:type="dxa" w:w="792"/>
            <w:shd w:fill="EAF1EE" w:color="auto" w:val="clear"/>
            <w:tcMar>
              <w:top w:type="dxa" w:w="60"/>
              <w:left w:type="dxa" w:w="90"/>
              <w:bottom w:type="dxa" w:w="60"/>
              <w:right w:type="dxa" w:w="90"/>
            </w:tcMar>
          </w:tcPr>
          <w:p>
            <w:pPr>
              <w:spacing w:after="40"/>
            </w:pPr>
            <w:r>
              <w:rPr>
                <w:b/>
                <w:bCs/>
                <w:sz w:val="19"/>
                <w:szCs w:val="19"/>
              </w:rPr>
              <w:t xml:space="preserve">Ref</w:t>
            </w:r>
          </w:p>
        </w:tc>
        <w:tc>
          <w:tcPr>
            <w:tcW w:type="dxa" w:w="6334"/>
            <w:shd w:fill="EAF1EE" w:color="auto" w:val="clear"/>
            <w:tcMar>
              <w:top w:type="dxa" w:w="60"/>
              <w:left w:type="dxa" w:w="90"/>
              <w:bottom w:type="dxa" w:w="60"/>
              <w:right w:type="dxa" w:w="90"/>
            </w:tcMar>
          </w:tcPr>
          <w:p>
            <w:pPr>
              <w:spacing w:after="40"/>
            </w:pPr>
            <w:r>
              <w:rPr>
                <w:b/>
                <w:bCs/>
                <w:sz w:val="19"/>
                <w:szCs w:val="19"/>
              </w:rPr>
              <w:t xml:space="preserve">Component</w:t>
            </w:r>
          </w:p>
        </w:tc>
        <w:tc>
          <w:tcPr>
            <w:tcW w:type="dxa" w:w="1900"/>
            <w:shd w:fill="EAF1EE" w:color="auto" w:val="clear"/>
            <w:tcMar>
              <w:top w:type="dxa" w:w="60"/>
              <w:left w:type="dxa" w:w="90"/>
              <w:bottom w:type="dxa" w:w="60"/>
              <w:right w:type="dxa" w:w="90"/>
            </w:tcMar>
          </w:tcPr>
          <w:p>
            <w:pPr>
              <w:spacing w:after="40"/>
            </w:pPr>
            <w:r>
              <w:rPr>
                <w:b/>
                <w:bCs/>
                <w:sz w:val="19"/>
                <w:szCs w:val="19"/>
              </w:rPr>
              <w:t xml:space="preserve">Amount (₹)</w:t>
            </w:r>
          </w:p>
        </w:tc>
      </w:tr>
      <w:tr>
        <w:trPr>
          <w:cantSplit/>
        </w:trPr>
        <w:tc>
          <w:tcPr>
            <w:tcW w:type="dxa" w:w="792"/>
            <w:shd w:fill="F7F9F8" w:color="auto" w:val="clear"/>
            <w:tcMar>
              <w:top w:type="dxa" w:w="60"/>
              <w:left w:type="dxa" w:w="90"/>
              <w:bottom w:type="dxa" w:w="60"/>
              <w:right w:type="dxa" w:w="90"/>
            </w:tcMar>
          </w:tcPr>
          <w:p>
            <w:pPr>
              <w:spacing w:after="40"/>
            </w:pPr>
            <w:r>
              <w:rPr>
                <w:b/>
                <w:bCs/>
                <w:sz w:val="19"/>
                <w:szCs w:val="19"/>
              </w:rPr>
              <w:t xml:space="preserve">A</w:t>
            </w:r>
          </w:p>
        </w:tc>
        <w:tc>
          <w:tcPr>
            <w:tcW w:type="dxa" w:w="6334"/>
            <w:shd w:fill="F7F9F8" w:color="auto" w:val="clear"/>
            <w:tcMar>
              <w:top w:type="dxa" w:w="60"/>
              <w:left w:type="dxa" w:w="90"/>
              <w:bottom w:type="dxa" w:w="60"/>
              <w:right w:type="dxa" w:w="90"/>
            </w:tcMar>
          </w:tcPr>
          <w:p>
            <w:pPr>
              <w:spacing w:after="40"/>
            </w:pPr>
            <w:r>
              <w:rPr>
                <w:b/>
                <w:bCs/>
                <w:sz w:val="19"/>
                <w:szCs w:val="19"/>
              </w:rPr>
              <w:t xml:space="preserve">Human capital</w:t>
            </w:r>
          </w:p>
        </w:tc>
        <w:tc>
          <w:tcPr>
            <w:tcW w:type="dxa" w:w="1900"/>
            <w:shd w:fill="F7F9F8" w:color="auto" w:val="clear"/>
            <w:tcMar>
              <w:top w:type="dxa" w:w="60"/>
              <w:left w:type="dxa" w:w="90"/>
              <w:bottom w:type="dxa" w:w="60"/>
              <w:right w:type="dxa" w:w="90"/>
            </w:tcMar>
          </w:tcPr>
          <w:p>
            <w:pPr>
              <w:spacing w:after="40"/>
            </w:pPr>
            <w:r>
              <w:rPr>
                <w:b/>
                <w:bCs/>
                <w:sz w:val="19"/>
                <w:szCs w:val="19"/>
              </w:rPr>
              <w:t xml:space="preserve">24,30,000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A1</w:t>
            </w:r>
          </w:p>
        </w:tc>
        <w:tc>
          <w:tcPr>
            <w:tcW w:type="dxa" w:w="6334"/>
            <w:tcMar>
              <w:top w:type="dxa" w:w="60"/>
              <w:left w:type="dxa" w:w="90"/>
              <w:bottom w:type="dxa" w:w="60"/>
              <w:right w:type="dxa" w:w="90"/>
            </w:tcMar>
          </w:tcPr>
          <w:p>
            <w:pPr>
              <w:spacing w:after="40"/>
            </w:pPr>
            <w:r>
              <w:rPr>
                <w:b w:val="false"/>
                <w:bCs w:val="false"/>
                <w:sz w:val="19"/>
                <w:szCs w:val="19"/>
              </w:rPr>
              <w:t xml:space="preserve">Cadre training — 20 women across five cadres; 10 days a month at ₹500 a day for 12 months, including certification linkage</w:t>
            </w:r>
          </w:p>
        </w:tc>
        <w:tc>
          <w:tcPr>
            <w:tcW w:type="dxa" w:w="1900"/>
            <w:tcMar>
              <w:top w:type="dxa" w:w="60"/>
              <w:left w:type="dxa" w:w="90"/>
              <w:bottom w:type="dxa" w:w="60"/>
              <w:right w:type="dxa" w:w="90"/>
            </w:tcMar>
          </w:tcPr>
          <w:p>
            <w:pPr>
              <w:spacing w:after="40"/>
            </w:pPr>
            <w:r>
              <w:rPr>
                <w:b w:val="false"/>
                <w:bCs w:val="false"/>
                <w:sz w:val="19"/>
                <w:szCs w:val="19"/>
              </w:rPr>
              <w:t xml:space="preserve">12,00,000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A2</w:t>
            </w:r>
          </w:p>
        </w:tc>
        <w:tc>
          <w:tcPr>
            <w:tcW w:type="dxa" w:w="6334"/>
            <w:tcMar>
              <w:top w:type="dxa" w:w="60"/>
              <w:left w:type="dxa" w:w="90"/>
              <w:bottom w:type="dxa" w:w="60"/>
              <w:right w:type="dxa" w:w="90"/>
            </w:tcMar>
          </w:tcPr>
          <w:p>
            <w:pPr>
              <w:spacing w:after="40"/>
            </w:pPr>
            <w:r>
              <w:rPr>
                <w:b w:val="false"/>
                <w:bCs w:val="false"/>
                <w:sz w:val="19"/>
                <w:szCs w:val="19"/>
              </w:rPr>
              <w:t xml:space="preserve">Student programme — materials, connectivity, contact sessions and classroom smart devices</w:t>
            </w:r>
          </w:p>
        </w:tc>
        <w:tc>
          <w:tcPr>
            <w:tcW w:type="dxa" w:w="1900"/>
            <w:tcMar>
              <w:top w:type="dxa" w:w="60"/>
              <w:left w:type="dxa" w:w="90"/>
              <w:bottom w:type="dxa" w:w="60"/>
              <w:right w:type="dxa" w:w="90"/>
            </w:tcMar>
          </w:tcPr>
          <w:p>
            <w:pPr>
              <w:spacing w:after="40"/>
            </w:pPr>
            <w:r>
              <w:rPr>
                <w:b w:val="false"/>
                <w:bCs w:val="false"/>
                <w:sz w:val="19"/>
                <w:szCs w:val="19"/>
              </w:rPr>
              <w:t xml:space="preserve">3,00,000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A3</w:t>
            </w:r>
          </w:p>
        </w:tc>
        <w:tc>
          <w:tcPr>
            <w:tcW w:type="dxa" w:w="6334"/>
            <w:tcMar>
              <w:top w:type="dxa" w:w="60"/>
              <w:left w:type="dxa" w:w="90"/>
              <w:bottom w:type="dxa" w:w="60"/>
              <w:right w:type="dxa" w:w="90"/>
            </w:tcMar>
          </w:tcPr>
          <w:p>
            <w:pPr>
              <w:spacing w:after="40"/>
            </w:pPr>
            <w:r>
              <w:rPr>
                <w:b w:val="false"/>
                <w:bCs w:val="false"/>
                <w:sz w:val="19"/>
                <w:szCs w:val="19"/>
              </w:rPr>
              <w:t xml:space="preserve">Tutor — 12 months at ₹10,000 a month</w:t>
            </w:r>
          </w:p>
        </w:tc>
        <w:tc>
          <w:tcPr>
            <w:tcW w:type="dxa" w:w="1900"/>
            <w:tcMar>
              <w:top w:type="dxa" w:w="60"/>
              <w:left w:type="dxa" w:w="90"/>
              <w:bottom w:type="dxa" w:w="60"/>
              <w:right w:type="dxa" w:w="90"/>
            </w:tcMar>
          </w:tcPr>
          <w:p>
            <w:pPr>
              <w:spacing w:after="40"/>
            </w:pPr>
            <w:r>
              <w:rPr>
                <w:b w:val="false"/>
                <w:bCs w:val="false"/>
                <w:sz w:val="19"/>
                <w:szCs w:val="19"/>
              </w:rPr>
              <w:t xml:space="preserve">1,20,000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A4</w:t>
            </w:r>
          </w:p>
        </w:tc>
        <w:tc>
          <w:tcPr>
            <w:tcW w:type="dxa" w:w="6334"/>
            <w:tcMar>
              <w:top w:type="dxa" w:w="60"/>
              <w:left w:type="dxa" w:w="90"/>
              <w:bottom w:type="dxa" w:w="60"/>
              <w:right w:type="dxa" w:w="90"/>
            </w:tcMar>
          </w:tcPr>
          <w:p>
            <w:pPr>
              <w:spacing w:after="40"/>
            </w:pPr>
            <w:r>
              <w:rPr>
                <w:b w:val="false"/>
                <w:bCs w:val="false"/>
                <w:sz w:val="19"/>
                <w:szCs w:val="19"/>
              </w:rPr>
              <w:t xml:space="preserve">Intern stipends — 5 engineering at ₹5,000 a month for 12 months; 5 management at ₹7,000 a month for 6 months</w:t>
            </w:r>
          </w:p>
        </w:tc>
        <w:tc>
          <w:tcPr>
            <w:tcW w:type="dxa" w:w="1900"/>
            <w:tcMar>
              <w:top w:type="dxa" w:w="60"/>
              <w:left w:type="dxa" w:w="90"/>
              <w:bottom w:type="dxa" w:w="60"/>
              <w:right w:type="dxa" w:w="90"/>
            </w:tcMar>
          </w:tcPr>
          <w:p>
            <w:pPr>
              <w:spacing w:after="40"/>
            </w:pPr>
            <w:r>
              <w:rPr>
                <w:b w:val="false"/>
                <w:bCs w:val="false"/>
                <w:sz w:val="19"/>
                <w:szCs w:val="19"/>
              </w:rPr>
              <w:t xml:space="preserve">5,10,000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A5</w:t>
            </w:r>
          </w:p>
        </w:tc>
        <w:tc>
          <w:tcPr>
            <w:tcW w:type="dxa" w:w="6334"/>
            <w:tcMar>
              <w:top w:type="dxa" w:w="60"/>
              <w:left w:type="dxa" w:w="90"/>
              <w:bottom w:type="dxa" w:w="60"/>
              <w:right w:type="dxa" w:w="90"/>
            </w:tcMar>
          </w:tcPr>
          <w:p>
            <w:pPr>
              <w:spacing w:after="40"/>
            </w:pPr>
            <w:r>
              <w:rPr>
                <w:b w:val="false"/>
                <w:bCs w:val="false"/>
                <w:sz w:val="19"/>
                <w:szCs w:val="19"/>
              </w:rPr>
              <w:t xml:space="preserve">Master training, exposure visits and cascade training</w:t>
            </w:r>
          </w:p>
        </w:tc>
        <w:tc>
          <w:tcPr>
            <w:tcW w:type="dxa" w:w="1900"/>
            <w:tcMar>
              <w:top w:type="dxa" w:w="60"/>
              <w:left w:type="dxa" w:w="90"/>
              <w:bottom w:type="dxa" w:w="60"/>
              <w:right w:type="dxa" w:w="90"/>
            </w:tcMar>
          </w:tcPr>
          <w:p>
            <w:pPr>
              <w:spacing w:after="40"/>
            </w:pPr>
            <w:r>
              <w:rPr>
                <w:b w:val="false"/>
                <w:bCs w:val="false"/>
                <w:sz w:val="19"/>
                <w:szCs w:val="19"/>
              </w:rPr>
              <w:t xml:space="preserve">3,00,000</w:t>
            </w:r>
          </w:p>
        </w:tc>
      </w:tr>
      <w:tr>
        <w:trPr>
          <w:cantSplit/>
        </w:trPr>
        <w:tc>
          <w:tcPr>
            <w:tcW w:type="dxa" w:w="792"/>
            <w:shd w:fill="F7F9F8" w:color="auto" w:val="clear"/>
            <w:tcMar>
              <w:top w:type="dxa" w:w="60"/>
              <w:left w:type="dxa" w:w="90"/>
              <w:bottom w:type="dxa" w:w="60"/>
              <w:right w:type="dxa" w:w="90"/>
            </w:tcMar>
          </w:tcPr>
          <w:p>
            <w:pPr>
              <w:spacing w:after="40"/>
            </w:pPr>
            <w:r>
              <w:rPr>
                <w:b/>
                <w:bCs/>
                <w:sz w:val="19"/>
                <w:szCs w:val="19"/>
              </w:rPr>
              <w:t xml:space="preserve">B</w:t>
            </w:r>
          </w:p>
        </w:tc>
        <w:tc>
          <w:tcPr>
            <w:tcW w:type="dxa" w:w="6334"/>
            <w:shd w:fill="F7F9F8" w:color="auto" w:val="clear"/>
            <w:tcMar>
              <w:top w:type="dxa" w:w="60"/>
              <w:left w:type="dxa" w:w="90"/>
              <w:bottom w:type="dxa" w:w="60"/>
              <w:right w:type="dxa" w:w="90"/>
            </w:tcMar>
          </w:tcPr>
          <w:p>
            <w:pPr>
              <w:spacing w:after="40"/>
            </w:pPr>
            <w:r>
              <w:rPr>
                <w:b/>
                <w:bCs/>
                <w:sz w:val="19"/>
                <w:szCs w:val="19"/>
              </w:rPr>
              <w:t xml:space="preserve">Platform customisation and deployment — B1 to B8 (section 5.3)</w:t>
            </w:r>
          </w:p>
        </w:tc>
        <w:tc>
          <w:tcPr>
            <w:tcW w:type="dxa" w:w="1900"/>
            <w:shd w:fill="F7F9F8" w:color="auto" w:val="clear"/>
            <w:tcMar>
              <w:top w:type="dxa" w:w="60"/>
              <w:left w:type="dxa" w:w="90"/>
              <w:bottom w:type="dxa" w:w="60"/>
              <w:right w:type="dxa" w:w="90"/>
            </w:tcMar>
          </w:tcPr>
          <w:p>
            <w:pPr>
              <w:spacing w:after="40"/>
            </w:pPr>
            <w:r>
              <w:rPr>
                <w:b/>
                <w:bCs/>
                <w:sz w:val="19"/>
                <w:szCs w:val="19"/>
              </w:rPr>
              <w:t xml:space="preserve">[to be finalised]</w:t>
            </w:r>
          </w:p>
        </w:tc>
      </w:tr>
      <w:tr>
        <w:trPr>
          <w:cantSplit/>
        </w:trPr>
        <w:tc>
          <w:tcPr>
            <w:tcW w:type="dxa" w:w="792"/>
            <w:shd w:fill="F7F9F8" w:color="auto" w:val="clear"/>
            <w:tcMar>
              <w:top w:type="dxa" w:w="60"/>
              <w:left w:type="dxa" w:w="90"/>
              <w:bottom w:type="dxa" w:w="60"/>
              <w:right w:type="dxa" w:w="90"/>
            </w:tcMar>
          </w:tcPr>
          <w:p>
            <w:pPr>
              <w:spacing w:after="40"/>
            </w:pPr>
            <w:r>
              <w:rPr>
                <w:b/>
                <w:bCs/>
                <w:sz w:val="19"/>
                <w:szCs w:val="19"/>
              </w:rPr>
              <w:t xml:space="preserve">C</w:t>
            </w:r>
          </w:p>
        </w:tc>
        <w:tc>
          <w:tcPr>
            <w:tcW w:type="dxa" w:w="6334"/>
            <w:shd w:fill="F7F9F8" w:color="auto" w:val="clear"/>
            <w:tcMar>
              <w:top w:type="dxa" w:w="60"/>
              <w:left w:type="dxa" w:w="90"/>
              <w:bottom w:type="dxa" w:w="60"/>
              <w:right w:type="dxa" w:w="90"/>
            </w:tcMar>
          </w:tcPr>
          <w:p>
            <w:pPr>
              <w:spacing w:after="40"/>
            </w:pPr>
            <w:r>
              <w:rPr>
                <w:b/>
                <w:bCs/>
                <w:sz w:val="19"/>
                <w:szCs w:val="19"/>
              </w:rPr>
              <w:t xml:space="preserve">Baselines and project preparation — delivered by the trained cadre, mentored by UrjaGram</w:t>
            </w:r>
          </w:p>
        </w:tc>
        <w:tc>
          <w:tcPr>
            <w:tcW w:type="dxa" w:w="1900"/>
            <w:shd w:fill="F7F9F8" w:color="auto" w:val="clear"/>
            <w:tcMar>
              <w:top w:type="dxa" w:w="60"/>
              <w:left w:type="dxa" w:w="90"/>
              <w:bottom w:type="dxa" w:w="60"/>
              <w:right w:type="dxa" w:w="90"/>
            </w:tcMar>
          </w:tcPr>
          <w:p>
            <w:pPr>
              <w:spacing w:after="40"/>
            </w:pPr>
            <w:r>
              <w:rPr>
                <w:b/>
                <w:bCs/>
                <w:sz w:val="19"/>
                <w:szCs w:val="19"/>
              </w:rPr>
              <w:t xml:space="preserve">Nil</w:t>
            </w:r>
          </w:p>
        </w:tc>
      </w:tr>
      <w:tr>
        <w:trPr>
          <w:cantSplit/>
        </w:trPr>
        <w:tc>
          <w:tcPr>
            <w:tcW w:type="dxa" w:w="792"/>
            <w:shd w:fill="F7F9F8" w:color="auto" w:val="clear"/>
            <w:tcMar>
              <w:top w:type="dxa" w:w="60"/>
              <w:left w:type="dxa" w:w="90"/>
              <w:bottom w:type="dxa" w:w="60"/>
              <w:right w:type="dxa" w:w="90"/>
            </w:tcMar>
          </w:tcPr>
          <w:p>
            <w:pPr>
              <w:spacing w:after="40"/>
            </w:pPr>
            <w:r>
              <w:rPr>
                <w:b/>
                <w:bCs/>
                <w:sz w:val="19"/>
                <w:szCs w:val="19"/>
              </w:rPr>
              <w:t xml:space="preserve">D</w:t>
            </w:r>
          </w:p>
        </w:tc>
        <w:tc>
          <w:tcPr>
            <w:tcW w:type="dxa" w:w="6334"/>
            <w:shd w:fill="F7F9F8" w:color="auto" w:val="clear"/>
            <w:tcMar>
              <w:top w:type="dxa" w:w="60"/>
              <w:left w:type="dxa" w:w="90"/>
              <w:bottom w:type="dxa" w:w="60"/>
              <w:right w:type="dxa" w:w="90"/>
            </w:tcMar>
          </w:tcPr>
          <w:p>
            <w:pPr>
              <w:spacing w:after="40"/>
            </w:pPr>
            <w:r>
              <w:rPr>
                <w:b/>
                <w:bCs/>
                <w:sz w:val="19"/>
                <w:szCs w:val="19"/>
              </w:rPr>
              <w:t xml:space="preserve">Project 1 — hub nursery and demonstration site (Annex D)</w:t>
            </w:r>
          </w:p>
        </w:tc>
        <w:tc>
          <w:tcPr>
            <w:tcW w:type="dxa" w:w="1900"/>
            <w:shd w:fill="F7F9F8" w:color="auto" w:val="clear"/>
            <w:tcMar>
              <w:top w:type="dxa" w:w="60"/>
              <w:left w:type="dxa" w:w="90"/>
              <w:bottom w:type="dxa" w:w="60"/>
              <w:right w:type="dxa" w:w="90"/>
            </w:tcMar>
          </w:tcPr>
          <w:p>
            <w:pPr>
              <w:spacing w:after="40"/>
            </w:pPr>
            <w:r>
              <w:rPr>
                <w:b/>
                <w:bCs/>
                <w:sz w:val="19"/>
                <w:szCs w:val="19"/>
              </w:rPr>
              <w:t xml:space="preserve">1,81,46,200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D1</w:t>
            </w:r>
          </w:p>
        </w:tc>
        <w:tc>
          <w:tcPr>
            <w:tcW w:type="dxa" w:w="6334"/>
            <w:tcMar>
              <w:top w:type="dxa" w:w="60"/>
              <w:left w:type="dxa" w:w="90"/>
              <w:bottom w:type="dxa" w:w="60"/>
              <w:right w:type="dxa" w:w="90"/>
            </w:tcMar>
          </w:tcPr>
          <w:p>
            <w:pPr>
              <w:spacing w:after="40"/>
            </w:pPr>
            <w:r>
              <w:rPr>
                <w:b w:val="false"/>
                <w:bCs w:val="false"/>
                <w:sz w:val="19"/>
                <w:szCs w:val="19"/>
              </w:rPr>
              <w:t xml:space="preserve">Capital expenditure — site preparation, nursery structures, water source, drip irrigation, fencing, power, equipment, establishment staff</w:t>
            </w:r>
          </w:p>
        </w:tc>
        <w:tc>
          <w:tcPr>
            <w:tcW w:type="dxa" w:w="1900"/>
            <w:tcMar>
              <w:top w:type="dxa" w:w="60"/>
              <w:left w:type="dxa" w:w="90"/>
              <w:bottom w:type="dxa" w:w="60"/>
              <w:right w:type="dxa" w:w="90"/>
            </w:tcMar>
          </w:tcPr>
          <w:p>
            <w:pPr>
              <w:spacing w:after="40"/>
            </w:pPr>
            <w:r>
              <w:rPr>
                <w:b w:val="false"/>
                <w:bCs w:val="false"/>
                <w:sz w:val="19"/>
                <w:szCs w:val="19"/>
              </w:rPr>
              <w:t xml:space="preserve">1,65,06,000</w:t>
            </w:r>
          </w:p>
        </w:tc>
      </w:tr>
      <w:tr>
        <w:trPr>
          <w:cantSplit/>
        </w:trPr>
        <w:tc>
          <w:tcPr>
            <w:tcW w:type="dxa" w:w="792"/>
            <w:tcMar>
              <w:top w:type="dxa" w:w="60"/>
              <w:left w:type="dxa" w:w="90"/>
              <w:bottom w:type="dxa" w:w="60"/>
              <w:right w:type="dxa" w:w="90"/>
            </w:tcMar>
          </w:tcPr>
          <w:p>
            <w:pPr>
              <w:spacing w:after="40"/>
            </w:pPr>
            <w:r>
              <w:rPr>
                <w:b w:val="false"/>
                <w:bCs w:val="false"/>
                <w:sz w:val="19"/>
                <w:szCs w:val="19"/>
              </w:rPr>
              <w:t xml:space="preserve">D2</w:t>
            </w:r>
          </w:p>
        </w:tc>
        <w:tc>
          <w:tcPr>
            <w:tcW w:type="dxa" w:w="6334"/>
            <w:tcMar>
              <w:top w:type="dxa" w:w="60"/>
              <w:left w:type="dxa" w:w="90"/>
              <w:bottom w:type="dxa" w:w="60"/>
              <w:right w:type="dxa" w:w="90"/>
            </w:tcMar>
          </w:tcPr>
          <w:p>
            <w:pPr>
              <w:spacing w:after="40"/>
            </w:pPr>
            <w:r>
              <w:rPr>
                <w:b w:val="false"/>
                <w:bCs w:val="false"/>
                <w:sz w:val="19"/>
                <w:szCs w:val="19"/>
              </w:rPr>
              <w:t xml:space="preserve">Year-one operating shortfall (operation and maintenance less year-one sales)</w:t>
            </w:r>
          </w:p>
        </w:tc>
        <w:tc>
          <w:tcPr>
            <w:tcW w:type="dxa" w:w="1900"/>
            <w:tcMar>
              <w:top w:type="dxa" w:w="60"/>
              <w:left w:type="dxa" w:w="90"/>
              <w:bottom w:type="dxa" w:w="60"/>
              <w:right w:type="dxa" w:w="90"/>
            </w:tcMar>
          </w:tcPr>
          <w:p>
            <w:pPr>
              <w:spacing w:after="40"/>
            </w:pPr>
            <w:r>
              <w:rPr>
                <w:b w:val="false"/>
                <w:bCs w:val="false"/>
                <w:sz w:val="19"/>
                <w:szCs w:val="19"/>
              </w:rPr>
              <w:t xml:space="preserve">16,40,200</w:t>
            </w:r>
          </w:p>
        </w:tc>
      </w:tr>
      <w:tr>
        <w:trPr>
          <w:cantSplit/>
        </w:trPr>
        <w:tc>
          <w:tcPr>
            <w:tcW w:type="dxa" w:w="792"/>
            <w:shd w:fill="F7F9F8" w:color="auto" w:val="clear"/>
            <w:tcMar>
              <w:top w:type="dxa" w:w="60"/>
              <w:left w:type="dxa" w:w="90"/>
              <w:bottom w:type="dxa" w:w="60"/>
              <w:right w:type="dxa" w:w="90"/>
            </w:tcMar>
          </w:tcPr>
          <w:p>
            <w:pPr>
              <w:spacing w:after="40"/>
            </w:pPr>
            <w:r>
              <w:rPr>
                <w:b/>
                <w:bCs/>
                <w:sz w:val="19"/>
                <w:szCs w:val="19"/>
              </w:rPr>
              <w:t xml:space="preserve">E</w:t>
            </w:r>
          </w:p>
        </w:tc>
        <w:tc>
          <w:tcPr>
            <w:tcW w:type="dxa" w:w="6334"/>
            <w:shd w:fill="F7F9F8" w:color="auto" w:val="clear"/>
            <w:tcMar>
              <w:top w:type="dxa" w:w="60"/>
              <w:left w:type="dxa" w:w="90"/>
              <w:bottom w:type="dxa" w:w="60"/>
              <w:right w:type="dxa" w:w="90"/>
            </w:tcMar>
          </w:tcPr>
          <w:p>
            <w:pPr>
              <w:spacing w:after="40"/>
            </w:pPr>
            <w:r>
              <w:rPr>
                <w:b/>
                <w:bCs/>
                <w:sz w:val="19"/>
                <w:szCs w:val="19"/>
              </w:rPr>
              <w:t xml:space="preserve">Programme management — project manager, monitoring and reporting, audit</w:t>
            </w:r>
          </w:p>
        </w:tc>
        <w:tc>
          <w:tcPr>
            <w:tcW w:type="dxa" w:w="1900"/>
            <w:shd w:fill="F7F9F8" w:color="auto" w:val="clear"/>
            <w:tcMar>
              <w:top w:type="dxa" w:w="60"/>
              <w:left w:type="dxa" w:w="90"/>
              <w:bottom w:type="dxa" w:w="60"/>
              <w:right w:type="dxa" w:w="90"/>
            </w:tcMar>
          </w:tcPr>
          <w:p>
            <w:pPr>
              <w:spacing w:after="40"/>
            </w:pPr>
            <w:r>
              <w:rPr>
                <w:b/>
                <w:bCs/>
                <w:sz w:val="19"/>
                <w:szCs w:val="19"/>
              </w:rPr>
              <w:t xml:space="preserve">[to be finalised]</w:t>
            </w:r>
          </w:p>
        </w:tc>
      </w:tr>
      <w:tr>
        <w:trPr>
          <w:cantSplit/>
        </w:trPr>
        <w:tc>
          <w:tcPr>
            <w:tcW w:type="dxa" w:w="792"/>
            <w:shd w:fill="F7F9F8" w:color="auto" w:val="clear"/>
            <w:tcMar>
              <w:top w:type="dxa" w:w="60"/>
              <w:left w:type="dxa" w:w="90"/>
              <w:bottom w:type="dxa" w:w="60"/>
              <w:right w:type="dxa" w:w="90"/>
            </w:tcMar>
          </w:tcPr>
          <w:p>
            <w:pPr>
              <w:spacing w:after="40"/>
            </w:pPr>
          </w:p>
        </w:tc>
        <w:tc>
          <w:tcPr>
            <w:tcW w:type="dxa" w:w="6334"/>
            <w:shd w:fill="F7F9F8" w:color="auto" w:val="clear"/>
            <w:tcMar>
              <w:top w:type="dxa" w:w="60"/>
              <w:left w:type="dxa" w:w="90"/>
              <w:bottom w:type="dxa" w:w="60"/>
              <w:right w:type="dxa" w:w="90"/>
            </w:tcMar>
          </w:tcPr>
          <w:p>
            <w:pPr>
              <w:spacing w:after="40"/>
            </w:pPr>
            <w:r>
              <w:rPr>
                <w:b/>
                <w:bCs/>
                <w:sz w:val="19"/>
                <w:szCs w:val="19"/>
              </w:rPr>
              <w:t xml:space="preserve">Costed to date (A + D)</w:t>
            </w:r>
          </w:p>
        </w:tc>
        <w:tc>
          <w:tcPr>
            <w:tcW w:type="dxa" w:w="1900"/>
            <w:shd w:fill="F7F9F8" w:color="auto" w:val="clear"/>
            <w:tcMar>
              <w:top w:type="dxa" w:w="60"/>
              <w:left w:type="dxa" w:w="90"/>
              <w:bottom w:type="dxa" w:w="60"/>
              <w:right w:type="dxa" w:w="90"/>
            </w:tcMar>
          </w:tcPr>
          <w:p>
            <w:pPr>
              <w:spacing w:after="40"/>
            </w:pPr>
            <w:r>
              <w:rPr>
                <w:b/>
                <w:bCs/>
                <w:sz w:val="19"/>
                <w:szCs w:val="19"/>
              </w:rPr>
              <w:t xml:space="preserve">2,05,76,200</w:t>
            </w:r>
          </w:p>
        </w:tc>
      </w:tr>
      <w:tr>
        <w:trPr>
          <w:cantSplit/>
        </w:trPr>
        <w:tc>
          <w:tcPr>
            <w:tcW w:type="dxa" w:w="792"/>
            <w:shd w:fill="F7F9F8" w:color="auto" w:val="clear"/>
            <w:tcMar>
              <w:top w:type="dxa" w:w="60"/>
              <w:left w:type="dxa" w:w="90"/>
              <w:bottom w:type="dxa" w:w="60"/>
              <w:right w:type="dxa" w:w="90"/>
            </w:tcMar>
          </w:tcPr>
          <w:p>
            <w:pPr>
              <w:spacing w:after="40"/>
            </w:pPr>
          </w:p>
        </w:tc>
        <w:tc>
          <w:tcPr>
            <w:tcW w:type="dxa" w:w="6334"/>
            <w:shd w:fill="F7F9F8" w:color="auto" w:val="clear"/>
            <w:tcMar>
              <w:top w:type="dxa" w:w="60"/>
              <w:left w:type="dxa" w:w="90"/>
              <w:bottom w:type="dxa" w:w="60"/>
              <w:right w:type="dxa" w:w="90"/>
            </w:tcMar>
          </w:tcPr>
          <w:p>
            <w:pPr>
              <w:spacing w:after="40"/>
            </w:pPr>
            <w:r>
              <w:rPr>
                <w:b/>
                <w:bCs/>
                <w:sz w:val="19"/>
                <w:szCs w:val="19"/>
              </w:rPr>
              <w:t xml:space="preserve">Total grant sought</w:t>
            </w:r>
          </w:p>
        </w:tc>
        <w:tc>
          <w:tcPr>
            <w:tcW w:type="dxa" w:w="1900"/>
            <w:shd w:fill="F7F9F8" w:color="auto" w:val="clear"/>
            <w:tcMar>
              <w:top w:type="dxa" w:w="60"/>
              <w:left w:type="dxa" w:w="90"/>
              <w:bottom w:type="dxa" w:w="60"/>
              <w:right w:type="dxa" w:w="90"/>
            </w:tcMar>
          </w:tcPr>
          <w:p>
            <w:pPr>
              <w:spacing w:after="40"/>
            </w:pPr>
            <w:r>
              <w:rPr>
                <w:b/>
                <w:bCs/>
                <w:sz w:val="19"/>
                <w:szCs w:val="19"/>
              </w:rPr>
              <w:t xml:space="preserve">[on completion of B and E]</w:t>
            </w:r>
          </w:p>
        </w:tc>
      </w:tr>
    </w:tbl>
    <w:p>
      <w:pPr>
        <w:spacing w:after="80"/>
      </w:pPr>
    </w:p>
    <w:p>
      <w:pPr>
        <w:pStyle w:val="Heading2"/>
        <w:keepNext/>
        <w:spacing w:after="100" w:before="200"/>
      </w:pPr>
      <w:r>
        <w:t xml:space="preserve">15.1 Contributions in kind — not charged to the grant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887"/>
        <w:gridCol w:w="3139"/>
      </w:tblGrid>
      <w:tr>
        <w:trPr>
          <w:tblHeader/>
        </w:trPr>
        <w:tc>
          <w:tcPr>
            <w:tcW w:type="dxa" w:w="5887"/>
            <w:shd w:fill="EAF1EE" w:color="auto" w:val="clear"/>
            <w:tcMar>
              <w:top w:type="dxa" w:w="60"/>
              <w:left w:type="dxa" w:w="90"/>
              <w:bottom w:type="dxa" w:w="60"/>
              <w:right w:type="dxa" w:w="90"/>
            </w:tcMar>
          </w:tcPr>
          <w:p>
            <w:pPr>
              <w:spacing w:after="40"/>
            </w:pPr>
            <w:r>
              <w:rPr>
                <w:b/>
                <w:bCs/>
                <w:sz w:val="19"/>
                <w:szCs w:val="19"/>
              </w:rPr>
              <w:t xml:space="preserve">Contribution</w:t>
            </w:r>
          </w:p>
        </w:tc>
        <w:tc>
          <w:tcPr>
            <w:tcW w:type="dxa" w:w="3139"/>
            <w:shd w:fill="EAF1EE" w:color="auto" w:val="clear"/>
            <w:tcMar>
              <w:top w:type="dxa" w:w="60"/>
              <w:left w:type="dxa" w:w="90"/>
              <w:bottom w:type="dxa" w:w="60"/>
              <w:right w:type="dxa" w:w="90"/>
            </w:tcMar>
          </w:tcPr>
          <w:p>
            <w:pPr>
              <w:spacing w:after="40"/>
            </w:pPr>
            <w:r>
              <w:rPr>
                <w:b/>
                <w:bCs/>
                <w:sz w:val="19"/>
                <w:szCs w:val="19"/>
              </w:rPr>
              <w:t xml:space="preserve">Contributed by</w:t>
            </w:r>
          </w:p>
        </w:tc>
      </w:tr>
      <w:tr>
        <w:trPr>
          <w:cantSplit/>
        </w:trPr>
        <w:tc>
          <w:tcPr>
            <w:tcW w:type="dxa" w:w="5887"/>
            <w:tcMar>
              <w:top w:type="dxa" w:w="60"/>
              <w:left w:type="dxa" w:w="90"/>
              <w:bottom w:type="dxa" w:w="60"/>
              <w:right w:type="dxa" w:w="90"/>
            </w:tcMar>
          </w:tcPr>
          <w:p>
            <w:pPr>
              <w:spacing w:after="40"/>
            </w:pPr>
            <w:r>
              <w:rPr>
                <w:b w:val="false"/>
                <w:bCs w:val="false"/>
                <w:sz w:val="19"/>
                <w:szCs w:val="19"/>
              </w:rPr>
              <w:t xml:space="preserve">Platform development to date — four components, three in production</w:t>
            </w:r>
          </w:p>
        </w:tc>
        <w:tc>
          <w:tcPr>
            <w:tcW w:type="dxa" w:w="3139"/>
            <w:tcMar>
              <w:top w:type="dxa" w:w="60"/>
              <w:left w:type="dxa" w:w="90"/>
              <w:bottom w:type="dxa" w:w="60"/>
              <w:right w:type="dxa" w:w="90"/>
            </w:tcMar>
          </w:tcPr>
          <w:p>
            <w:pPr>
              <w:spacing w:after="40"/>
            </w:pPr>
            <w:r>
              <w:rPr>
                <w:b w:val="false"/>
                <w:bCs w:val="false"/>
                <w:sz w:val="19"/>
                <w:szCs w:val="19"/>
              </w:rPr>
              <w:t xml:space="preserve">UrjaGram Innovations</w:t>
            </w:r>
          </w:p>
        </w:tc>
      </w:tr>
      <w:tr>
        <w:trPr>
          <w:cantSplit/>
        </w:trPr>
        <w:tc>
          <w:tcPr>
            <w:tcW w:type="dxa" w:w="5887"/>
            <w:tcMar>
              <w:top w:type="dxa" w:w="60"/>
              <w:left w:type="dxa" w:w="90"/>
              <w:bottom w:type="dxa" w:w="60"/>
              <w:right w:type="dxa" w:w="90"/>
            </w:tcMar>
          </w:tcPr>
          <w:p>
            <w:pPr>
              <w:spacing w:after="40"/>
            </w:pPr>
            <w:r>
              <w:rPr>
                <w:b w:val="false"/>
                <w:bCs w:val="false"/>
                <w:sz w:val="19"/>
                <w:szCs w:val="19"/>
              </w:rPr>
              <w:t xml:space="preserve">Specialist domain expertise; baseline and project-preparation mentoring</w:t>
            </w:r>
          </w:p>
        </w:tc>
        <w:tc>
          <w:tcPr>
            <w:tcW w:type="dxa" w:w="3139"/>
            <w:tcMar>
              <w:top w:type="dxa" w:w="60"/>
              <w:left w:type="dxa" w:w="90"/>
              <w:bottom w:type="dxa" w:w="60"/>
              <w:right w:type="dxa" w:w="90"/>
            </w:tcMar>
          </w:tcPr>
          <w:p>
            <w:pPr>
              <w:spacing w:after="40"/>
            </w:pPr>
            <w:r>
              <w:rPr>
                <w:b w:val="false"/>
                <w:bCs w:val="false"/>
                <w:sz w:val="19"/>
                <w:szCs w:val="19"/>
              </w:rPr>
              <w:t xml:space="preserve">UrjaGram Innovations</w:t>
            </w:r>
          </w:p>
        </w:tc>
      </w:tr>
      <w:tr>
        <w:trPr>
          <w:cantSplit/>
        </w:trPr>
        <w:tc>
          <w:tcPr>
            <w:tcW w:type="dxa" w:w="5887"/>
            <w:tcMar>
              <w:top w:type="dxa" w:w="60"/>
              <w:left w:type="dxa" w:w="90"/>
              <w:bottom w:type="dxa" w:w="60"/>
              <w:right w:type="dxa" w:w="90"/>
            </w:tcMar>
          </w:tcPr>
          <w:p>
            <w:pPr>
              <w:spacing w:after="40"/>
            </w:pPr>
            <w:r>
              <w:rPr>
                <w:b w:val="false"/>
                <w:bCs w:val="false"/>
                <w:sz w:val="19"/>
                <w:szCs w:val="19"/>
              </w:rPr>
              <w:t xml:space="preserve">Local conservation expertise and community mobilisation</w:t>
            </w:r>
          </w:p>
        </w:tc>
        <w:tc>
          <w:tcPr>
            <w:tcW w:type="dxa" w:w="3139"/>
            <w:tcMar>
              <w:top w:type="dxa" w:w="60"/>
              <w:left w:type="dxa" w:w="90"/>
              <w:bottom w:type="dxa" w:w="60"/>
              <w:right w:type="dxa" w:w="90"/>
            </w:tcMar>
          </w:tcPr>
          <w:p>
            <w:pPr>
              <w:spacing w:after="40"/>
            </w:pPr>
            <w:r>
              <w:rPr>
                <w:b w:val="false"/>
                <w:bCs w:val="false"/>
                <w:sz w:val="19"/>
                <w:szCs w:val="19"/>
              </w:rPr>
              <w:t xml:space="preserve">Ayurvan Foundation</w:t>
            </w:r>
          </w:p>
        </w:tc>
      </w:tr>
      <w:tr>
        <w:trPr>
          <w:cantSplit/>
        </w:trPr>
        <w:tc>
          <w:tcPr>
            <w:tcW w:type="dxa" w:w="5887"/>
            <w:tcMar>
              <w:top w:type="dxa" w:w="60"/>
              <w:left w:type="dxa" w:w="90"/>
              <w:bottom w:type="dxa" w:w="60"/>
              <w:right w:type="dxa" w:w="90"/>
            </w:tcMar>
          </w:tcPr>
          <w:p>
            <w:pPr>
              <w:spacing w:after="40"/>
            </w:pPr>
            <w:r>
              <w:rPr>
                <w:b w:val="false"/>
                <w:bCs w:val="false"/>
                <w:sz w:val="19"/>
                <w:szCs w:val="19"/>
              </w:rPr>
              <w:t xml:space="preserve">Land, approvals and convening</w:t>
            </w:r>
          </w:p>
        </w:tc>
        <w:tc>
          <w:tcPr>
            <w:tcW w:type="dxa" w:w="3139"/>
            <w:tcMar>
              <w:top w:type="dxa" w:w="60"/>
              <w:left w:type="dxa" w:w="90"/>
              <w:bottom w:type="dxa" w:w="60"/>
              <w:right w:type="dxa" w:w="90"/>
            </w:tcMar>
          </w:tcPr>
          <w:p>
            <w:pPr>
              <w:spacing w:after="40"/>
            </w:pPr>
            <w:r>
              <w:rPr>
                <w:b w:val="false"/>
                <w:bCs w:val="false"/>
                <w:sz w:val="19"/>
                <w:szCs w:val="19"/>
              </w:rPr>
              <w:t xml:space="preserve">Gram Panchayat Katlabodi</w:t>
            </w:r>
          </w:p>
        </w:tc>
      </w:tr>
      <w:tr>
        <w:trPr>
          <w:cantSplit/>
        </w:trPr>
        <w:tc>
          <w:tcPr>
            <w:tcW w:type="dxa" w:w="5887"/>
            <w:tcMar>
              <w:top w:type="dxa" w:w="60"/>
              <w:left w:type="dxa" w:w="90"/>
              <w:bottom w:type="dxa" w:w="60"/>
              <w:right w:type="dxa" w:w="90"/>
            </w:tcMar>
          </w:tcPr>
          <w:p>
            <w:pPr>
              <w:spacing w:after="40"/>
            </w:pPr>
            <w:r>
              <w:rPr>
                <w:b w:val="false"/>
                <w:bCs w:val="false"/>
                <w:sz w:val="19"/>
                <w:szCs w:val="19"/>
              </w:rPr>
              <w:t xml:space="preserve">Academic supervision of the intern cohorts</w:t>
            </w:r>
          </w:p>
        </w:tc>
        <w:tc>
          <w:tcPr>
            <w:tcW w:type="dxa" w:w="3139"/>
            <w:tcMar>
              <w:top w:type="dxa" w:w="60"/>
              <w:left w:type="dxa" w:w="90"/>
              <w:bottom w:type="dxa" w:w="60"/>
              <w:right w:type="dxa" w:w="90"/>
            </w:tcMar>
          </w:tcPr>
          <w:p>
            <w:pPr>
              <w:spacing w:after="40"/>
            </w:pPr>
            <w:r>
              <w:rPr>
                <w:b w:val="false"/>
                <w:bCs w:val="false"/>
                <w:sz w:val="19"/>
                <w:szCs w:val="19"/>
              </w:rPr>
              <w:t xml:space="preserve">VNIT Nagpur and IIM Nagpur</w:t>
            </w:r>
          </w:p>
        </w:tc>
      </w:tr>
    </w:tbl>
    <w:p>
      <w:pPr>
        <w:spacing w:after="80"/>
      </w:pPr>
    </w:p>
    <w:p>
      <w:pPr>
        <w:pStyle w:val="Heading1"/>
        <w:keepNext/>
        <w:spacing w:after="140" w:before="300"/>
      </w:pPr>
      <w:r>
        <w:t xml:space="preserve">16. Open items for partner discussion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12"/>
        <w:gridCol w:w="6119"/>
        <w:gridCol w:w="2295"/>
      </w:tblGrid>
      <w:tr>
        <w:trPr>
          <w:tblHeader/>
        </w:trPr>
        <w:tc>
          <w:tcPr>
            <w:tcW w:type="dxa" w:w="612"/>
            <w:shd w:fill="EAF1EE" w:color="auto" w:val="clear"/>
            <w:tcMar>
              <w:top w:type="dxa" w:w="60"/>
              <w:left w:type="dxa" w:w="90"/>
              <w:bottom w:type="dxa" w:w="60"/>
              <w:right w:type="dxa" w:w="90"/>
            </w:tcMar>
          </w:tcPr>
          <w:p>
            <w:pPr>
              <w:spacing w:after="40"/>
            </w:pPr>
            <w:r>
              <w:rPr>
                <w:b/>
                <w:bCs/>
                <w:sz w:val="19"/>
                <w:szCs w:val="19"/>
              </w:rPr>
              <w:t xml:space="preserve">#</w:t>
            </w:r>
          </w:p>
        </w:tc>
        <w:tc>
          <w:tcPr>
            <w:tcW w:type="dxa" w:w="6119"/>
            <w:shd w:fill="EAF1EE" w:color="auto" w:val="clear"/>
            <w:tcMar>
              <w:top w:type="dxa" w:w="60"/>
              <w:left w:type="dxa" w:w="90"/>
              <w:bottom w:type="dxa" w:w="60"/>
              <w:right w:type="dxa" w:w="90"/>
            </w:tcMar>
          </w:tcPr>
          <w:p>
            <w:pPr>
              <w:spacing w:after="40"/>
            </w:pPr>
            <w:r>
              <w:rPr>
                <w:b/>
                <w:bCs/>
                <w:sz w:val="19"/>
                <w:szCs w:val="19"/>
              </w:rPr>
              <w:t xml:space="preserve">Item</w:t>
            </w:r>
          </w:p>
        </w:tc>
        <w:tc>
          <w:tcPr>
            <w:tcW w:type="dxa" w:w="2295"/>
            <w:shd w:fill="EAF1EE" w:color="auto" w:val="clear"/>
            <w:tcMar>
              <w:top w:type="dxa" w:w="60"/>
              <w:left w:type="dxa" w:w="90"/>
              <w:bottom w:type="dxa" w:w="60"/>
              <w:right w:type="dxa" w:w="90"/>
            </w:tcMar>
          </w:tcPr>
          <w:p>
            <w:pPr>
              <w:spacing w:after="40"/>
            </w:pPr>
            <w:r>
              <w:rPr>
                <w:b/>
                <w:bCs/>
                <w:sz w:val="19"/>
                <w:szCs w:val="19"/>
              </w:rPr>
              <w:t xml:space="preserve">Owner</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1</w:t>
            </w:r>
          </w:p>
        </w:tc>
        <w:tc>
          <w:tcPr>
            <w:tcW w:type="dxa" w:w="6119"/>
            <w:tcMar>
              <w:top w:type="dxa" w:w="60"/>
              <w:left w:type="dxa" w:w="90"/>
              <w:bottom w:type="dxa" w:w="60"/>
              <w:right w:type="dxa" w:w="90"/>
            </w:tcMar>
          </w:tcPr>
          <w:p>
            <w:pPr>
              <w:spacing w:after="40"/>
            </w:pPr>
            <w:r>
              <w:rPr>
                <w:b w:val="false"/>
                <w:bCs w:val="false"/>
                <w:sz w:val="19"/>
                <w:szCs w:val="19"/>
              </w:rPr>
              <w:t xml:space="preserve">Costing of platform (B) and programme-management (E) lines</w:t>
            </w:r>
          </w:p>
        </w:tc>
        <w:tc>
          <w:tcPr>
            <w:tcW w:type="dxa" w:w="2295"/>
            <w:tcMar>
              <w:top w:type="dxa" w:w="60"/>
              <w:left w:type="dxa" w:w="90"/>
              <w:bottom w:type="dxa" w:w="60"/>
              <w:right w:type="dxa" w:w="90"/>
            </w:tcMar>
          </w:tcPr>
          <w:p>
            <w:pPr>
              <w:spacing w:after="40"/>
            </w:pPr>
            <w:r>
              <w:rPr>
                <w:b w:val="false"/>
                <w:bCs w:val="false"/>
                <w:sz w:val="19"/>
                <w:szCs w:val="19"/>
              </w:rPr>
              <w:t xml:space="preserve">UrjaGram, VNIT Nagpur, Ayurvan</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2</w:t>
            </w:r>
          </w:p>
        </w:tc>
        <w:tc>
          <w:tcPr>
            <w:tcW w:type="dxa" w:w="6119"/>
            <w:tcMar>
              <w:top w:type="dxa" w:w="60"/>
              <w:left w:type="dxa" w:w="90"/>
              <w:bottom w:type="dxa" w:w="60"/>
              <w:right w:type="dxa" w:w="90"/>
            </w:tcMar>
          </w:tcPr>
          <w:p>
            <w:pPr>
              <w:spacing w:after="40"/>
            </w:pPr>
            <w:r>
              <w:rPr>
                <w:b w:val="false"/>
                <w:bCs w:val="false"/>
                <w:sz w:val="19"/>
                <w:szCs w:val="19"/>
              </w:rPr>
              <w:t xml:space="preserve">Confirmation of Katol’s inclusion in the drought Government Resolution</w:t>
            </w:r>
          </w:p>
        </w:tc>
        <w:tc>
          <w:tcPr>
            <w:tcW w:type="dxa" w:w="2295"/>
            <w:tcMar>
              <w:top w:type="dxa" w:w="60"/>
              <w:left w:type="dxa" w:w="90"/>
              <w:bottom w:type="dxa" w:w="60"/>
              <w:right w:type="dxa" w:w="90"/>
            </w:tcMar>
          </w:tcPr>
          <w:p>
            <w:pPr>
              <w:spacing w:after="40"/>
            </w:pPr>
            <w:r>
              <w:rPr>
                <w:b w:val="false"/>
                <w:bCs w:val="false"/>
                <w:sz w:val="19"/>
                <w:szCs w:val="19"/>
              </w:rPr>
              <w:t xml:space="preserve">UrjaGram</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3</w:t>
            </w:r>
          </w:p>
        </w:tc>
        <w:tc>
          <w:tcPr>
            <w:tcW w:type="dxa" w:w="6119"/>
            <w:tcMar>
              <w:top w:type="dxa" w:w="60"/>
              <w:left w:type="dxa" w:w="90"/>
              <w:bottom w:type="dxa" w:w="60"/>
              <w:right w:type="dxa" w:w="90"/>
            </w:tcMar>
          </w:tcPr>
          <w:p>
            <w:pPr>
              <w:spacing w:after="40"/>
            </w:pPr>
            <w:r>
              <w:rPr>
                <w:b w:val="false"/>
                <w:bCs w:val="false"/>
                <w:sz w:val="19"/>
                <w:szCs w:val="19"/>
              </w:rPr>
              <w:t xml:space="preserve">Implementing agency’s CSR and tax-exemption registrations</w:t>
            </w:r>
          </w:p>
        </w:tc>
        <w:tc>
          <w:tcPr>
            <w:tcW w:type="dxa" w:w="2295"/>
            <w:tcMar>
              <w:top w:type="dxa" w:w="60"/>
              <w:left w:type="dxa" w:w="90"/>
              <w:bottom w:type="dxa" w:w="60"/>
              <w:right w:type="dxa" w:w="90"/>
            </w:tcMar>
          </w:tcPr>
          <w:p>
            <w:pPr>
              <w:spacing w:after="40"/>
            </w:pPr>
            <w:r>
              <w:rPr>
                <w:b w:val="false"/>
                <w:bCs w:val="false"/>
                <w:sz w:val="19"/>
                <w:szCs w:val="19"/>
              </w:rPr>
              <w:t xml:space="preserve">Ayurvan Foundation</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4</w:t>
            </w:r>
          </w:p>
        </w:tc>
        <w:tc>
          <w:tcPr>
            <w:tcW w:type="dxa" w:w="6119"/>
            <w:tcMar>
              <w:top w:type="dxa" w:w="60"/>
              <w:left w:type="dxa" w:w="90"/>
              <w:bottom w:type="dxa" w:w="60"/>
              <w:right w:type="dxa" w:w="90"/>
            </w:tcMar>
          </w:tcPr>
          <w:p>
            <w:pPr>
              <w:spacing w:after="40"/>
            </w:pPr>
            <w:r>
              <w:rPr>
                <w:b w:val="false"/>
                <w:bCs w:val="false"/>
                <w:sz w:val="19"/>
                <w:szCs w:val="19"/>
              </w:rPr>
              <w:t xml:space="preserve">Gram Panchayat resolutions — execution authority, hub-site allocation, data fiduciary, BMC</w:t>
            </w:r>
          </w:p>
        </w:tc>
        <w:tc>
          <w:tcPr>
            <w:tcW w:type="dxa" w:w="2295"/>
            <w:tcMar>
              <w:top w:type="dxa" w:w="60"/>
              <w:left w:type="dxa" w:w="90"/>
              <w:bottom w:type="dxa" w:w="60"/>
              <w:right w:type="dxa" w:w="90"/>
            </w:tcMar>
          </w:tcPr>
          <w:p>
            <w:pPr>
              <w:spacing w:after="40"/>
            </w:pPr>
            <w:r>
              <w:rPr>
                <w:b w:val="false"/>
                <w:bCs w:val="false"/>
                <w:sz w:val="19"/>
                <w:szCs w:val="19"/>
              </w:rPr>
              <w:t xml:space="preserve">Gram Panchayat</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5</w:t>
            </w:r>
          </w:p>
        </w:tc>
        <w:tc>
          <w:tcPr>
            <w:tcW w:type="dxa" w:w="6119"/>
            <w:tcMar>
              <w:top w:type="dxa" w:w="60"/>
              <w:left w:type="dxa" w:w="90"/>
              <w:bottom w:type="dxa" w:w="60"/>
              <w:right w:type="dxa" w:w="90"/>
            </w:tcMar>
          </w:tcPr>
          <w:p>
            <w:pPr>
              <w:spacing w:after="40"/>
            </w:pPr>
            <w:r>
              <w:rPr>
                <w:b w:val="false"/>
                <w:bCs w:val="false"/>
                <w:sz w:val="19"/>
                <w:szCs w:val="19"/>
              </w:rPr>
              <w:t xml:space="preserve">Land classification of the three Rithi villages; management status of the 416 ha of forest</w:t>
            </w:r>
          </w:p>
        </w:tc>
        <w:tc>
          <w:tcPr>
            <w:tcW w:type="dxa" w:w="2295"/>
            <w:tcMar>
              <w:top w:type="dxa" w:w="60"/>
              <w:left w:type="dxa" w:w="90"/>
              <w:bottom w:type="dxa" w:w="60"/>
              <w:right w:type="dxa" w:w="90"/>
            </w:tcMar>
          </w:tcPr>
          <w:p>
            <w:pPr>
              <w:spacing w:after="40"/>
            </w:pPr>
            <w:r>
              <w:rPr>
                <w:b w:val="false"/>
                <w:bCs w:val="false"/>
                <w:sz w:val="19"/>
                <w:szCs w:val="19"/>
              </w:rPr>
              <w:t xml:space="preserve">Gram Panchayat</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6</w:t>
            </w:r>
          </w:p>
        </w:tc>
        <w:tc>
          <w:tcPr>
            <w:tcW w:type="dxa" w:w="6119"/>
            <w:tcMar>
              <w:top w:type="dxa" w:w="60"/>
              <w:left w:type="dxa" w:w="90"/>
              <w:bottom w:type="dxa" w:w="60"/>
              <w:right w:type="dxa" w:w="90"/>
            </w:tcMar>
          </w:tcPr>
          <w:p>
            <w:pPr>
              <w:spacing w:after="40"/>
            </w:pPr>
            <w:r>
              <w:rPr>
                <w:b w:val="false"/>
                <w:bCs w:val="false"/>
                <w:sz w:val="19"/>
                <w:szCs w:val="19"/>
              </w:rPr>
              <w:t xml:space="preserve">Basis for Project 1 nursery revenue; overlap between establishment staff and year-one operating cost</w:t>
            </w:r>
          </w:p>
        </w:tc>
        <w:tc>
          <w:tcPr>
            <w:tcW w:type="dxa" w:w="2295"/>
            <w:tcMar>
              <w:top w:type="dxa" w:w="60"/>
              <w:left w:type="dxa" w:w="90"/>
              <w:bottom w:type="dxa" w:w="60"/>
              <w:right w:type="dxa" w:w="90"/>
            </w:tcMar>
          </w:tcPr>
          <w:p>
            <w:pPr>
              <w:spacing w:after="40"/>
            </w:pPr>
            <w:r>
              <w:rPr>
                <w:b w:val="false"/>
                <w:bCs w:val="false"/>
                <w:sz w:val="19"/>
                <w:szCs w:val="19"/>
              </w:rPr>
              <w:t xml:space="preserve">Ayurvan Foundation</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7</w:t>
            </w:r>
          </w:p>
        </w:tc>
        <w:tc>
          <w:tcPr>
            <w:tcW w:type="dxa" w:w="6119"/>
            <w:tcMar>
              <w:top w:type="dxa" w:w="60"/>
              <w:left w:type="dxa" w:w="90"/>
              <w:bottom w:type="dxa" w:w="60"/>
              <w:right w:type="dxa" w:w="90"/>
            </w:tcMar>
          </w:tcPr>
          <w:p>
            <w:pPr>
              <w:spacing w:after="40"/>
            </w:pPr>
            <w:r>
              <w:rPr>
                <w:b w:val="false"/>
                <w:bCs w:val="false"/>
                <w:sz w:val="19"/>
                <w:szCs w:val="19"/>
              </w:rPr>
              <w:t xml:space="preserve">Enrolment of the twenty students; network coverage and device access</w:t>
            </w:r>
          </w:p>
        </w:tc>
        <w:tc>
          <w:tcPr>
            <w:tcW w:type="dxa" w:w="2295"/>
            <w:tcMar>
              <w:top w:type="dxa" w:w="60"/>
              <w:left w:type="dxa" w:w="90"/>
              <w:bottom w:type="dxa" w:w="60"/>
              <w:right w:type="dxa" w:w="90"/>
            </w:tcMar>
          </w:tcPr>
          <w:p>
            <w:pPr>
              <w:spacing w:after="40"/>
            </w:pPr>
            <w:r>
              <w:rPr>
                <w:b w:val="false"/>
                <w:bCs w:val="false"/>
                <w:sz w:val="19"/>
                <w:szCs w:val="19"/>
              </w:rPr>
              <w:t xml:space="preserve">Ayurvan Foundation</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8</w:t>
            </w:r>
          </w:p>
        </w:tc>
        <w:tc>
          <w:tcPr>
            <w:tcW w:type="dxa" w:w="6119"/>
            <w:tcMar>
              <w:top w:type="dxa" w:w="60"/>
              <w:left w:type="dxa" w:w="90"/>
              <w:bottom w:type="dxa" w:w="60"/>
              <w:right w:type="dxa" w:w="90"/>
            </w:tcMar>
          </w:tcPr>
          <w:p>
            <w:pPr>
              <w:spacing w:after="40"/>
            </w:pPr>
            <w:r>
              <w:rPr>
                <w:b w:val="false"/>
                <w:bCs w:val="false"/>
                <w:sz w:val="19"/>
                <w:szCs w:val="19"/>
              </w:rPr>
              <w:t xml:space="preserve">Mapping of each cadre to its recognised equivalent</w:t>
            </w:r>
          </w:p>
        </w:tc>
        <w:tc>
          <w:tcPr>
            <w:tcW w:type="dxa" w:w="2295"/>
            <w:tcMar>
              <w:top w:type="dxa" w:w="60"/>
              <w:left w:type="dxa" w:w="90"/>
              <w:bottom w:type="dxa" w:w="60"/>
              <w:right w:type="dxa" w:w="90"/>
            </w:tcMar>
          </w:tcPr>
          <w:p>
            <w:pPr>
              <w:spacing w:after="40"/>
            </w:pPr>
            <w:r>
              <w:rPr>
                <w:b w:val="false"/>
                <w:bCs w:val="false"/>
                <w:sz w:val="19"/>
                <w:szCs w:val="19"/>
              </w:rPr>
              <w:t xml:space="preserve">UrjaGram Innovations</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9</w:t>
            </w:r>
          </w:p>
        </w:tc>
        <w:tc>
          <w:tcPr>
            <w:tcW w:type="dxa" w:w="6119"/>
            <w:tcMar>
              <w:top w:type="dxa" w:w="60"/>
              <w:left w:type="dxa" w:w="90"/>
              <w:bottom w:type="dxa" w:w="60"/>
              <w:right w:type="dxa" w:w="90"/>
            </w:tcMar>
          </w:tcPr>
          <w:p>
            <w:pPr>
              <w:spacing w:after="40"/>
            </w:pPr>
            <w:r>
              <w:rPr>
                <w:b w:val="false"/>
                <w:bCs w:val="false"/>
                <w:sz w:val="19"/>
                <w:szCs w:val="19"/>
              </w:rPr>
              <w:t xml:space="preserve">Project addenda — funds flow, carbon rights, IP, data, asset vesting, term</w:t>
            </w:r>
          </w:p>
        </w:tc>
        <w:tc>
          <w:tcPr>
            <w:tcW w:type="dxa" w:w="2295"/>
            <w:tcMar>
              <w:top w:type="dxa" w:w="60"/>
              <w:left w:type="dxa" w:w="90"/>
              <w:bottom w:type="dxa" w:w="60"/>
              <w:right w:type="dxa" w:w="90"/>
            </w:tcMar>
          </w:tcPr>
          <w:p>
            <w:pPr>
              <w:spacing w:after="40"/>
            </w:pPr>
            <w:r>
              <w:rPr>
                <w:b w:val="false"/>
                <w:bCs w:val="false"/>
                <w:sz w:val="19"/>
                <w:szCs w:val="19"/>
              </w:rPr>
              <w:t xml:space="preserve">All partners</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10</w:t>
            </w:r>
          </w:p>
        </w:tc>
        <w:tc>
          <w:tcPr>
            <w:tcW w:type="dxa" w:w="6119"/>
            <w:tcMar>
              <w:top w:type="dxa" w:w="60"/>
              <w:left w:type="dxa" w:w="90"/>
              <w:bottom w:type="dxa" w:w="60"/>
              <w:right w:type="dxa" w:w="90"/>
            </w:tcMar>
          </w:tcPr>
          <w:p>
            <w:pPr>
              <w:spacing w:after="40"/>
            </w:pPr>
            <w:r>
              <w:rPr>
                <w:b w:val="false"/>
                <w:bCs w:val="false"/>
                <w:sz w:val="19"/>
                <w:szCs w:val="19"/>
              </w:rPr>
              <w:t xml:space="preserve">Hosting and maintenance from year two; Project 1 year-two operating cost</w:t>
            </w:r>
          </w:p>
        </w:tc>
        <w:tc>
          <w:tcPr>
            <w:tcW w:type="dxa" w:w="2295"/>
            <w:tcMar>
              <w:top w:type="dxa" w:w="60"/>
              <w:left w:type="dxa" w:w="90"/>
              <w:bottom w:type="dxa" w:w="60"/>
              <w:right w:type="dxa" w:w="90"/>
            </w:tcMar>
          </w:tcPr>
          <w:p>
            <w:pPr>
              <w:spacing w:after="40"/>
            </w:pPr>
            <w:r>
              <w:rPr>
                <w:b w:val="false"/>
                <w:bCs w:val="false"/>
                <w:sz w:val="19"/>
                <w:szCs w:val="19"/>
              </w:rPr>
              <w:t xml:space="preserve">All partners</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11</w:t>
            </w:r>
          </w:p>
        </w:tc>
        <w:tc>
          <w:tcPr>
            <w:tcW w:type="dxa" w:w="6119"/>
            <w:tcMar>
              <w:top w:type="dxa" w:w="60"/>
              <w:left w:type="dxa" w:w="90"/>
              <w:bottom w:type="dxa" w:w="60"/>
              <w:right w:type="dxa" w:w="90"/>
            </w:tcMar>
          </w:tcPr>
          <w:p>
            <w:pPr>
              <w:spacing w:after="40"/>
            </w:pPr>
            <w:r>
              <w:rPr>
                <w:b w:val="false"/>
                <w:bCs w:val="false"/>
                <w:sz w:val="19"/>
                <w:szCs w:val="19"/>
              </w:rPr>
              <w:t xml:space="preserve">Confirmation of IIM Nagpur engagement; health convergence routes</w:t>
            </w:r>
          </w:p>
        </w:tc>
        <w:tc>
          <w:tcPr>
            <w:tcW w:type="dxa" w:w="2295"/>
            <w:tcMar>
              <w:top w:type="dxa" w:w="60"/>
              <w:left w:type="dxa" w:w="90"/>
              <w:bottom w:type="dxa" w:w="60"/>
              <w:right w:type="dxa" w:w="90"/>
            </w:tcMar>
          </w:tcPr>
          <w:p>
            <w:pPr>
              <w:spacing w:after="40"/>
            </w:pPr>
            <w:r>
              <w:rPr>
                <w:b w:val="false"/>
                <w:bCs w:val="false"/>
                <w:sz w:val="19"/>
                <w:szCs w:val="19"/>
              </w:rPr>
              <w:t xml:space="preserve">All partners</w:t>
            </w:r>
          </w:p>
        </w:tc>
      </w:tr>
      <w:tr>
        <w:trPr>
          <w:cantSplit/>
        </w:trPr>
        <w:tc>
          <w:tcPr>
            <w:tcW w:type="dxa" w:w="612"/>
            <w:tcMar>
              <w:top w:type="dxa" w:w="60"/>
              <w:left w:type="dxa" w:w="90"/>
              <w:bottom w:type="dxa" w:w="60"/>
              <w:right w:type="dxa" w:w="90"/>
            </w:tcMar>
          </w:tcPr>
          <w:p>
            <w:pPr>
              <w:spacing w:after="40"/>
            </w:pPr>
            <w:r>
              <w:rPr>
                <w:b w:val="false"/>
                <w:bCs w:val="false"/>
                <w:sz w:val="19"/>
                <w:szCs w:val="19"/>
              </w:rPr>
              <w:t xml:space="preserve">12</w:t>
            </w:r>
          </w:p>
        </w:tc>
        <w:tc>
          <w:tcPr>
            <w:tcW w:type="dxa" w:w="6119"/>
            <w:tcMar>
              <w:top w:type="dxa" w:w="60"/>
              <w:left w:type="dxa" w:w="90"/>
              <w:bottom w:type="dxa" w:w="60"/>
              <w:right w:type="dxa" w:w="90"/>
            </w:tcMar>
          </w:tcPr>
          <w:p>
            <w:pPr>
              <w:spacing w:after="40"/>
            </w:pPr>
            <w:r>
              <w:rPr>
                <w:b w:val="false"/>
                <w:bCs w:val="false"/>
                <w:sz w:val="19"/>
                <w:szCs w:val="19"/>
              </w:rPr>
              <w:t xml:space="preserve">Number of Gram Panchayats in Katol block, for the cluster plan</w:t>
            </w:r>
          </w:p>
        </w:tc>
        <w:tc>
          <w:tcPr>
            <w:tcW w:type="dxa" w:w="2295"/>
            <w:tcMar>
              <w:top w:type="dxa" w:w="60"/>
              <w:left w:type="dxa" w:w="90"/>
              <w:bottom w:type="dxa" w:w="60"/>
              <w:right w:type="dxa" w:w="90"/>
            </w:tcMar>
          </w:tcPr>
          <w:p>
            <w:pPr>
              <w:spacing w:after="40"/>
            </w:pPr>
            <w:r>
              <w:rPr>
                <w:b w:val="false"/>
                <w:bCs w:val="false"/>
                <w:sz w:val="19"/>
                <w:szCs w:val="19"/>
              </w:rPr>
              <w:t xml:space="preserve">UrjaGram Innovations</w:t>
            </w:r>
          </w:p>
        </w:tc>
      </w:tr>
    </w:tbl>
    <w:p>
      <w:pPr>
        <w:spacing w:after="80"/>
      </w:pPr>
    </w:p>
    <w:p>
      <w:pPr>
        <w:pStyle w:val="Heading1"/>
        <w:keepNext/>
        <w:spacing w:after="140" w:before="300"/>
      </w:pPr>
      <w:r>
        <w:t xml:space="preserve">Annexures</w:t>
      </w:r>
    </w:p>
    <w:p>
      <w:pPr>
        <w:pStyle w:val="ListParagraph"/>
        <w:numPr>
          <w:ilvl w:val="0"/>
          <w:numId w:val="2"/>
        </w:numPr>
        <w:spacing w:after="80" w:line="264"/>
        <w:jc w:val="left"/>
      </w:pPr>
      <w:r>
        <w:t xml:space="preserve">A — Registration and compliance documents of the implementing agency</w:t>
      </w:r>
    </w:p>
    <w:p>
      <w:pPr>
        <w:pStyle w:val="ListParagraph"/>
        <w:numPr>
          <w:ilvl w:val="0"/>
          <w:numId w:val="2"/>
        </w:numPr>
        <w:spacing w:after="80" w:line="264"/>
        <w:jc w:val="left"/>
      </w:pPr>
      <w:r>
        <w:t xml:space="preserve">B — Tripartite Memorandum of Agreement dated 13 July 2026</w:t>
      </w:r>
    </w:p>
    <w:p>
      <w:pPr>
        <w:pStyle w:val="ListParagraph"/>
        <w:numPr>
          <w:ilvl w:val="0"/>
          <w:numId w:val="2"/>
        </w:numPr>
        <w:spacing w:after="80" w:line="264"/>
        <w:jc w:val="left"/>
      </w:pPr>
      <w:r>
        <w:t xml:space="preserve">C — Resolutions of the Gram Panchayat for the CSR proposal</w:t>
      </w:r>
    </w:p>
    <w:p>
      <w:pPr>
        <w:pStyle w:val="ListParagraph"/>
        <w:numPr>
          <w:ilvl w:val="0"/>
          <w:numId w:val="2"/>
        </w:numPr>
        <w:spacing w:after="80" w:line="264"/>
        <w:jc w:val="left"/>
      </w:pPr>
      <w:r>
        <w:t xml:space="preserve">D — Project 1: Biodiversity and medicinal agroforestry — the Katlabodi hub site, with financial model (Project1_Agroforestry_Finances_v2.xlsx)</w:t>
      </w:r>
    </w:p>
    <w:p>
      <w:pPr>
        <w:pStyle w:val="ListParagraph"/>
        <w:numPr>
          <w:ilvl w:val="0"/>
          <w:numId w:val="2"/>
        </w:numPr>
        <w:spacing w:after="80" w:line="264"/>
        <w:jc w:val="left"/>
      </w:pPr>
      <w:r>
        <w:t xml:space="preserve">E — Project briefs for the six projects</w:t>
      </w:r>
    </w:p>
    <w:p>
      <w:pPr>
        <w:pStyle w:val="Heading2"/>
        <w:keepNext/>
        <w:spacing w:after="100" w:before="200"/>
      </w:pPr>
      <w:r>
        <w:t xml:space="preserve">References</w:t>
      </w:r>
    </w:p>
    <w:p>
      <w:pPr>
        <w:spacing w:after="120" w:line="276"/>
        <w:jc w:val="both"/>
      </w:pPr>
      <w:r>
        <w:rPr>
          <w:sz w:val="19"/>
          <w:szCs w:val="19"/>
        </w:rPr>
        <w:t xml:space="preserve">IPBES (2024). </w:t>
      </w:r>
      <w:r>
        <w:rPr>
          <w:i/>
          <w:iCs/>
          <w:sz w:val="19"/>
          <w:szCs w:val="19"/>
        </w:rPr>
        <w:t xml:space="preserve">Summary for Policymakers of the Thematic Assessment Report on the Interlinkages among Biodiversity, Water, Food and Health.</w:t>
      </w:r>
      <w:r>
        <w:rPr>
          <w:sz w:val="19"/>
          <w:szCs w:val="19"/>
        </w:rPr>
        <w:t xml:space="preserve"> IPBES secretariat, Bonn. DOI 10.5281/zenodo.13850289.</w:t>
      </w:r>
    </w:p>
    <w:p>
      <w:pPr>
        <w:spacing w:after="120" w:line="276"/>
        <w:jc w:val="both"/>
      </w:pPr>
      <w:r>
        <w:rPr>
          <w:i/>
          <w:iCs/>
          <w:sz w:val="19"/>
          <w:szCs w:val="19"/>
        </w:rPr>
        <w:t xml:space="preserve">The Times of India</w:t>
      </w:r>
      <w:r>
        <w:rPr>
          <w:sz w:val="19"/>
          <w:szCs w:val="19"/>
        </w:rPr>
        <w:t xml:space="preserve">, September 2026: “Maha declares drought in 265 talukas or 3/4ths of state”; “Kharif crop gone, rabi in doubt: Why Maha farmers are distressed” (24 September 2026).</w:t>
      </w:r>
    </w:p>
    <w:p>
      <w:pPr>
        <w:spacing w:after="120" w:line="276"/>
        <w:jc w:val="both"/>
      </w:pPr>
      <w:r>
        <w:rPr>
          <w:sz w:val="19"/>
          <w:szCs w:val="19"/>
        </w:rPr>
        <w:t xml:space="preserve">Viksit Bharat – Guarantee for Rozgar and Ajeevika Mission (Gramin) Act, 2025, in force from 1 July 2026. World Bank, </w:t>
      </w:r>
      <w:r>
        <w:rPr>
          <w:i/>
          <w:iCs/>
          <w:sz w:val="19"/>
          <w:szCs w:val="19"/>
        </w:rPr>
        <w:t xml:space="preserve">World Development Report 2026</w:t>
      </w:r>
      <w:r>
        <w:rPr>
          <w:sz w:val="19"/>
          <w:szCs w:val="19"/>
        </w:rPr>
        <w:t xml:space="preserve">. Census of India 2011, village directory.</w:t>
      </w:r>
    </w:p>
    <w:p>
      <w:pPr>
        <w:spacing w:after="120" w:line="276"/>
        <w:jc w:val="center"/>
      </w:pPr>
      <w:r>
        <w:rPr>
          <w:i/>
          <w:iCs/>
          <w:sz w:val="19"/>
          <w:szCs w:val="19"/>
        </w:rPr>
        <w:t xml:space="preserve">Prepared by Ayurvan Foundation with UrjaGram Innovations Pvt Ltd and Gram Panchayat Katlabodi. Discussion draft — not for external circulation.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Katlabodi Integrated Village Development Project · Discussion draft ·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3D"/>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1F4E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Katlabodi Integrated Village Development Project</dc:title>
  <dc:creator>UrjaGram Innovations Pvt Ltd</dc:creator>
  <cp:lastModifiedBy>Un-named</cp:lastModifiedBy>
  <cp:revision>1</cp:revision>
  <dcterms:created xsi:type="dcterms:W3CDTF">2026-09-28T06:41:29.803Z</dcterms:created>
  <dcterms:modified xsi:type="dcterms:W3CDTF">2026-09-28T06:41:29.803Z</dcterms:modified>
</cp:coreProperties>
</file>

<file path=docProps/custom.xml><?xml version="1.0" encoding="utf-8"?>
<Properties xmlns="http://schemas.openxmlformats.org/officeDocument/2006/custom-properties" xmlns:vt="http://schemas.openxmlformats.org/officeDocument/2006/docPropsVTypes"/>
</file>