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47" w:rsidRPr="004F0647" w:rsidRDefault="004F0647" w:rsidP="004F0647">
      <w:pPr>
        <w:jc w:val="center"/>
        <w:rPr>
          <w:rFonts w:ascii="Times New Roman" w:hAnsi="Times New Roman" w:cs="Times New Roman"/>
          <w:b/>
          <w:sz w:val="40"/>
          <w:szCs w:val="40"/>
          <w:lang w:val="lt-LT"/>
        </w:rPr>
      </w:pPr>
      <w:r w:rsidRPr="004F0647">
        <w:rPr>
          <w:rFonts w:ascii="Times New Roman" w:hAnsi="Times New Roman" w:cs="Times New Roman"/>
          <w:b/>
          <w:sz w:val="40"/>
          <w:szCs w:val="40"/>
        </w:rPr>
        <w:t>Duomenų strukt</w:t>
      </w:r>
      <w:r w:rsidRPr="004F0647">
        <w:rPr>
          <w:rFonts w:ascii="Times New Roman" w:hAnsi="Times New Roman" w:cs="Times New Roman"/>
          <w:b/>
          <w:sz w:val="40"/>
          <w:szCs w:val="40"/>
          <w:lang w:val="lt-LT"/>
        </w:rPr>
        <w:t>ūrų mokymo metodikos aptarimas</w:t>
      </w:r>
    </w:p>
    <w:p w:rsidR="00970FE0" w:rsidRDefault="00B84B61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B84B61">
        <w:rPr>
          <w:rFonts w:ascii="Times New Roman" w:hAnsi="Times New Roman" w:cs="Times New Roman"/>
          <w:sz w:val="24"/>
          <w:szCs w:val="24"/>
        </w:rPr>
        <w:t>Mok</w:t>
      </w:r>
      <w:r>
        <w:rPr>
          <w:rFonts w:ascii="Times New Roman" w:hAnsi="Times New Roman" w:cs="Times New Roman"/>
          <w:sz w:val="24"/>
          <w:szCs w:val="24"/>
        </w:rPr>
        <w:t>ymo med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žiaga pateikiama </w:t>
      </w:r>
      <w:r w:rsidR="002F6DFA">
        <w:rPr>
          <w:rFonts w:ascii="Times New Roman" w:hAnsi="Times New Roman" w:cs="Times New Roman"/>
          <w:sz w:val="24"/>
          <w:szCs w:val="24"/>
          <w:lang w:val="lt-LT"/>
        </w:rPr>
        <w:t>laikantis tokios metod</w:t>
      </w:r>
      <w:bookmarkStart w:id="0" w:name="_GoBack"/>
      <w:bookmarkEnd w:id="0"/>
      <w:r w:rsidR="002F6DFA">
        <w:rPr>
          <w:rFonts w:ascii="Times New Roman" w:hAnsi="Times New Roman" w:cs="Times New Roman"/>
          <w:sz w:val="24"/>
          <w:szCs w:val="24"/>
          <w:lang w:val="lt-LT"/>
        </w:rPr>
        <w:t>ikos:</w:t>
      </w:r>
    </w:p>
    <w:p w:rsidR="002F6DFA" w:rsidRDefault="002F6DFA" w:rsidP="002F6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F6DFA">
        <w:rPr>
          <w:rFonts w:ascii="Times New Roman" w:hAnsi="Times New Roman" w:cs="Times New Roman"/>
          <w:sz w:val="24"/>
          <w:szCs w:val="24"/>
          <w:lang w:val="lt-LT"/>
        </w:rPr>
        <w:t>Pateikiami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demo pavyzdžiai, kuriuos reikia išbandyti ir eksperimentuoti - </w:t>
      </w:r>
      <w:r w:rsidRPr="00403AD8">
        <w:rPr>
          <w:rFonts w:ascii="Times New Roman" w:hAnsi="Times New Roman" w:cs="Times New Roman"/>
          <w:b/>
          <w:sz w:val="24"/>
          <w:szCs w:val="24"/>
          <w:lang w:val="lt-LT"/>
        </w:rPr>
        <w:t>DEMO</w:t>
      </w:r>
    </w:p>
    <w:p w:rsidR="002F6DFA" w:rsidRDefault="002F6DFA" w:rsidP="002F6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Toliau nagrinėjamas programinis kodas, aiškinamasi kaip, kas ir kodėl; programuojami kiti sprendimai, siekiant gauti naujus rezultatus – </w:t>
      </w:r>
      <w:r w:rsidRPr="00403AD8">
        <w:rPr>
          <w:rFonts w:ascii="Times New Roman" w:hAnsi="Times New Roman" w:cs="Times New Roman"/>
          <w:b/>
          <w:sz w:val="24"/>
          <w:szCs w:val="24"/>
          <w:lang w:val="lt-LT"/>
        </w:rPr>
        <w:t>CODE</w:t>
      </w:r>
    </w:p>
    <w:p w:rsidR="002F6DFA" w:rsidRDefault="002F6DFA" w:rsidP="002F6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Bandomi sprendimai, stebimi rezultatai – </w:t>
      </w:r>
      <w:r w:rsidRPr="00403AD8">
        <w:rPr>
          <w:rFonts w:ascii="Times New Roman" w:hAnsi="Times New Roman" w:cs="Times New Roman"/>
          <w:b/>
          <w:sz w:val="24"/>
          <w:szCs w:val="24"/>
          <w:lang w:val="lt-LT"/>
        </w:rPr>
        <w:t>TRIAL</w:t>
      </w:r>
    </w:p>
    <w:p w:rsidR="002F6DFA" w:rsidRDefault="002F6DFA" w:rsidP="002F6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Apibendrinamas gautas sprendimas </w:t>
      </w:r>
      <w:r w:rsidR="00346628">
        <w:rPr>
          <w:rFonts w:ascii="Times New Roman" w:hAnsi="Times New Roman" w:cs="Times New Roman"/>
          <w:sz w:val="24"/>
          <w:szCs w:val="24"/>
          <w:lang w:val="lt-LT"/>
        </w:rPr>
        <w:t>–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403AD8">
        <w:rPr>
          <w:rFonts w:ascii="Times New Roman" w:hAnsi="Times New Roman" w:cs="Times New Roman"/>
          <w:b/>
          <w:sz w:val="24"/>
          <w:szCs w:val="24"/>
          <w:lang w:val="lt-LT"/>
        </w:rPr>
        <w:t>EXPERIENCE</w:t>
      </w:r>
    </w:p>
    <w:p w:rsidR="00403AD8" w:rsidRDefault="00346628" w:rsidP="0034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Siekiant efektyviai taikyti šią metodiką, taikoma </w:t>
      </w:r>
      <w:r w:rsidRPr="00403AD8">
        <w:rPr>
          <w:rFonts w:ascii="Times New Roman" w:hAnsi="Times New Roman" w:cs="Times New Roman"/>
          <w:b/>
          <w:sz w:val="24"/>
          <w:szCs w:val="24"/>
        </w:rPr>
        <w:t>Event-driven programming</w:t>
      </w:r>
      <w:r>
        <w:rPr>
          <w:rFonts w:ascii="Times New Roman" w:hAnsi="Times New Roman" w:cs="Times New Roman"/>
          <w:sz w:val="24"/>
          <w:szCs w:val="24"/>
        </w:rPr>
        <w:t xml:space="preserve"> paradigma naudoja</w:t>
      </w:r>
      <w:r w:rsidR="00403AD8">
        <w:rPr>
          <w:rFonts w:ascii="Times New Roman" w:hAnsi="Times New Roman" w:cs="Times New Roman"/>
          <w:sz w:val="24"/>
          <w:szCs w:val="24"/>
        </w:rPr>
        <w:t>nt JavaFX API</w:t>
      </w:r>
      <w:r>
        <w:rPr>
          <w:rFonts w:ascii="Times New Roman" w:hAnsi="Times New Roman" w:cs="Times New Roman"/>
          <w:sz w:val="24"/>
          <w:szCs w:val="24"/>
        </w:rPr>
        <w:t xml:space="preserve">. Tačiau </w:t>
      </w:r>
      <w:r w:rsidR="00403AD8">
        <w:rPr>
          <w:rFonts w:ascii="Times New Roman" w:hAnsi="Times New Roman" w:cs="Times New Roman"/>
          <w:sz w:val="24"/>
          <w:szCs w:val="24"/>
        </w:rPr>
        <w:t>norint pateikti demo pavyzdžius, tenka kiekvienu atveju programuoti paruošia</w:t>
      </w:r>
      <w:r w:rsidR="00403AD8">
        <w:rPr>
          <w:rFonts w:ascii="Times New Roman" w:hAnsi="Times New Roman" w:cs="Times New Roman"/>
          <w:sz w:val="24"/>
          <w:szCs w:val="24"/>
        </w:rPr>
        <w:softHyphen/>
        <w:t>muosius veiksmus kaip scenos paruošimas, išdėstymo nustatymas ir panašiai. Todėl sukurtos išplės</w:t>
      </w:r>
      <w:r w:rsidR="00403AD8">
        <w:rPr>
          <w:rFonts w:ascii="Times New Roman" w:hAnsi="Times New Roman" w:cs="Times New Roman"/>
          <w:sz w:val="24"/>
          <w:szCs w:val="24"/>
        </w:rPr>
        <w:softHyphen/>
        <w:t>tinės klasės, kurios paveldi bazinės klasės Application savybes ir papildo naujomis savybėmis, kurios įgalina patogiai programuoti ir nagrinėti demonstracinius pavyzdžius.</w:t>
      </w:r>
    </w:p>
    <w:p w:rsidR="00403AD8" w:rsidRDefault="00403AD8" w:rsidP="0034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Taigi pagrindą </w:t>
      </w:r>
      <w:r w:rsidR="009121F3">
        <w:rPr>
          <w:rFonts w:ascii="Times New Roman" w:hAnsi="Times New Roman" w:cs="Times New Roman"/>
          <w:sz w:val="24"/>
          <w:szCs w:val="24"/>
        </w:rPr>
        <w:t xml:space="preserve">sudaro pakete </w:t>
      </w:r>
      <w:r w:rsidR="009121F3" w:rsidRPr="009121F3">
        <w:rPr>
          <w:rFonts w:ascii="Times New Roman" w:hAnsi="Times New Roman" w:cs="Times New Roman"/>
          <w:i/>
          <w:sz w:val="24"/>
          <w:szCs w:val="24"/>
        </w:rPr>
        <w:t>extendsFX</w:t>
      </w:r>
      <w:r w:rsidR="009121F3">
        <w:rPr>
          <w:rFonts w:ascii="Times New Roman" w:hAnsi="Times New Roman" w:cs="Times New Roman"/>
          <w:sz w:val="24"/>
          <w:szCs w:val="24"/>
        </w:rPr>
        <w:t xml:space="preserve"> esanti klasė BaseApps, kuri yra tiesioginė klasės Application paveldėtoja, ir jos išvestinės klasės BaseConsole ir BaseGraphics, kurios skirtos atitinkamai konsoliniams ir grafiniams uždaviniams programuoti.</w:t>
      </w:r>
      <w:r w:rsidR="00CF7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2DB" w:rsidRDefault="00CF72DB" w:rsidP="0034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Klasėje </w:t>
      </w:r>
      <w:r w:rsidRPr="00FF2617">
        <w:rPr>
          <w:rFonts w:ascii="Times New Roman" w:hAnsi="Times New Roman" w:cs="Times New Roman"/>
          <w:b/>
          <w:sz w:val="24"/>
          <w:szCs w:val="24"/>
        </w:rPr>
        <w:t>BaseApps</w:t>
      </w:r>
      <w:r>
        <w:rPr>
          <w:rFonts w:ascii="Times New Roman" w:hAnsi="Times New Roman" w:cs="Times New Roman"/>
          <w:sz w:val="24"/>
          <w:szCs w:val="24"/>
        </w:rPr>
        <w:t xml:space="preserve"> sukuriama tolimesnių veiksmų scena ir pagrindinis išdėstymas. Joje realizuoti metodai, leidžiantys </w:t>
      </w:r>
      <w:r w:rsidR="00FF2617">
        <w:rPr>
          <w:rFonts w:ascii="Times New Roman" w:hAnsi="Times New Roman" w:cs="Times New Roman"/>
          <w:sz w:val="24"/>
          <w:szCs w:val="24"/>
        </w:rPr>
        <w:t xml:space="preserve">greitai ir paprastai tiesiog vienos eilutės ribose </w:t>
      </w:r>
      <w:r>
        <w:rPr>
          <w:rFonts w:ascii="Times New Roman" w:hAnsi="Times New Roman" w:cs="Times New Roman"/>
          <w:sz w:val="24"/>
          <w:szCs w:val="24"/>
        </w:rPr>
        <w:t>kurti</w:t>
      </w:r>
      <w:r w:rsidR="00FF2617">
        <w:rPr>
          <w:rFonts w:ascii="Times New Roman" w:hAnsi="Times New Roman" w:cs="Times New Roman"/>
          <w:sz w:val="24"/>
          <w:szCs w:val="24"/>
        </w:rPr>
        <w:t xml:space="preserve"> valdymo elementus. Tiksliau susipažinti galima nagrinėjant klasės kodą.</w:t>
      </w:r>
    </w:p>
    <w:p w:rsidR="0028056B" w:rsidRDefault="00FF2617" w:rsidP="00FF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Klasėje </w:t>
      </w:r>
      <w:r w:rsidRPr="00FF2617">
        <w:rPr>
          <w:rFonts w:ascii="Times New Roman" w:hAnsi="Times New Roman" w:cs="Times New Roman"/>
          <w:b/>
          <w:sz w:val="24"/>
          <w:szCs w:val="24"/>
        </w:rPr>
        <w:t>BaseConsole</w:t>
      </w:r>
      <w:r>
        <w:rPr>
          <w:rFonts w:ascii="Times New Roman" w:hAnsi="Times New Roman" w:cs="Times New Roman"/>
          <w:sz w:val="24"/>
          <w:szCs w:val="24"/>
        </w:rPr>
        <w:t xml:space="preserve"> sukur</w:t>
      </w:r>
      <w:r w:rsidR="0028056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 aplinka </w:t>
      </w:r>
      <w:r w:rsidR="009A457C">
        <w:rPr>
          <w:rFonts w:ascii="Times New Roman" w:hAnsi="Times New Roman" w:cs="Times New Roman"/>
          <w:sz w:val="24"/>
          <w:szCs w:val="24"/>
        </w:rPr>
        <w:t>yra pritaikyt</w:t>
      </w:r>
      <w:r>
        <w:rPr>
          <w:rFonts w:ascii="Times New Roman" w:hAnsi="Times New Roman" w:cs="Times New Roman"/>
          <w:sz w:val="24"/>
          <w:szCs w:val="24"/>
        </w:rPr>
        <w:t xml:space="preserve">a konsolinių uždavinių sprendimui. </w:t>
      </w:r>
      <w:r w:rsidR="009F738B">
        <w:rPr>
          <w:rFonts w:ascii="Times New Roman" w:hAnsi="Times New Roman" w:cs="Times New Roman"/>
          <w:sz w:val="24"/>
          <w:szCs w:val="24"/>
        </w:rPr>
        <w:t xml:space="preserve">Pagrindą sudaro du TextArea tipo laukai </w:t>
      </w:r>
      <w:r w:rsidR="009F738B" w:rsidRPr="00CF604D">
        <w:rPr>
          <w:rFonts w:ascii="Times New Roman" w:hAnsi="Times New Roman" w:cs="Times New Roman"/>
          <w:sz w:val="24"/>
          <w:szCs w:val="24"/>
          <w:u w:val="single"/>
        </w:rPr>
        <w:t>ta1</w:t>
      </w:r>
      <w:r w:rsidR="009F738B">
        <w:rPr>
          <w:rFonts w:ascii="Times New Roman" w:hAnsi="Times New Roman" w:cs="Times New Roman"/>
          <w:sz w:val="24"/>
          <w:szCs w:val="24"/>
        </w:rPr>
        <w:t xml:space="preserve"> ir </w:t>
      </w:r>
      <w:r w:rsidR="009F738B" w:rsidRPr="00CF604D">
        <w:rPr>
          <w:rFonts w:ascii="Times New Roman" w:hAnsi="Times New Roman" w:cs="Times New Roman"/>
          <w:sz w:val="24"/>
          <w:szCs w:val="24"/>
          <w:u w:val="single"/>
        </w:rPr>
        <w:t>ta2</w:t>
      </w:r>
      <w:r w:rsidR="009F738B">
        <w:rPr>
          <w:rFonts w:ascii="Times New Roman" w:hAnsi="Times New Roman" w:cs="Times New Roman"/>
          <w:sz w:val="24"/>
          <w:szCs w:val="24"/>
        </w:rPr>
        <w:t xml:space="preserve">, kas išplečia tradicines vieno lango konsolės ypatybes. Galima traktuoti, kad srityje </w:t>
      </w:r>
      <w:r w:rsidR="009F738B" w:rsidRPr="00CF604D">
        <w:rPr>
          <w:rFonts w:ascii="Times New Roman" w:hAnsi="Times New Roman" w:cs="Times New Roman"/>
          <w:sz w:val="24"/>
          <w:szCs w:val="24"/>
          <w:u w:val="single"/>
        </w:rPr>
        <w:t>ta1</w:t>
      </w:r>
      <w:r w:rsidR="009F738B">
        <w:rPr>
          <w:rFonts w:ascii="Times New Roman" w:hAnsi="Times New Roman" w:cs="Times New Roman"/>
          <w:sz w:val="24"/>
          <w:szCs w:val="24"/>
        </w:rPr>
        <w:t xml:space="preserve"> vaizduojama įvedimo informacija, o srityje </w:t>
      </w:r>
      <w:r w:rsidR="009F738B" w:rsidRPr="00CF604D">
        <w:rPr>
          <w:rFonts w:ascii="Times New Roman" w:hAnsi="Times New Roman" w:cs="Times New Roman"/>
          <w:sz w:val="24"/>
          <w:szCs w:val="24"/>
          <w:u w:val="single"/>
        </w:rPr>
        <w:t>ta2</w:t>
      </w:r>
      <w:r w:rsidR="009F738B">
        <w:rPr>
          <w:rFonts w:ascii="Times New Roman" w:hAnsi="Times New Roman" w:cs="Times New Roman"/>
          <w:sz w:val="24"/>
          <w:szCs w:val="24"/>
        </w:rPr>
        <w:t xml:space="preserve"> – išvedimo. Todėl </w:t>
      </w:r>
      <w:r w:rsidR="0028056B">
        <w:rPr>
          <w:rFonts w:ascii="Times New Roman" w:hAnsi="Times New Roman" w:cs="Times New Roman"/>
          <w:sz w:val="24"/>
          <w:szCs w:val="24"/>
        </w:rPr>
        <w:t xml:space="preserve">buvo </w:t>
      </w:r>
      <w:r w:rsidR="009F738B">
        <w:rPr>
          <w:rFonts w:ascii="Times New Roman" w:hAnsi="Times New Roman" w:cs="Times New Roman"/>
          <w:sz w:val="24"/>
          <w:szCs w:val="24"/>
        </w:rPr>
        <w:t xml:space="preserve">sukurti </w:t>
      </w:r>
      <w:r w:rsidR="0028056B">
        <w:rPr>
          <w:rFonts w:ascii="Times New Roman" w:hAnsi="Times New Roman" w:cs="Times New Roman"/>
          <w:sz w:val="24"/>
          <w:szCs w:val="24"/>
        </w:rPr>
        <w:t xml:space="preserve">metodai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readLastInt()</w:t>
      </w:r>
      <w:r w:rsidR="0028056B">
        <w:rPr>
          <w:rFonts w:ascii="Times New Roman" w:hAnsi="Times New Roman" w:cs="Times New Roman"/>
          <w:sz w:val="24"/>
          <w:szCs w:val="24"/>
        </w:rPr>
        <w:t xml:space="preserve"> ir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readLastLine()</w:t>
      </w:r>
      <w:r w:rsidR="0028056B">
        <w:rPr>
          <w:rFonts w:ascii="Times New Roman" w:hAnsi="Times New Roman" w:cs="Times New Roman"/>
          <w:sz w:val="24"/>
          <w:szCs w:val="24"/>
        </w:rPr>
        <w:t xml:space="preserve">, kurie gražina lauko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ta1</w:t>
      </w:r>
      <w:r w:rsidR="0028056B">
        <w:rPr>
          <w:rFonts w:ascii="Times New Roman" w:hAnsi="Times New Roman" w:cs="Times New Roman"/>
          <w:sz w:val="24"/>
          <w:szCs w:val="24"/>
        </w:rPr>
        <w:t xml:space="preserve"> paskutinį sveiką skaičių ir paskutinę eilutę, kas leidžia interaktyviai keisti duomenis ir vėl vykdyti skaičiavimus. Atitinkamai laukui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ta2</w:t>
      </w:r>
      <w:r w:rsidR="0028056B">
        <w:rPr>
          <w:rFonts w:ascii="Times New Roman" w:hAnsi="Times New Roman" w:cs="Times New Roman"/>
          <w:sz w:val="24"/>
          <w:szCs w:val="24"/>
        </w:rPr>
        <w:t xml:space="preserve"> sukurti visiems žinomų metodų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print</w:t>
      </w:r>
      <w:r w:rsidR="0028056B">
        <w:rPr>
          <w:rFonts w:ascii="Times New Roman" w:hAnsi="Times New Roman" w:cs="Times New Roman"/>
          <w:sz w:val="24"/>
          <w:szCs w:val="24"/>
        </w:rPr>
        <w:t xml:space="preserve"> ir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printLn</w:t>
      </w:r>
      <w:r w:rsidR="0028056B">
        <w:rPr>
          <w:rFonts w:ascii="Times New Roman" w:hAnsi="Times New Roman" w:cs="Times New Roman"/>
          <w:sz w:val="24"/>
          <w:szCs w:val="24"/>
        </w:rPr>
        <w:t xml:space="preserve"> atitikmenys. Abiem laukams galima taikyti ir bendruosius metodus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setText</w:t>
      </w:r>
      <w:r w:rsidR="0028056B">
        <w:rPr>
          <w:rFonts w:ascii="Times New Roman" w:hAnsi="Times New Roman" w:cs="Times New Roman"/>
          <w:sz w:val="24"/>
          <w:szCs w:val="24"/>
        </w:rPr>
        <w:t xml:space="preserve">,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getText</w:t>
      </w:r>
      <w:r w:rsidR="0028056B">
        <w:rPr>
          <w:rFonts w:ascii="Times New Roman" w:hAnsi="Times New Roman" w:cs="Times New Roman"/>
          <w:sz w:val="24"/>
          <w:szCs w:val="24"/>
        </w:rPr>
        <w:t xml:space="preserve"> ir </w:t>
      </w:r>
      <w:r w:rsidR="0028056B" w:rsidRPr="00CF604D">
        <w:rPr>
          <w:rFonts w:ascii="Times New Roman" w:hAnsi="Times New Roman" w:cs="Times New Roman"/>
          <w:sz w:val="24"/>
          <w:szCs w:val="24"/>
          <w:u w:val="single"/>
        </w:rPr>
        <w:t>appendText</w:t>
      </w:r>
      <w:r w:rsidR="0028056B">
        <w:rPr>
          <w:rFonts w:ascii="Times New Roman" w:hAnsi="Times New Roman" w:cs="Times New Roman"/>
          <w:sz w:val="24"/>
          <w:szCs w:val="24"/>
        </w:rPr>
        <w:t>.</w:t>
      </w:r>
    </w:p>
    <w:p w:rsidR="00403AD8" w:rsidRDefault="0028056B" w:rsidP="0034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Klasėje </w:t>
      </w:r>
      <w:r w:rsidRPr="00FF2617">
        <w:rPr>
          <w:rFonts w:ascii="Times New Roman" w:hAnsi="Times New Roman" w:cs="Times New Roman"/>
          <w:b/>
          <w:sz w:val="24"/>
          <w:szCs w:val="24"/>
        </w:rPr>
        <w:t>Base</w:t>
      </w:r>
      <w:r>
        <w:rPr>
          <w:rFonts w:ascii="Times New Roman" w:hAnsi="Times New Roman" w:cs="Times New Roman"/>
          <w:b/>
          <w:sz w:val="24"/>
          <w:szCs w:val="24"/>
        </w:rPr>
        <w:t>Graphics</w:t>
      </w:r>
      <w:r>
        <w:rPr>
          <w:rFonts w:ascii="Times New Roman" w:hAnsi="Times New Roman" w:cs="Times New Roman"/>
          <w:sz w:val="24"/>
          <w:szCs w:val="24"/>
        </w:rPr>
        <w:t xml:space="preserve"> sukurta aplinka </w:t>
      </w:r>
      <w:r w:rsidR="009A457C">
        <w:rPr>
          <w:rFonts w:ascii="Times New Roman" w:hAnsi="Times New Roman" w:cs="Times New Roman"/>
          <w:sz w:val="24"/>
          <w:szCs w:val="24"/>
        </w:rPr>
        <w:t>yra pritaikyta</w:t>
      </w:r>
      <w:r>
        <w:rPr>
          <w:rFonts w:ascii="Times New Roman" w:hAnsi="Times New Roman" w:cs="Times New Roman"/>
          <w:sz w:val="24"/>
          <w:szCs w:val="24"/>
        </w:rPr>
        <w:t xml:space="preserve"> grafinių uždavinių sprendimui.</w:t>
      </w:r>
      <w:r w:rsidR="009A457C">
        <w:rPr>
          <w:rFonts w:ascii="Times New Roman" w:hAnsi="Times New Roman" w:cs="Times New Roman"/>
          <w:sz w:val="24"/>
          <w:szCs w:val="24"/>
        </w:rPr>
        <w:t xml:space="preserve"> Pagrindą sudaro Canvas tipo laukas </w:t>
      </w:r>
      <w:r w:rsidR="009A457C" w:rsidRPr="00CF604D">
        <w:rPr>
          <w:rFonts w:ascii="Times New Roman" w:hAnsi="Times New Roman" w:cs="Times New Roman"/>
          <w:sz w:val="24"/>
          <w:szCs w:val="24"/>
          <w:u w:val="single"/>
        </w:rPr>
        <w:t>canvas</w:t>
      </w:r>
      <w:r w:rsidR="009A457C">
        <w:rPr>
          <w:rFonts w:ascii="Times New Roman" w:hAnsi="Times New Roman" w:cs="Times New Roman"/>
          <w:sz w:val="24"/>
          <w:szCs w:val="24"/>
        </w:rPr>
        <w:t xml:space="preserve">, skirtas brėžimui ir </w:t>
      </w:r>
      <w:r w:rsidR="009A457C" w:rsidRPr="009A457C">
        <w:rPr>
          <w:rFonts w:ascii="Times New Roman" w:hAnsi="Times New Roman" w:cs="Times New Roman"/>
          <w:sz w:val="24"/>
          <w:szCs w:val="24"/>
        </w:rPr>
        <w:t>GraphicsContext</w:t>
      </w:r>
      <w:r w:rsidR="009A457C">
        <w:rPr>
          <w:rFonts w:ascii="Times New Roman" w:hAnsi="Times New Roman" w:cs="Times New Roman"/>
          <w:sz w:val="24"/>
          <w:szCs w:val="24"/>
        </w:rPr>
        <w:t xml:space="preserve"> tipo laukas </w:t>
      </w:r>
      <w:r w:rsidR="009A457C" w:rsidRPr="00CF604D">
        <w:rPr>
          <w:rFonts w:ascii="Times New Roman" w:hAnsi="Times New Roman" w:cs="Times New Roman"/>
          <w:sz w:val="24"/>
          <w:szCs w:val="24"/>
          <w:u w:val="single"/>
        </w:rPr>
        <w:t>gc</w:t>
      </w:r>
      <w:r w:rsidR="009A457C">
        <w:rPr>
          <w:rFonts w:ascii="Times New Roman" w:hAnsi="Times New Roman" w:cs="Times New Roman"/>
          <w:sz w:val="24"/>
          <w:szCs w:val="24"/>
        </w:rPr>
        <w:t>, kuris įgalina naudotis visu JavaFX braižymo API. Kad būtų patogu gauti įdomesmius sprendimus su skirtingomis spalvomis buvo sukur</w:t>
      </w:r>
      <w:r w:rsidR="00B708A6">
        <w:rPr>
          <w:rFonts w:ascii="Times New Roman" w:hAnsi="Times New Roman" w:cs="Times New Roman"/>
          <w:sz w:val="24"/>
          <w:szCs w:val="24"/>
        </w:rPr>
        <w:t>t</w:t>
      </w:r>
      <w:r w:rsidR="009A457C">
        <w:rPr>
          <w:rFonts w:ascii="Times New Roman" w:hAnsi="Times New Roman" w:cs="Times New Roman"/>
          <w:sz w:val="24"/>
          <w:szCs w:val="24"/>
        </w:rPr>
        <w:t xml:space="preserve">i metodai </w:t>
      </w:r>
      <w:r w:rsidR="009A457C" w:rsidRPr="00CF604D">
        <w:rPr>
          <w:rFonts w:ascii="Times New Roman" w:hAnsi="Times New Roman" w:cs="Times New Roman"/>
          <w:sz w:val="24"/>
          <w:szCs w:val="24"/>
          <w:u w:val="single"/>
        </w:rPr>
        <w:t>randomColor()</w:t>
      </w:r>
      <w:r w:rsidR="009A457C">
        <w:rPr>
          <w:rFonts w:ascii="Times New Roman" w:hAnsi="Times New Roman" w:cs="Times New Roman"/>
          <w:sz w:val="24"/>
          <w:szCs w:val="24"/>
        </w:rPr>
        <w:t xml:space="preserve"> ir </w:t>
      </w:r>
      <w:r w:rsidR="009A457C" w:rsidRPr="00CF604D">
        <w:rPr>
          <w:rFonts w:ascii="Times New Roman" w:hAnsi="Times New Roman" w:cs="Times New Roman"/>
          <w:sz w:val="24"/>
          <w:szCs w:val="24"/>
          <w:u w:val="single"/>
        </w:rPr>
        <w:t>randomColor(double opacity).</w:t>
      </w:r>
    </w:p>
    <w:p w:rsidR="009A457C" w:rsidRDefault="009A457C" w:rsidP="0034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</w:t>
      </w:r>
      <w:r w:rsidR="00C62757">
        <w:rPr>
          <w:rFonts w:ascii="Times New Roman" w:hAnsi="Times New Roman" w:cs="Times New Roman"/>
          <w:sz w:val="24"/>
          <w:szCs w:val="24"/>
        </w:rPr>
        <w:t>ų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="00C62757">
        <w:rPr>
          <w:rFonts w:ascii="Times New Roman" w:hAnsi="Times New Roman" w:cs="Times New Roman"/>
          <w:sz w:val="24"/>
          <w:szCs w:val="24"/>
        </w:rPr>
        <w:t>ijų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757">
        <w:rPr>
          <w:rFonts w:ascii="Times New Roman" w:hAnsi="Times New Roman" w:cs="Times New Roman"/>
          <w:sz w:val="24"/>
          <w:szCs w:val="24"/>
        </w:rPr>
        <w:t>Application išvestinių klasių  kodas gali būti studentų nagrinėjamas tiesiog kaip atvejo analizės principo (case study)  taikymas.</w:t>
      </w:r>
      <w:r w:rsidR="00F11A7F">
        <w:rPr>
          <w:rFonts w:ascii="Times New Roman" w:hAnsi="Times New Roman" w:cs="Times New Roman"/>
          <w:sz w:val="24"/>
          <w:szCs w:val="24"/>
        </w:rPr>
        <w:t xml:space="preserve"> Tai ledžia pamatyti paveldėjimo jėgą konkretaus taikymo atveju</w:t>
      </w:r>
      <w:r w:rsidR="00A26C69">
        <w:rPr>
          <w:rFonts w:ascii="Times New Roman" w:hAnsi="Times New Roman" w:cs="Times New Roman"/>
          <w:sz w:val="24"/>
          <w:szCs w:val="24"/>
        </w:rPr>
        <w:t>, analizuoti alternatyvius sprendimus, gerinti esamus sprendimus.</w:t>
      </w:r>
    </w:p>
    <w:p w:rsidR="00403AD8" w:rsidRDefault="00A26C69" w:rsidP="0034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Pakete demos.console pateiktos </w:t>
      </w:r>
      <w:r w:rsidR="00B200E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demonstracinės klasės, pradedant nuo paprasčiausių įvykių apdorojimo metodų. Interaktyviai supažindinam</w:t>
      </w:r>
      <w:r w:rsidR="009030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su StringBuilder’iu</w:t>
      </w:r>
      <w:r w:rsidR="0090305A">
        <w:rPr>
          <w:rFonts w:ascii="Times New Roman" w:hAnsi="Times New Roman" w:cs="Times New Roman"/>
          <w:sz w:val="24"/>
          <w:szCs w:val="24"/>
        </w:rPr>
        <w:t xml:space="preserve">, Stack ir Queue, Collator’iumi ir </w:t>
      </w:r>
      <w:r w:rsidR="0090305A">
        <w:rPr>
          <w:rFonts w:ascii="Times New Roman" w:hAnsi="Times New Roman" w:cs="Times New Roman"/>
          <w:sz w:val="24"/>
          <w:szCs w:val="24"/>
        </w:rPr>
        <w:lastRenderedPageBreak/>
        <w:t>lokalėmis, Regex taisyklėmis ir panaudojimo šablonais, Unicodo</w:t>
      </w:r>
      <w:r w:rsidR="00D23940">
        <w:rPr>
          <w:rFonts w:ascii="Times New Roman" w:hAnsi="Times New Roman" w:cs="Times New Roman"/>
          <w:sz w:val="24"/>
          <w:szCs w:val="24"/>
        </w:rPr>
        <w:t xml:space="preserve"> simbolių galimybėmis. </w:t>
      </w:r>
      <w:r w:rsidR="0090305A">
        <w:rPr>
          <w:rFonts w:ascii="Times New Roman" w:hAnsi="Times New Roman" w:cs="Times New Roman"/>
          <w:sz w:val="24"/>
          <w:szCs w:val="24"/>
        </w:rPr>
        <w:t>Konsolinių uždavinių apibendrinimui rekomenduojama išbandyti ir toliau iš</w:t>
      </w:r>
      <w:r w:rsidR="00D23940">
        <w:rPr>
          <w:rFonts w:ascii="Times New Roman" w:hAnsi="Times New Roman" w:cs="Times New Roman"/>
          <w:sz w:val="24"/>
          <w:szCs w:val="24"/>
        </w:rPr>
        <w:t>plėsti parduotuvės uždavinį (paketas demos.shop).</w:t>
      </w:r>
    </w:p>
    <w:p w:rsidR="0090305A" w:rsidRPr="00B200EB" w:rsidRDefault="00D23940" w:rsidP="0034662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</w:rPr>
        <w:t xml:space="preserve">Pakete demos.graphics pateiktos </w:t>
      </w:r>
      <w:r w:rsidR="00B200E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demonstracinės klasės, pradedant nuo bazinių JavaFX figūrų brėžimo. Interaktyviai supažindinama su rastriniais efektais,  grafinėmis transformacijomis, animacijos kūrimu, pelės įvykių apdorojimu</w:t>
      </w:r>
      <w:r w:rsidR="00B200EB">
        <w:rPr>
          <w:rFonts w:ascii="Times New Roman" w:hAnsi="Times New Roman" w:cs="Times New Roman"/>
          <w:sz w:val="24"/>
          <w:szCs w:val="24"/>
        </w:rPr>
        <w:t>. Tolimesniam vystymui temų yra daug – tai ir modeliavimo u</w:t>
      </w:r>
      <w:r w:rsidR="00B200EB">
        <w:rPr>
          <w:rFonts w:ascii="Times New Roman" w:hAnsi="Times New Roman" w:cs="Times New Roman"/>
          <w:sz w:val="24"/>
          <w:szCs w:val="24"/>
          <w:lang w:val="lt-LT"/>
        </w:rPr>
        <w:t>ždavi</w:t>
      </w:r>
      <w:r w:rsidR="00B200EB">
        <w:rPr>
          <w:rFonts w:ascii="Times New Roman" w:hAnsi="Times New Roman" w:cs="Times New Roman"/>
          <w:sz w:val="24"/>
          <w:szCs w:val="24"/>
          <w:lang w:val="lt-LT"/>
        </w:rPr>
        <w:softHyphen/>
        <w:t>niai, ir įvairūs grafiniai žaidimai.</w:t>
      </w:r>
    </w:p>
    <w:sectPr w:rsidR="0090305A" w:rsidRPr="00B200EB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131"/>
    <w:multiLevelType w:val="hybridMultilevel"/>
    <w:tmpl w:val="F538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CE1"/>
    <w:multiLevelType w:val="hybridMultilevel"/>
    <w:tmpl w:val="F538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35"/>
    <w:rsid w:val="00010CA8"/>
    <w:rsid w:val="0028056B"/>
    <w:rsid w:val="002F6DFA"/>
    <w:rsid w:val="00346628"/>
    <w:rsid w:val="00403AD8"/>
    <w:rsid w:val="004F0647"/>
    <w:rsid w:val="006A7739"/>
    <w:rsid w:val="0090305A"/>
    <w:rsid w:val="009121F3"/>
    <w:rsid w:val="00970FE0"/>
    <w:rsid w:val="009A457C"/>
    <w:rsid w:val="009E2135"/>
    <w:rsid w:val="009F738B"/>
    <w:rsid w:val="00A26C69"/>
    <w:rsid w:val="00B200EB"/>
    <w:rsid w:val="00B708A6"/>
    <w:rsid w:val="00B84B61"/>
    <w:rsid w:val="00C62757"/>
    <w:rsid w:val="00CF604D"/>
    <w:rsid w:val="00CF72DB"/>
    <w:rsid w:val="00D23940"/>
    <w:rsid w:val="00F11A7F"/>
    <w:rsid w:val="00F3517F"/>
    <w:rsid w:val="00F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9</cp:revision>
  <dcterms:created xsi:type="dcterms:W3CDTF">2019-08-13T09:38:00Z</dcterms:created>
  <dcterms:modified xsi:type="dcterms:W3CDTF">2019-09-02T16:58:00Z</dcterms:modified>
</cp:coreProperties>
</file>