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0"/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  <w:b/>
          <w:bCs/>
          <w:color w:val="1F3864"/>
          <w:sz w:val="36"/>
          <w:szCs w:val="36"/>
        </w:rPr>
        <w:t xml:space="preserve"> </w:t>
      </w:r>
      <w:r>
        <w:rPr>
          <w:rFonts w:ascii="Arial Rounded MT Bold" w:hAnsi="Arial Rounded MT Bold"/>
          <w:b/>
          <w:bCs/>
          <w:color w:val="1F3864"/>
          <w:sz w:val="36"/>
          <w:szCs w:val="36"/>
        </w:rPr>
        <w:t>CUSTOMER CHURN ANALYSIS</w:t>
      </w:r>
    </w:p>
    <w:p>
      <w:pPr>
        <w:pStyle w:val="Normal"/>
        <w:bidi w:val="0"/>
        <w:spacing w:before="0" w:after="240"/>
        <w:jc w:val="center"/>
        <w:rPr>
          <w:rFonts w:ascii="Arial Narrow" w:hAnsi="Arial Narrow"/>
        </w:rPr>
      </w:pPr>
      <w:r>
        <w:rPr>
          <w:rFonts w:ascii="Arial Narrow" w:hAnsi="Arial Narrow"/>
          <w:i/>
          <w:iCs/>
          <w:color w:val="595959"/>
          <w:sz w:val="21"/>
          <w:szCs w:val="21"/>
        </w:rPr>
        <w:t>Telecom Subscriber Retention — Executive Summary</w:t>
      </w:r>
    </w:p>
    <w:tbl>
      <w:tblPr>
        <w:tblW w:w="1040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730"/>
        <w:gridCol w:w="2700"/>
        <w:gridCol w:w="2370"/>
        <w:gridCol w:w="2600"/>
      </w:tblGrid>
      <w:tr>
        <w:trPr/>
        <w:tc>
          <w:tcPr>
            <w:tcW w:w="2730" w:type="dxa"/>
            <w:tcBorders/>
            <w:shd w:fill="F2F2F2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b/>
                <w:bCs/>
                <w:color w:val="1F3864"/>
                <w:sz w:val="32"/>
                <w:szCs w:val="32"/>
              </w:rPr>
              <w:t>7,043</w:t>
            </w:r>
          </w:p>
          <w:p>
            <w:pPr>
              <w:pStyle w:val="Normal"/>
              <w:bidi w:val="0"/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  <w:color w:val="595959"/>
                <w:sz w:val="16"/>
                <w:szCs w:val="16"/>
              </w:rPr>
              <w:t>Customers Analyzed</w:t>
            </w:r>
          </w:p>
        </w:tc>
        <w:tc>
          <w:tcPr>
            <w:tcW w:w="2700" w:type="dxa"/>
            <w:tcBorders/>
            <w:shd w:fill="F2F2F2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b/>
                <w:bCs/>
                <w:color w:val="C00000"/>
                <w:sz w:val="32"/>
                <w:szCs w:val="32"/>
              </w:rPr>
            </w:pPr>
            <w:r>
              <w:rPr>
                <w:b/>
                <w:bCs/>
                <w:color w:val="C00000"/>
                <w:sz w:val="32"/>
                <w:szCs w:val="32"/>
              </w:rPr>
              <w:t>26.6%</w:t>
            </w:r>
          </w:p>
          <w:p>
            <w:pPr>
              <w:pStyle w:val="Normal"/>
              <w:bidi w:val="0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595959"/>
                <w:sz w:val="16"/>
                <w:szCs w:val="16"/>
              </w:rPr>
              <w:t>Overall Churn Rate</w:t>
            </w:r>
          </w:p>
        </w:tc>
        <w:tc>
          <w:tcPr>
            <w:tcW w:w="2370" w:type="dxa"/>
            <w:tcBorders/>
            <w:shd w:fill="F2F2F2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b/>
                <w:bCs/>
                <w:color w:val="375623"/>
                <w:sz w:val="32"/>
                <w:szCs w:val="32"/>
              </w:rPr>
            </w:pPr>
            <w:r>
              <w:rPr>
                <w:b/>
                <w:bCs/>
                <w:color w:val="375623"/>
                <w:sz w:val="32"/>
                <w:szCs w:val="32"/>
              </w:rPr>
              <w:t>0.84</w:t>
            </w:r>
          </w:p>
          <w:p>
            <w:pPr>
              <w:pStyle w:val="Normal"/>
              <w:bidi w:val="0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595959"/>
                <w:sz w:val="16"/>
                <w:szCs w:val="16"/>
              </w:rPr>
              <w:t>Model AUC Score</w:t>
            </w:r>
          </w:p>
        </w:tc>
        <w:tc>
          <w:tcPr>
            <w:tcW w:w="2600" w:type="dxa"/>
            <w:tcBorders/>
            <w:shd w:fill="F2F2F2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b/>
                <w:bCs/>
                <w:color w:val="1F3864"/>
                <w:sz w:val="32"/>
                <w:szCs w:val="32"/>
              </w:rPr>
            </w:pPr>
            <w:r>
              <w:rPr>
                <w:b/>
                <w:bCs/>
                <w:color w:val="1F3864"/>
                <w:sz w:val="32"/>
                <w:szCs w:val="32"/>
              </w:rPr>
              <w:t>56%</w:t>
            </w:r>
          </w:p>
          <w:p>
            <w:pPr>
              <w:pStyle w:val="Normal"/>
              <w:bidi w:val="0"/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  <w:color w:val="595959"/>
                <w:sz w:val="16"/>
                <w:szCs w:val="16"/>
              </w:rPr>
              <w:t>Churners Correctly Flagged</w:t>
            </w:r>
          </w:p>
        </w:tc>
      </w:tr>
    </w:tbl>
    <w:p>
      <w:pPr>
        <w:pStyle w:val="Normal"/>
        <w:pBdr>
          <w:bottom w:val="single" w:sz="6" w:space="3" w:color="1F3864"/>
        </w:pBdr>
        <w:bidi w:val="0"/>
        <w:spacing w:before="240" w:after="100"/>
        <w:jc w:val="start"/>
        <w:rPr>
          <w:rFonts w:ascii="Arial Black" w:hAnsi="Arial Black"/>
        </w:rPr>
      </w:pPr>
      <w:r>
        <w:rPr>
          <w:rFonts w:ascii="Arial Black" w:hAnsi="Arial Black"/>
          <w:b/>
          <w:bCs/>
          <w:color w:val="1F3864"/>
          <w:sz w:val="24"/>
          <w:szCs w:val="24"/>
        </w:rPr>
        <w:t>OBJECTIVE</w:t>
      </w:r>
    </w:p>
    <w:p>
      <w:pPr>
        <w:pStyle w:val="Normal"/>
        <w:bidi w:val="0"/>
        <w:spacing w:before="0" w:after="100"/>
        <w:jc w:val="start"/>
        <w:rPr>
          <w:rFonts w:ascii="Arial Narrow" w:hAnsi="Arial Narrow"/>
        </w:rPr>
      </w:pPr>
      <w:r>
        <w:rPr>
          <w:rFonts w:ascii="Arial Narrow" w:hAnsi="Arial Narrow"/>
          <w:sz w:val="21"/>
          <w:szCs w:val="21"/>
        </w:rPr>
        <w:t>Identify which customers are likely to churn and what factors drive that risk, using historical account, contract, and service data. A logistic regression model was trained on 7,043 customer records to surface actionable retention levers.</w:t>
      </w:r>
    </w:p>
    <w:p>
      <w:pPr>
        <w:pStyle w:val="Normal"/>
        <w:pBdr>
          <w:bottom w:val="single" w:sz="6" w:space="3" w:color="1F3864"/>
        </w:pBdr>
        <w:bidi w:val="0"/>
        <w:spacing w:before="240" w:after="100"/>
        <w:jc w:val="start"/>
        <w:rPr>
          <w:rFonts w:ascii="Arial Black" w:hAnsi="Arial Black"/>
        </w:rPr>
      </w:pPr>
      <w:r>
        <w:rPr>
          <w:rFonts w:ascii="Arial Black" w:hAnsi="Arial Black"/>
          <w:b/>
          <w:bCs/>
          <w:color w:val="1F3864"/>
          <w:sz w:val="24"/>
          <w:szCs w:val="24"/>
        </w:rPr>
        <w:t>KEY FINDINGS</w:t>
      </w:r>
    </w:p>
    <w:p>
      <w:pPr>
        <w:pStyle w:val="ListParagraph"/>
        <w:numPr>
          <w:ilvl w:val="0"/>
          <w:numId w:val="4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Contract length is the strongest retention factor — two-year contract holders are far less likely to churn than month-to-month customers.</w:t>
      </w:r>
    </w:p>
    <w:p>
      <w:pPr>
        <w:pStyle w:val="ListParagraph"/>
        <w:numPr>
          <w:ilvl w:val="0"/>
          <w:numId w:val="2"/>
        </w:numPr>
        <w:bidi w:val="0"/>
        <w:rPr>
          <w:rFonts w:ascii="Arial Narrow" w:hAnsi="Arial Narrow"/>
        </w:rPr>
      </w:pPr>
      <w:r>
        <w:rPr>
          <w:rFonts w:ascii="Arial Narrow" w:hAnsi="Arial Narrow"/>
        </w:rPr>
        <w:t>Fiber optic internet subscribers show the highest churn risk of any service segment, more than any other single factor.</w:t>
      </w:r>
    </w:p>
    <w:p>
      <w:pPr>
        <w:pStyle w:val="ListParagraph"/>
        <w:numPr>
          <w:ilvl w:val="0"/>
          <w:numId w:val="2"/>
        </w:numPr>
        <w:bidi w:val="0"/>
        <w:rPr>
          <w:rFonts w:ascii="Arial Narrow" w:hAnsi="Arial Narrow"/>
        </w:rPr>
      </w:pPr>
      <w:r>
        <w:rPr>
          <w:rFonts w:ascii="Arial Narrow" w:hAnsi="Arial Narrow"/>
        </w:rPr>
        <w:t>Customers paying via electronic check churn significantly more than those on autopay (credit card or bank transfer).</w:t>
      </w:r>
    </w:p>
    <w:p>
      <w:pPr>
        <w:pStyle w:val="ListParagraph"/>
        <w:numPr>
          <w:ilvl w:val="0"/>
          <w:numId w:val="2"/>
        </w:numPr>
        <w:bidi w:val="0"/>
        <w:rPr>
          <w:rFonts w:ascii="Arial Narrow" w:hAnsi="Arial Narrow"/>
        </w:rPr>
      </w:pPr>
      <w:r>
        <w:rPr>
          <w:rFonts w:ascii="Arial Narrow" w:hAnsi="Arial Narrow"/>
        </w:rPr>
        <w:t>Add-on services — Online Security and Tech Support — correlate with lower churn, suggesting engaged, supported customers stay longer.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Senior citizens and customers with multiple lines or streaming add-ons show moderately elevated churn risk.</w:t>
      </w:r>
    </w:p>
    <w:p>
      <w:pPr>
        <w:pStyle w:val="Normal"/>
        <w:pBdr>
          <w:bottom w:val="single" w:sz="6" w:space="3" w:color="1F3864"/>
        </w:pBdr>
        <w:bidi w:val="0"/>
        <w:spacing w:before="240" w:after="100"/>
        <w:jc w:val="start"/>
        <w:rPr>
          <w:rFonts w:ascii="Arial Black" w:hAnsi="Arial Black"/>
        </w:rPr>
      </w:pPr>
      <w:r>
        <w:rPr>
          <w:rFonts w:ascii="Arial Black" w:hAnsi="Arial Black"/>
          <w:b/>
          <w:bCs/>
          <w:color w:val="1F3864"/>
          <w:sz w:val="24"/>
          <w:szCs w:val="24"/>
        </w:rPr>
        <w:t>MODEL PERFORMANCE</w:t>
      </w:r>
    </w:p>
    <w:p>
      <w:pPr>
        <w:pStyle w:val="Normal"/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sz w:val="21"/>
          <w:szCs w:val="21"/>
        </w:rPr>
        <w:t>The model achieves an AUC of 0.84, indicating strong ability to distinguish churners from retained customers. It correctly identifies 56% of actual churners with 65% precision — meaning roughly two-thirds of flagged customers are genuinely at risk.</w:t>
      </w:r>
    </w:p>
    <w:p>
      <w:pPr>
        <w:pStyle w:val="Normal"/>
        <w:pBdr>
          <w:bottom w:val="single" w:sz="6" w:space="3" w:color="1F3864"/>
        </w:pBdr>
        <w:bidi w:val="0"/>
        <w:spacing w:before="240" w:after="100"/>
        <w:jc w:val="start"/>
        <w:rPr>
          <w:rFonts w:ascii="Arial Black" w:hAnsi="Arial Black"/>
        </w:rPr>
      </w:pPr>
      <w:r>
        <w:rPr>
          <w:rFonts w:ascii="Arial Black" w:hAnsi="Arial Black"/>
          <w:b/>
          <w:bCs/>
          <w:color w:val="1F3864"/>
          <w:sz w:val="24"/>
          <w:szCs w:val="24"/>
        </w:rPr>
        <w:t>RECOMMENDATIONS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Incentivize month-to-month customers to upgrade to annual contracts (e.g. discounted rate for 1- or 2-year commitment).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Investigate fiber optic service satisfaction — pricing, reliability, or support gaps may be driving elevated churn.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Encourage autopay adoption among electronic check users through small incentives.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Proactively offer Online Security / Tech Support add-ons to at-risk segments as a retention lever.</w:t>
      </w:r>
    </w:p>
    <w:p>
      <w:pPr>
        <w:pStyle w:val="ListParagraph"/>
        <w:numPr>
          <w:ilvl w:val="0"/>
          <w:numId w:val="2"/>
        </w:numPr>
        <w:bidi w:val="0"/>
        <w:spacing w:before="0" w:after="60"/>
        <w:jc w:val="start"/>
        <w:rPr>
          <w:rFonts w:ascii="Arial Narrow" w:hAnsi="Arial Narrow"/>
        </w:rPr>
      </w:pPr>
      <w:r>
        <w:rPr>
          <w:rFonts w:ascii="Arial Narrow" w:hAnsi="Arial Narrow"/>
          <w:color w:val="262626"/>
          <w:sz w:val="21"/>
          <w:szCs w:val="21"/>
        </w:rPr>
        <w:t>Prioritize outreach to customers scoring above a churn-probability threshold (e.g. 35%) identified by the model, rather than waiting for cancellation.</w:t>
      </w:r>
    </w:p>
    <w:p>
      <w:pPr>
        <w:pStyle w:val="Normal"/>
        <w:pBdr>
          <w:top w:val="single" w:sz="4" w:space="6" w:color="BFBFBF"/>
        </w:pBdr>
        <w:bidi w:val="0"/>
        <w:spacing w:before="300" w:after="0"/>
        <w:jc w:val="start"/>
        <w:rPr>
          <w:i/>
          <w:iCs/>
          <w:color w:val="595959"/>
          <w:sz w:val="16"/>
          <w:szCs w:val="16"/>
        </w:rPr>
      </w:pPr>
      <w:r>
        <w:rPr/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Rounded MT Bold">
    <w:charset w:val="01"/>
    <w:family w:val="swiss"/>
    <w:pitch w:val="variable"/>
  </w:font>
  <w:font w:name="Arial Narrow">
    <w:charset w:val="01"/>
    <w:family w:val="swiss"/>
    <w:pitch w:val="variable"/>
  </w:font>
  <w:font w:name="Arial Black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1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383</TotalTime>
  <Application>LibreOffice/26.2.5.2$Windows_X86_64 LibreOffice_project/cd7284b4cbbfeb507e630c1aac019f4157393acb</Application>
  <AppVersion>15.0000</AppVersion>
  <Pages>1</Pages>
  <Words>273</Words>
  <Characters>1646</Characters>
  <CharactersWithSpaces>1890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2026-08-08T16:54:13Z</dcterms:created>
  <dc:creator>Un-named</dc:creator>
  <dc:description/>
  <dc:language>en-US</dc:language>
  <cp:lastModifiedBy/>
  <dcterms:modified xsi:type="dcterms:W3CDTF">2026-08-21T19:33:09Z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