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MOBİL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Yapılanlar: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Projenin alfa sürümünde, qr okuma kutuphanesi test edildi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History kismi eklenildi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Sonuçlar: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Projede kullanılan algoritma kütüphanelerin istelin sonuçları verildiği görülmüştür.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 deneyimi için en uygun arayüzler tasarlanmıştır. 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Kullanıcı güvenliği için gerekli araştırmalar yapılmıştır 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 Örneği: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Projenin alfa sürümünde 4 tane arayüz tasarlandı.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 arayüzler: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Açılış Ekranı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Qr Create Ekranı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Qr Reader Ekranı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 Reader Ekranı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şeklinde tasarlandı.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T8CnkyaRFRQVQBSnAhoHNDfzwg==">AMUW2mUVzLS018hNHAn6WlseSUkhu+yzmvLUdG70pPeQjKj+zjc0xr1MW7b/7dISXAXdKG1GpKhBaEuBsJGiVUb4eKhyHan5ftghMVE5e6paw1D1Vr5K7AI=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