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6d9300120d4b57f0803799ae093047af35fdf5"/>
      <w:r>
        <w:t xml:space="preserve">Google Cloud Platform Pricing Calculator Documentation</w:t>
      </w:r>
      <w:bookmarkEnd w:id="20"/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c26a2ac4d28550c93c28cdd2399ba7b9950219e">
        <w:r>
          <w:rPr>
            <w:rStyle w:val="Hyperlink"/>
          </w:rPr>
          <w:t xml:space="preserve">Step-by-Step Configuration Process</w:t>
        </w:r>
      </w:hyperlink>
    </w:p>
    <w:p>
      <w:pPr>
        <w:numPr>
          <w:ilvl w:val="1"/>
          <w:numId w:val="1002"/>
        </w:numPr>
        <w:pStyle w:val="Compact"/>
      </w:pPr>
      <w:hyperlink w:anchor="X9b100f174245df9255c3c481a382db572c32e51">
        <w:r>
          <w:rPr>
            <w:rStyle w:val="Hyperlink"/>
          </w:rPr>
          <w:t xml:space="preserve">Initial Landing Page</w:t>
        </w:r>
      </w:hyperlink>
    </w:p>
    <w:p>
      <w:pPr>
        <w:numPr>
          <w:ilvl w:val="1"/>
          <w:numId w:val="1002"/>
        </w:numPr>
        <w:pStyle w:val="Compact"/>
      </w:pPr>
      <w:hyperlink w:anchor="X1e289762d2f33dffd5078a88b9c6b5fdb959f45">
        <w:r>
          <w:rPr>
            <w:rStyle w:val="Hyperlink"/>
          </w:rPr>
          <w:t xml:space="preserve">Compute Engine Configuration</w:t>
        </w:r>
      </w:hyperlink>
    </w:p>
    <w:p>
      <w:pPr>
        <w:numPr>
          <w:ilvl w:val="1"/>
          <w:numId w:val="1002"/>
        </w:numPr>
        <w:pStyle w:val="Compact"/>
      </w:pPr>
      <w:hyperlink w:anchor="X13c0a87a2783057ea3cd173b5eb6e1e19b56307">
        <w:r>
          <w:rPr>
            <w:rStyle w:val="Hyperlink"/>
          </w:rPr>
          <w:t xml:space="preserve">Cloud SQL Configuration</w:t>
        </w:r>
      </w:hyperlink>
    </w:p>
    <w:p>
      <w:pPr>
        <w:numPr>
          <w:ilvl w:val="1"/>
          <w:numId w:val="1002"/>
        </w:numPr>
        <w:pStyle w:val="Compact"/>
      </w:pPr>
      <w:hyperlink w:anchor="X26b6c3f0b1485d15651ffcd2eb2790141dad8e7">
        <w:r>
          <w:rPr>
            <w:rStyle w:val="Hyperlink"/>
          </w:rPr>
          <w:t xml:space="preserve">Cloud DNS Configuration</w:t>
        </w:r>
      </w:hyperlink>
    </w:p>
    <w:p>
      <w:pPr>
        <w:numPr>
          <w:ilvl w:val="1"/>
          <w:numId w:val="1002"/>
        </w:numPr>
        <w:pStyle w:val="Compact"/>
      </w:pPr>
      <w:hyperlink w:anchor="Xd46117605f8ce0389e83d8b207ce75f17d12c1c">
        <w:r>
          <w:rPr>
            <w:rStyle w:val="Hyperlink"/>
          </w:rPr>
          <w:t xml:space="preserve">Total Cost Summary</w:t>
        </w:r>
      </w:hyperlink>
    </w:p>
    <w:p>
      <w:pPr>
        <w:numPr>
          <w:ilvl w:val="0"/>
          <w:numId w:val="1001"/>
        </w:numPr>
        <w:pStyle w:val="Compact"/>
      </w:pPr>
      <w:hyperlink w:anchor="X9f47c539d7d4243511f5a9e8bc01f9ea9190a80">
        <w:r>
          <w:rPr>
            <w:rStyle w:val="Hyperlink"/>
          </w:rPr>
          <w:t xml:space="preserve">Service Selection Justification</w:t>
        </w:r>
      </w:hyperlink>
    </w:p>
    <w:p>
      <w:pPr>
        <w:numPr>
          <w:ilvl w:val="1"/>
          <w:numId w:val="1003"/>
        </w:numPr>
        <w:pStyle w:val="Compact"/>
      </w:pPr>
      <w:hyperlink w:anchor="Xea93cafe8ab2598145644cd1587af2a6a89daef">
        <w:r>
          <w:rPr>
            <w:rStyle w:val="Hyperlink"/>
          </w:rPr>
          <w:t xml:space="preserve">Compute Engine</w:t>
        </w:r>
      </w:hyperlink>
    </w:p>
    <w:p>
      <w:pPr>
        <w:numPr>
          <w:ilvl w:val="1"/>
          <w:numId w:val="1003"/>
        </w:numPr>
        <w:pStyle w:val="Compact"/>
      </w:pPr>
      <w:hyperlink w:anchor="X505429435ff352e1817fae258a44d29cafcc841">
        <w:r>
          <w:rPr>
            <w:rStyle w:val="Hyperlink"/>
          </w:rPr>
          <w:t xml:space="preserve">Cloud SQL</w:t>
        </w:r>
      </w:hyperlink>
    </w:p>
    <w:p>
      <w:pPr>
        <w:numPr>
          <w:ilvl w:val="1"/>
          <w:numId w:val="1003"/>
        </w:numPr>
        <w:pStyle w:val="Compact"/>
      </w:pPr>
      <w:hyperlink w:anchor="Xee93869654f9a1b369d0bc182d1784dbc12834e">
        <w:r>
          <w:rPr>
            <w:rStyle w:val="Hyperlink"/>
          </w:rPr>
          <w:t xml:space="preserve">Cloud DNS</w:t>
        </w:r>
      </w:hyperlink>
    </w:p>
    <w:p>
      <w:pPr>
        <w:numPr>
          <w:ilvl w:val="0"/>
          <w:numId w:val="1001"/>
        </w:numPr>
        <w:pStyle w:val="Compact"/>
      </w:pPr>
      <w:hyperlink w:anchor="X4832cd0fba8351a63ae93febf064b9a2cad0887">
        <w:r>
          <w:rPr>
            <w:rStyle w:val="Hyperlink"/>
          </w:rPr>
          <w:t xml:space="preserve">Technical Implementation Details</w:t>
        </w:r>
      </w:hyperlink>
    </w:p>
    <w:p>
      <w:pPr>
        <w:numPr>
          <w:ilvl w:val="1"/>
          <w:numId w:val="1004"/>
        </w:numPr>
        <w:pStyle w:val="Compact"/>
      </w:pPr>
      <w:hyperlink w:anchor="X5e3360d532409ea71a68b7e1c5edfd8f5145795">
        <w:r>
          <w:rPr>
            <w:rStyle w:val="Hyperlink"/>
          </w:rPr>
          <w:t xml:space="preserve">Infrastructure Architecture</w:t>
        </w:r>
      </w:hyperlink>
    </w:p>
    <w:p>
      <w:pPr>
        <w:numPr>
          <w:ilvl w:val="1"/>
          <w:numId w:val="1004"/>
        </w:numPr>
        <w:pStyle w:val="Compact"/>
      </w:pPr>
      <w:hyperlink w:anchor="Xee9249cad8054072f19a2bd86720b094b7d8c68">
        <w:r>
          <w:rPr>
            <w:rStyle w:val="Hyperlink"/>
          </w:rPr>
          <w:t xml:space="preserve">Performance Considerations</w:t>
        </w:r>
      </w:hyperlink>
    </w:p>
    <w:p>
      <w:pPr>
        <w:numPr>
          <w:ilvl w:val="1"/>
          <w:numId w:val="1004"/>
        </w:numPr>
        <w:pStyle w:val="Compact"/>
      </w:pPr>
      <w:hyperlink w:anchor="Xd7444e6db6705fdf3e062f3bc846aa10bd40536">
        <w:r>
          <w:rPr>
            <w:rStyle w:val="Hyperlink"/>
          </w:rPr>
          <w:t xml:space="preserve">Scalability and Reliability</w:t>
        </w:r>
      </w:hyperlink>
    </w:p>
    <w:p>
      <w:pPr>
        <w:numPr>
          <w:ilvl w:val="0"/>
          <w:numId w:val="1001"/>
        </w:numPr>
        <w:pStyle w:val="Compact"/>
      </w:pPr>
      <w:hyperlink w:anchor="X3ae9e7729078e28c7e24219e77530bcc2ca1101">
        <w:r>
          <w:rPr>
            <w:rStyle w:val="Hyperlink"/>
          </w:rPr>
          <w:t xml:space="preserve">Cost Optimization Analysis</w:t>
        </w:r>
      </w:hyperlink>
    </w:p>
    <w:p>
      <w:pPr>
        <w:numPr>
          <w:ilvl w:val="1"/>
          <w:numId w:val="1005"/>
        </w:numPr>
        <w:pStyle w:val="Compact"/>
      </w:pPr>
      <w:hyperlink w:anchor="X3e22fa28bbfa059250dcc76570788bb9add9d28">
        <w:r>
          <w:rPr>
            <w:rStyle w:val="Hyperlink"/>
          </w:rPr>
          <w:t xml:space="preserve">Resource Allocation</w:t>
        </w:r>
      </w:hyperlink>
    </w:p>
    <w:p>
      <w:pPr>
        <w:numPr>
          <w:ilvl w:val="1"/>
          <w:numId w:val="1005"/>
        </w:numPr>
        <w:pStyle w:val="Compact"/>
      </w:pPr>
      <w:hyperlink w:anchor="Xc1f1f9772827ae94120a5132e310b2dc2335f02">
        <w:r>
          <w:rPr>
            <w:rStyle w:val="Hyperlink"/>
          </w:rPr>
          <w:t xml:space="preserve">Cost-Saving Opportunities</w:t>
        </w:r>
      </w:hyperlink>
    </w:p>
    <w:p>
      <w:pPr>
        <w:numPr>
          <w:ilvl w:val="0"/>
          <w:numId w:val="1001"/>
        </w:numPr>
        <w:pStyle w:val="Compact"/>
      </w:pPr>
      <w:hyperlink w:anchor="X8f4c1afd738370eb1d516ecd65198a304a6287f">
        <w:r>
          <w:rPr>
            <w:rStyle w:val="Hyperlink"/>
          </w:rPr>
          <w:t xml:space="preserve">Conclusion</w:t>
        </w:r>
      </w:hyperlink>
    </w:p>
    <w:p>
      <w:pPr>
        <w:numPr>
          <w:ilvl w:val="0"/>
          <w:numId w:val="1001"/>
        </w:numPr>
        <w:pStyle w:val="Compact"/>
      </w:pPr>
      <w:hyperlink w:anchor="X37afd669346d4c91657a0928e7ee770faa8e6b0">
        <w:r>
          <w:rPr>
            <w:rStyle w:val="Hyperlink"/>
          </w:rPr>
          <w:t xml:space="preserve">References</w:t>
        </w:r>
      </w:hyperlink>
    </w:p>
    <w:p>
      <w:pPr>
        <w:numPr>
          <w:ilvl w:val="0"/>
          <w:numId w:val="1001"/>
        </w:numPr>
        <w:pStyle w:val="Compact"/>
      </w:pPr>
      <w:hyperlink w:anchor="appendix-a-detailed-cost-breakdown">
        <w:r>
          <w:rPr>
            <w:rStyle w:val="Hyperlink"/>
          </w:rPr>
          <w:t xml:space="preserve">Appendix A: Detailed Cost Breakdown</w:t>
        </w:r>
      </w:hyperlink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This document provides a comprehensive analysis of cloud infrastructure costs using the Google Cloud Platform (GCP) Pricing Calculator. The configuration detailed below represents a production-ready deployment incorporating compute resources, managed database services, and domain name management capabilities. Each service has been carefully selected and configured to provide a balanced infrastructure that meets modern application hosting requirements while maintaining cost efficiency.</w:t>
      </w:r>
    </w:p>
    <w:p>
      <w:pPr>
        <w:pStyle w:val="Heading3"/>
      </w:pPr>
      <w:bookmarkStart w:id="23" w:name="purpose-and-scope"/>
      <w:r>
        <w:t xml:space="preserve">Purpose and Scope</w:t>
      </w:r>
      <w:bookmarkEnd w:id="23"/>
    </w:p>
    <w:p>
      <w:pPr>
        <w:pStyle w:val="FirstParagraph"/>
      </w:pPr>
      <w:r>
        <w:t xml:space="preserve">The primary objective of this analysis is to design and cost-estimate a robust cloud infrastructure capable of supporting enterprise-grade applications. The infrastructure components have been selected based on several key considerations: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Performance Requirements</w:t>
      </w:r>
    </w:p>
    <w:p>
      <w:pPr>
        <w:numPr>
          <w:ilvl w:val="1"/>
          <w:numId w:val="1007"/>
        </w:numPr>
        <w:pStyle w:val="Compact"/>
      </w:pPr>
      <w:r>
        <w:t xml:space="preserve">Compute resources sized for moderate to heavy workloads</w:t>
      </w:r>
    </w:p>
    <w:p>
      <w:pPr>
        <w:numPr>
          <w:ilvl w:val="1"/>
          <w:numId w:val="1007"/>
        </w:numPr>
        <w:pStyle w:val="Compact"/>
      </w:pPr>
      <w:r>
        <w:t xml:space="preserve">Database configuration optimized for concurrent operations</w:t>
      </w:r>
    </w:p>
    <w:p>
      <w:pPr>
        <w:numPr>
          <w:ilvl w:val="1"/>
          <w:numId w:val="1007"/>
        </w:numPr>
        <w:pStyle w:val="Compact"/>
      </w:pPr>
      <w:r>
        <w:t xml:space="preserve">DNS services scaled for high-volume query handling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Reliability and Availability</w:t>
      </w:r>
    </w:p>
    <w:p>
      <w:pPr>
        <w:numPr>
          <w:ilvl w:val="1"/>
          <w:numId w:val="1008"/>
        </w:numPr>
        <w:pStyle w:val="Compact"/>
      </w:pPr>
      <w:r>
        <w:t xml:space="preserve">Strategic region selection for optimal latency</w:t>
      </w:r>
    </w:p>
    <w:p>
      <w:pPr>
        <w:numPr>
          <w:ilvl w:val="1"/>
          <w:numId w:val="1008"/>
        </w:numPr>
        <w:pStyle w:val="Compact"/>
      </w:pPr>
      <w:r>
        <w:t xml:space="preserve">Managed services for reduced operational overhead</w:t>
      </w:r>
    </w:p>
    <w:p>
      <w:pPr>
        <w:numPr>
          <w:ilvl w:val="1"/>
          <w:numId w:val="1008"/>
        </w:numPr>
        <w:pStyle w:val="Compact"/>
      </w:pPr>
      <w:r>
        <w:t xml:space="preserve">Redundant infrastructure components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Cost Optimization</w:t>
      </w:r>
    </w:p>
    <w:p>
      <w:pPr>
        <w:numPr>
          <w:ilvl w:val="1"/>
          <w:numId w:val="1009"/>
        </w:numPr>
        <w:pStyle w:val="Compact"/>
      </w:pPr>
      <w:r>
        <w:t xml:space="preserve">Balanced resource allocation</w:t>
      </w:r>
    </w:p>
    <w:p>
      <w:pPr>
        <w:numPr>
          <w:ilvl w:val="1"/>
          <w:numId w:val="1009"/>
        </w:numPr>
        <w:pStyle w:val="Compact"/>
      </w:pPr>
      <w:r>
        <w:t xml:space="preserve">Strategic service selection</w:t>
      </w:r>
    </w:p>
    <w:p>
      <w:pPr>
        <w:numPr>
          <w:ilvl w:val="1"/>
          <w:numId w:val="1009"/>
        </w:numPr>
        <w:pStyle w:val="Compact"/>
      </w:pPr>
      <w:r>
        <w:t xml:space="preserve">Consideration of long-term cost management</w:t>
      </w:r>
    </w:p>
    <w:p>
      <w:pPr>
        <w:pStyle w:val="Heading3"/>
      </w:pPr>
      <w:bookmarkStart w:id="24" w:name="infrastructure-overview"/>
      <w:r>
        <w:t xml:space="preserve">Infrastructure Overview</w:t>
      </w:r>
      <w:bookmarkEnd w:id="24"/>
    </w:p>
    <w:p>
      <w:pPr>
        <w:pStyle w:val="FirstParagraph"/>
      </w:pPr>
      <w:r>
        <w:t xml:space="preserve">The proposed cloud infrastructure consists of three primary components: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Tier (Compute Engine)</w:t>
      </w:r>
    </w:p>
    <w:p>
      <w:pPr>
        <w:numPr>
          <w:ilvl w:val="1"/>
          <w:numId w:val="1011"/>
        </w:numPr>
        <w:pStyle w:val="Compact"/>
      </w:pPr>
      <w:r>
        <w:t xml:space="preserve">Handles application processing and business logic</w:t>
      </w:r>
    </w:p>
    <w:p>
      <w:pPr>
        <w:numPr>
          <w:ilvl w:val="1"/>
          <w:numId w:val="1011"/>
        </w:numPr>
        <w:pStyle w:val="Compact"/>
      </w:pPr>
      <w:r>
        <w:t xml:space="preserve">Provides scalable compute resources</w:t>
      </w:r>
    </w:p>
    <w:p>
      <w:pPr>
        <w:numPr>
          <w:ilvl w:val="1"/>
          <w:numId w:val="1011"/>
        </w:numPr>
        <w:pStyle w:val="Compact"/>
      </w:pPr>
      <w:r>
        <w:t xml:space="preserve">Supports various deployment configurations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Data Tier (Cloud SQL)</w:t>
      </w:r>
    </w:p>
    <w:p>
      <w:pPr>
        <w:numPr>
          <w:ilvl w:val="1"/>
          <w:numId w:val="1012"/>
        </w:numPr>
        <w:pStyle w:val="Compact"/>
      </w:pPr>
      <w:r>
        <w:t xml:space="preserve">Manages persistent data storage</w:t>
      </w:r>
    </w:p>
    <w:p>
      <w:pPr>
        <w:numPr>
          <w:ilvl w:val="1"/>
          <w:numId w:val="1012"/>
        </w:numPr>
        <w:pStyle w:val="Compact"/>
      </w:pPr>
      <w:r>
        <w:t xml:space="preserve">Ensures data reliability and consistency</w:t>
      </w:r>
    </w:p>
    <w:p>
      <w:pPr>
        <w:numPr>
          <w:ilvl w:val="1"/>
          <w:numId w:val="1012"/>
        </w:numPr>
        <w:pStyle w:val="Compact"/>
      </w:pPr>
      <w:r>
        <w:t xml:space="preserve">Provides automated backup capabilities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Domain Management (Cloud DNS)</w:t>
      </w:r>
    </w:p>
    <w:p>
      <w:pPr>
        <w:numPr>
          <w:ilvl w:val="1"/>
          <w:numId w:val="1013"/>
        </w:numPr>
        <w:pStyle w:val="Compact"/>
      </w:pPr>
      <w:r>
        <w:t xml:space="preserve">Manages domain name resolution</w:t>
      </w:r>
    </w:p>
    <w:p>
      <w:pPr>
        <w:numPr>
          <w:ilvl w:val="1"/>
          <w:numId w:val="1013"/>
        </w:numPr>
        <w:pStyle w:val="Compact"/>
      </w:pPr>
      <w:r>
        <w:t xml:space="preserve">Supports multiple domain configurations</w:t>
      </w:r>
    </w:p>
    <w:p>
      <w:pPr>
        <w:numPr>
          <w:ilvl w:val="1"/>
          <w:numId w:val="1013"/>
        </w:numPr>
        <w:pStyle w:val="Compact"/>
      </w:pPr>
      <w:r>
        <w:t xml:space="preserve">Ensures global accessibility</w:t>
      </w:r>
    </w:p>
    <w:p>
      <w:pPr>
        <w:pStyle w:val="Heading2"/>
      </w:pPr>
      <w:bookmarkStart w:id="25" w:name="step-by-step-configuration-process"/>
      <w:r>
        <w:t xml:space="preserve">1. Step-by-Step Configuration Process</w:t>
      </w:r>
      <w:bookmarkEnd w:id="25"/>
    </w:p>
    <w:p>
      <w:pPr>
        <w:pStyle w:val="Heading3"/>
      </w:pPr>
      <w:bookmarkStart w:id="26" w:name="accessing-the-gcp-pricing-calculator"/>
      <w:r>
        <w:t xml:space="preserve">1.1 Accessing the GCP Pricing Calculator</w:t>
      </w:r>
      <w:bookmarkEnd w:id="26"/>
    </w:p>
    <w:p>
      <w:pPr>
        <w:pStyle w:val="CaptionedFigure"/>
      </w:pPr>
      <w:r>
        <w:drawing>
          <wp:inline>
            <wp:extent cx="5334000" cy="3443511"/>
            <wp:effectExtent b="0" l="0" r="0" t="0"/>
            <wp:docPr descr="GCP Calculator Landing" title="" id="1" name="Picture"/>
            <a:graphic>
              <a:graphicData uri="http://schemas.openxmlformats.org/drawingml/2006/picture">
                <pic:pic>
                  <pic:nvPicPr>
                    <pic:cNvPr descr="/home/ubuntu/screenshots/cloud_google_0553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GCP Calculator Landing</w:t>
      </w:r>
    </w:p>
    <w:p>
      <w:pPr>
        <w:pStyle w:val="BodyText"/>
      </w:pPr>
      <w:r>
        <w:rPr>
          <w:i/>
        </w:rPr>
        <w:t xml:space="preserve">Initial Calculator Access (Step 1):</w:t>
      </w:r>
      <w:r>
        <w:t xml:space="preserve"> </w:t>
      </w:r>
      <w:r>
        <w:t xml:space="preserve">1. Navigate to cloud.google.com/calculator to access Google’s comprehensive pricing estimation tool</w:t>
      </w:r>
      <w:r>
        <w:t xml:space="preserve"> </w:t>
      </w:r>
      <w:r>
        <w:t xml:space="preserve">2. The interface presents service categories in the left navigation panel, with the main configuration area in the center</w:t>
      </w:r>
      <w:r>
        <w:t xml:space="preserve"> </w:t>
      </w:r>
      <w:r>
        <w:t xml:space="preserve">3. Verify that COMPUTE ENGINE is selected as the default service for initial configuration, indicated by the highlighted tab</w:t>
      </w:r>
    </w:p>
    <w:p>
      <w:pPr>
        <w:pStyle w:val="Heading3"/>
      </w:pPr>
      <w:bookmarkStart w:id="28" w:name="compute-engine-configuration"/>
      <w:r>
        <w:t xml:space="preserve">1.2 Compute Engine Configuration</w:t>
      </w:r>
      <w:bookmarkEnd w:id="28"/>
    </w:p>
    <w:p>
      <w:pPr>
        <w:pStyle w:val="CaptionedFigure"/>
      </w:pPr>
      <w:r>
        <w:drawing>
          <wp:inline>
            <wp:extent cx="5334000" cy="3443511"/>
            <wp:effectExtent b="0" l="0" r="0" t="0"/>
            <wp:docPr descr="Compute Engine Setup" title="" id="1" name="Picture"/>
            <a:graphic>
              <a:graphicData uri="http://schemas.openxmlformats.org/drawingml/2006/picture">
                <pic:pic>
                  <pic:nvPicPr>
                    <pic:cNvPr descr="/home/ubuntu/screenshots/cloud_google_0554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Compute Engine Setup</w:t>
      </w:r>
    </w:p>
    <w:p>
      <w:pPr>
        <w:pStyle w:val="BodyText"/>
      </w:pPr>
      <w:r>
        <w:rPr>
          <w:i/>
        </w:rPr>
        <w:t xml:space="preserve">Primary Service Configuration (Steps 2-4):</w:t>
      </w:r>
      <w:r>
        <w:t xml:space="preserve"> </w:t>
      </w:r>
      <w:r>
        <w:t xml:space="preserve">1. Select the n1-standard-4 machine type, providing 4 vCPUs and 15 GB memory for production workloads</w:t>
      </w:r>
      <w:r>
        <w:t xml:space="preserve"> </w:t>
      </w:r>
      <w:r>
        <w:t xml:space="preserve">2. Configure region (us-central1), operating system (Ubuntu), and usage duration (730 hours/month)</w:t>
      </w:r>
      <w:r>
        <w:t xml:space="preserve"> </w:t>
      </w:r>
      <w:r>
        <w:t xml:space="preserve">3. Click</w:t>
      </w:r>
      <w:r>
        <w:t xml:space="preserve"> </w:t>
      </w:r>
      <w:r>
        <w:t xml:space="preserve">“</w:t>
      </w:r>
      <w:r>
        <w:t xml:space="preserve">Add to Estimate</w:t>
      </w:r>
      <w:r>
        <w:t xml:space="preserve">”</w:t>
      </w:r>
      <w:r>
        <w:t xml:space="preserve"> </w:t>
      </w:r>
      <w:r>
        <w:t xml:space="preserve">to include the compute configuration, showing an estimated cost of $139.70/month</w:t>
      </w:r>
    </w:p>
    <w:p>
      <w:pPr>
        <w:pStyle w:val="Heading3"/>
      </w:pPr>
      <w:bookmarkStart w:id="30" w:name="additional-service-selection---cloud-sql"/>
      <w:r>
        <w:t xml:space="preserve">1.3 Additional Service Selection - Cloud SQL</w:t>
      </w:r>
      <w:bookmarkEnd w:id="30"/>
    </w:p>
    <w:p>
      <w:pPr>
        <w:pStyle w:val="CaptionedFigure"/>
      </w:pPr>
      <w:r>
        <w:drawing>
          <wp:inline>
            <wp:extent cx="5334000" cy="3443511"/>
            <wp:effectExtent b="0" l="0" r="0" t="0"/>
            <wp:docPr descr="Cloud SQL Setup" title="" id="1" name="Picture"/>
            <a:graphic>
              <a:graphicData uri="http://schemas.openxmlformats.org/drawingml/2006/picture">
                <pic:pic>
                  <pic:nvPicPr>
                    <pic:cNvPr descr="/home/ubuntu/screenshots/cloud_google_0555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Cloud SQL Setup</w:t>
      </w:r>
    </w:p>
    <w:p>
      <w:pPr>
        <w:pStyle w:val="BodyText"/>
      </w:pPr>
      <w:r>
        <w:rPr>
          <w:i/>
        </w:rPr>
        <w:t xml:space="preserve">Database Service Configuration (Steps 5-6):</w:t>
      </w:r>
      <w:r>
        <w:t xml:space="preserve"> </w:t>
      </w:r>
      <w:r>
        <w:t xml:space="preserve">1. Choose Cloud SQL as an additional service to provide managed database capabilities for the deployment</w:t>
      </w:r>
      <w:r>
        <w:t xml:space="preserve"> </w:t>
      </w:r>
      <w:r>
        <w:t xml:space="preserve">2. Select MySQL Enterprise edition with db-standard-2 instance (2 vCPUs, 7.5 GB memory, 100 GB storage)</w:t>
      </w:r>
      <w:r>
        <w:t xml:space="preserve"> </w:t>
      </w:r>
      <w:r>
        <w:t xml:space="preserve">3. Configure high-availability settings and backup options, resulting in a monthly cost of $115.62</w:t>
      </w:r>
    </w:p>
    <w:p>
      <w:pPr>
        <w:pStyle w:val="Heading3"/>
      </w:pPr>
      <w:bookmarkStart w:id="32" w:name="final-cost-analysis"/>
      <w:r>
        <w:t xml:space="preserve">1.4 Final Cost Analysis</w:t>
      </w:r>
      <w:bookmarkEnd w:id="32"/>
    </w:p>
    <w:p>
      <w:pPr>
        <w:pStyle w:val="CaptionedFigure"/>
      </w:pPr>
      <w:r>
        <w:drawing>
          <wp:inline>
            <wp:extent cx="5334000" cy="3443511"/>
            <wp:effectExtent b="0" l="0" r="0" t="0"/>
            <wp:docPr descr="Cloud DNS Setup" title="" id="1" name="Picture"/>
            <a:graphic>
              <a:graphicData uri="http://schemas.openxmlformats.org/drawingml/2006/picture">
                <pic:pic>
                  <pic:nvPicPr>
                    <pic:cNvPr descr="/home/ubuntu/screenshots/cloud_google_0556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Cloud DNS Setup</w:t>
      </w:r>
    </w:p>
    <w:p>
      <w:pPr>
        <w:pStyle w:val="BodyText"/>
      </w:pPr>
      <w:r>
        <w:rPr>
          <w:i/>
        </w:rPr>
        <w:t xml:space="preserve">Total Cost Calculation (Step 7):</w:t>
      </w:r>
      <w:r>
        <w:t xml:space="preserve"> </w:t>
      </w:r>
      <w:r>
        <w:t xml:space="preserve">1. Add Cloud DNS configuration with 5 managed zones and 10M queries/month capacity ($5.00)</w:t>
      </w:r>
      <w:r>
        <w:t xml:space="preserve"> </w:t>
      </w:r>
      <w:r>
        <w:t xml:space="preserve">2. Review the complete infrastructure configuration across all selected services</w:t>
      </w:r>
      <w:r>
        <w:t xml:space="preserve"> </w:t>
      </w:r>
      <w:r>
        <w:t xml:space="preserve">3. Confirm total estimated monthly cost of $260.32 for the entire deployment</w:t>
      </w:r>
    </w:p>
    <w:p>
      <w:pPr>
        <w:pStyle w:val="Heading3"/>
      </w:pPr>
      <w:bookmarkStart w:id="34" w:name="total-cost-summary"/>
      <w:r>
        <w:t xml:space="preserve">1.5 Total Cost Summary</w:t>
      </w:r>
      <w:bookmarkEnd w:id="34"/>
    </w:p>
    <w:p>
      <w:pPr>
        <w:pStyle w:val="FirstParagraph"/>
      </w:pPr>
      <w:r>
        <w:rPr>
          <w:i/>
        </w:rPr>
        <w:t xml:space="preserve">Final Deployment Costs:</w:t>
      </w:r>
      <w:r>
        <w:t xml:space="preserve"> </w:t>
      </w:r>
      <w:r>
        <w:t xml:space="preserve">- Compute Engine: $139.70/month</w:t>
      </w:r>
      <w:r>
        <w:t xml:space="preserve"> </w:t>
      </w:r>
      <w:r>
        <w:t xml:space="preserve">- Cloud SQL (MySQL): $115.62/month</w:t>
      </w:r>
      <w:r>
        <w:t xml:space="preserve"> </w:t>
      </w:r>
      <w:r>
        <w:t xml:space="preserve">- Cloud DNS: $5.00/month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Total Monthly Cost: $260.32</w:t>
      </w:r>
    </w:p>
    <w:p>
      <w:pPr>
        <w:pStyle w:val="Heading2"/>
      </w:pPr>
      <w:bookmarkStart w:id="35" w:name="service-selection-justification"/>
      <w:r>
        <w:t xml:space="preserve">2. Service Selection Justification</w:t>
      </w:r>
      <w:bookmarkEnd w:id="35"/>
    </w:p>
    <w:p>
      <w:pPr>
        <w:pStyle w:val="Heading3"/>
      </w:pPr>
      <w:bookmarkStart w:id="36" w:name="compute-engine"/>
      <w:r>
        <w:t xml:space="preserve">2.1 Compute Engine</w:t>
      </w:r>
      <w:bookmarkEnd w:id="36"/>
    </w:p>
    <w:p>
      <w:pPr>
        <w:pStyle w:val="FirstParagraph"/>
      </w:pPr>
      <w:r>
        <w:t xml:space="preserve">The n1-standard-4 machine type was selected to provide robust computing capabilities:</w:t>
      </w:r>
      <w:r>
        <w:t xml:space="preserve"> </w:t>
      </w:r>
      <w:r>
        <w:t xml:space="preserve">- 4 vCPUs ensure sufficient processing power for application workloads</w:t>
      </w:r>
      <w:r>
        <w:t xml:space="preserve"> </w:t>
      </w:r>
      <w:r>
        <w:t xml:space="preserve">- 15 GB memory supports concurrent operations and caching</w:t>
      </w:r>
      <w:r>
        <w:t xml:space="preserve"> </w:t>
      </w:r>
      <w:r>
        <w:t xml:space="preserve">- Ubuntu OS provides a stable, well-supported environment</w:t>
      </w:r>
    </w:p>
    <w:p>
      <w:pPr>
        <w:pStyle w:val="Heading3"/>
      </w:pPr>
      <w:bookmarkStart w:id="37" w:name="cloud-sql"/>
      <w:r>
        <w:t xml:space="preserve">2.2 Cloud SQL</w:t>
      </w:r>
      <w:bookmarkEnd w:id="37"/>
    </w:p>
    <w:p>
      <w:pPr>
        <w:pStyle w:val="FirstParagraph"/>
      </w:pPr>
      <w:r>
        <w:t xml:space="preserve">MySQL Enterprise edition was chosen for reliable database operations:</w:t>
      </w:r>
      <w:r>
        <w:t xml:space="preserve"> </w:t>
      </w:r>
      <w:r>
        <w:t xml:space="preserve">- Fully managed database service reduces operational overhead</w:t>
      </w:r>
      <w:r>
        <w:t xml:space="preserve"> </w:t>
      </w:r>
      <w:r>
        <w:t xml:space="preserve">- db-standard-2 instance provides balanced CPU and memory allocation</w:t>
      </w:r>
      <w:r>
        <w:t xml:space="preserve"> </w:t>
      </w:r>
      <w:r>
        <w:t xml:space="preserve">- 100 GB storage accommodates growing data requirements</w:t>
      </w:r>
    </w:p>
    <w:p>
      <w:pPr>
        <w:pStyle w:val="Heading3"/>
      </w:pPr>
      <w:bookmarkStart w:id="38" w:name="cloud-dns"/>
      <w:r>
        <w:t xml:space="preserve">2.3 Cloud DNS</w:t>
      </w:r>
      <w:bookmarkEnd w:id="38"/>
    </w:p>
    <w:p>
      <w:pPr>
        <w:pStyle w:val="FirstParagraph"/>
      </w:pPr>
      <w:r>
        <w:t xml:space="preserve">DNS service configuration supports production-grade domain management:</w:t>
      </w:r>
      <w:r>
        <w:t xml:space="preserve"> </w:t>
      </w:r>
      <w:r>
        <w:t xml:space="preserve">- 5 managed zones allow multiple domain management</w:t>
      </w:r>
      <w:r>
        <w:t xml:space="preserve"> </w:t>
      </w:r>
      <w:r>
        <w:t xml:space="preserve">- 10 million queries/month capacity ensures reliable DNS resolution</w:t>
      </w:r>
      <w:r>
        <w:t xml:space="preserve"> </w:t>
      </w:r>
      <w:r>
        <w:t xml:space="preserve">- Low-latency global DNS serving through Google’s worldwide network</w:t>
      </w:r>
    </w:p>
    <w:p>
      <w:pPr>
        <w:pStyle w:val="Heading2"/>
      </w:pPr>
      <w:bookmarkStart w:id="39" w:name="technical-implementation-details"/>
      <w:r>
        <w:t xml:space="preserve">3. Technical Implementation Details</w:t>
      </w:r>
      <w:bookmarkEnd w:id="39"/>
    </w:p>
    <w:p>
      <w:pPr>
        <w:pStyle w:val="Heading3"/>
      </w:pPr>
      <w:bookmarkStart w:id="40" w:name="infrastructure-architecture"/>
      <w:r>
        <w:t xml:space="preserve">3.1 Infrastructure Architecture</w:t>
      </w:r>
      <w:bookmarkEnd w:id="40"/>
    </w:p>
    <w:p>
      <w:pPr>
        <w:pStyle w:val="FirstParagraph"/>
      </w:pPr>
      <w:r>
        <w:t xml:space="preserve">The selected services form a cohesive infrastructure stack designed for enterprise-grade applications. The architecture follows industry best practices for cloud-native applications:</w:t>
      </w:r>
    </w:p>
    <w:p>
      <w:pPr>
        <w:pStyle w:val="Heading4"/>
      </w:pPr>
      <w:bookmarkStart w:id="41" w:name="compute-layer-compute-engine"/>
      <w:r>
        <w:t xml:space="preserve">3.1.1 Compute Layer (Compute Engine)</w:t>
      </w:r>
      <w:bookmarkEnd w:id="41"/>
    </w:p>
    <w:p>
      <w:pPr>
        <w:pStyle w:val="FirstParagraph"/>
      </w:pPr>
      <w:r>
        <w:t xml:space="preserve">The n1-standard-4 instance serves as the primary compute resource, offering:</w:t>
      </w:r>
      <w:r>
        <w:t xml:space="preserve"> </w:t>
      </w:r>
      <w:r>
        <w:t xml:space="preserve">- High-performance Intel or AMD processors with a balanced CPU-to-memory ratio</w:t>
      </w:r>
      <w:r>
        <w:t xml:space="preserve"> </w:t>
      </w:r>
      <w:r>
        <w:t xml:space="preserve">- Native support for container deployments and microservices architecture</w:t>
      </w:r>
      <w:r>
        <w:t xml:space="preserve"> </w:t>
      </w:r>
      <w:r>
        <w:t xml:space="preserve">- Integration with Google Cloud’s auto-scaling and load balancing services</w:t>
      </w:r>
      <w:r>
        <w:t xml:space="preserve"> </w:t>
      </w:r>
      <w:r>
        <w:t xml:space="preserve">- Built-in monitoring and logging capabilities through Cloud Operations</w:t>
      </w:r>
    </w:p>
    <w:p>
      <w:pPr>
        <w:pStyle w:val="Heading4"/>
      </w:pPr>
      <w:bookmarkStart w:id="42" w:name="data-layer-cloud-sql"/>
      <w:r>
        <w:t xml:space="preserve">3.1.2 Data Layer (Cloud SQL)</w:t>
      </w:r>
      <w:bookmarkEnd w:id="42"/>
    </w:p>
    <w:p>
      <w:pPr>
        <w:pStyle w:val="FirstParagraph"/>
      </w:pPr>
      <w:r>
        <w:t xml:space="preserve">The MySQL Enterprise database provides a robust data management solution with:</w:t>
      </w:r>
      <w:r>
        <w:t xml:space="preserve"> </w:t>
      </w:r>
      <w:r>
        <w:t xml:space="preserve">- Automated failover and high availability configurations</w:t>
      </w:r>
      <w:r>
        <w:t xml:space="preserve"> </w:t>
      </w:r>
      <w:r>
        <w:t xml:space="preserve">- Point-in-time recovery and automated backups</w:t>
      </w:r>
      <w:r>
        <w:t xml:space="preserve"> </w:t>
      </w:r>
      <w:r>
        <w:t xml:space="preserve">- Encryption at rest and in transit</w:t>
      </w:r>
      <w:r>
        <w:t xml:space="preserve"> </w:t>
      </w:r>
      <w:r>
        <w:t xml:space="preserve">- Performance optimization through query insights and monitoring</w:t>
      </w:r>
    </w:p>
    <w:p>
      <w:pPr>
        <w:pStyle w:val="Heading4"/>
      </w:pPr>
      <w:bookmarkStart w:id="43" w:name="network-layer-cloud-dns"/>
      <w:r>
        <w:t xml:space="preserve">3.1.3 Network Layer (Cloud DNS)</w:t>
      </w:r>
      <w:bookmarkEnd w:id="43"/>
    </w:p>
    <w:p>
      <w:pPr>
        <w:pStyle w:val="FirstParagraph"/>
      </w:pPr>
      <w:r>
        <w:t xml:space="preserve">The DNS infrastructure ensures reliable global access through:</w:t>
      </w:r>
      <w:r>
        <w:t xml:space="preserve"> </w:t>
      </w:r>
      <w:r>
        <w:t xml:space="preserve">- Anycast-based name resolution for reduced latency</w:t>
      </w:r>
      <w:r>
        <w:t xml:space="preserve"> </w:t>
      </w:r>
      <w:r>
        <w:t xml:space="preserve">- DNSSEC support for enhanced security</w:t>
      </w:r>
      <w:r>
        <w:t xml:space="preserve"> </w:t>
      </w:r>
      <w:r>
        <w:t xml:space="preserve">- Integration with Cloud CDN for optimized content delivery</w:t>
      </w:r>
      <w:r>
        <w:t xml:space="preserve"> </w:t>
      </w:r>
      <w:r>
        <w:t xml:space="preserve">- Advanced traffic management capabilities</w:t>
      </w:r>
    </w:p>
    <w:p>
      <w:pPr>
        <w:pStyle w:val="Heading3"/>
      </w:pPr>
      <w:bookmarkStart w:id="44" w:name="performance-considerations"/>
      <w:r>
        <w:t xml:space="preserve">3.2 Performance Considerations</w:t>
      </w:r>
      <w:bookmarkEnd w:id="44"/>
    </w:p>
    <w:p>
      <w:pPr>
        <w:pStyle w:val="FirstParagraph"/>
      </w:pPr>
      <w:r>
        <w:t xml:space="preserve">Each service has been carefully sized and configured for optimal performance based on industry standards and best practices:</w:t>
      </w:r>
    </w:p>
    <w:p>
      <w:pPr>
        <w:pStyle w:val="Heading4"/>
      </w:pPr>
      <w:bookmarkStart w:id="45" w:name="compute-performance"/>
      <w:r>
        <w:t xml:space="preserve">3.2.1 Compute Performance</w:t>
      </w:r>
      <w:bookmarkEnd w:id="45"/>
    </w:p>
    <w:p>
      <w:pPr>
        <w:pStyle w:val="FirstParagraph"/>
      </w:pPr>
      <w:r>
        <w:t xml:space="preserve">The N1-standard-4 machine type provides:</w:t>
      </w:r>
      <w:r>
        <w:t xml:space="preserve"> </w:t>
      </w:r>
      <w:r>
        <w:t xml:space="preserve">- 4 vCPUs offering consistent performance for compute-intensive workloads</w:t>
      </w:r>
      <w:r>
        <w:t xml:space="preserve"> </w:t>
      </w:r>
      <w:r>
        <w:t xml:space="preserve">- 15 GB memory supporting multiple concurrent application instances</w:t>
      </w:r>
      <w:r>
        <w:t xml:space="preserve"> </w:t>
      </w:r>
      <w:r>
        <w:t xml:space="preserve">- Local SSD options for high-performance temporary storage</w:t>
      </w:r>
      <w:r>
        <w:t xml:space="preserve"> </w:t>
      </w:r>
      <w:r>
        <w:t xml:space="preserve">- Network-optimized infrastructure with Google’s premium tier networking</w:t>
      </w:r>
    </w:p>
    <w:p>
      <w:pPr>
        <w:pStyle w:val="Heading4"/>
      </w:pPr>
      <w:bookmarkStart w:id="46" w:name="database-performance"/>
      <w:r>
        <w:t xml:space="preserve">3.2.2 Database Performance</w:t>
      </w:r>
      <w:bookmarkEnd w:id="46"/>
    </w:p>
    <w:p>
      <w:pPr>
        <w:pStyle w:val="FirstParagraph"/>
      </w:pPr>
      <w:r>
        <w:t xml:space="preserve">The db-standard-2 instance type delivers:</w:t>
      </w:r>
      <w:r>
        <w:t xml:space="preserve"> </w:t>
      </w:r>
      <w:r>
        <w:t xml:space="preserve">- Dedicated CPU resources ensuring consistent database performance</w:t>
      </w:r>
      <w:r>
        <w:t xml:space="preserve"> </w:t>
      </w:r>
      <w:r>
        <w:t xml:space="preserve">- Optimized memory allocation for query caching and buffer pools</w:t>
      </w:r>
      <w:r>
        <w:t xml:space="preserve"> </w:t>
      </w:r>
      <w:r>
        <w:t xml:space="preserve">- High-performance storage with automatic storage increases</w:t>
      </w:r>
      <w:r>
        <w:t xml:space="preserve"> </w:t>
      </w:r>
      <w:r>
        <w:t xml:space="preserve">- Built-in query performance analysis and optimization tools</w:t>
      </w:r>
    </w:p>
    <w:p>
      <w:pPr>
        <w:pStyle w:val="Heading4"/>
      </w:pPr>
      <w:bookmarkStart w:id="47" w:name="dns-performance"/>
      <w:r>
        <w:t xml:space="preserve">3.2.3 DNS Performance</w:t>
      </w:r>
      <w:bookmarkEnd w:id="47"/>
    </w:p>
    <w:p>
      <w:pPr>
        <w:pStyle w:val="FirstParagraph"/>
      </w:pPr>
      <w:r>
        <w:t xml:space="preserve">The DNS configuration ensures high availability through:</w:t>
      </w:r>
      <w:r>
        <w:t xml:space="preserve"> </w:t>
      </w:r>
      <w:r>
        <w:t xml:space="preserve">- Global load balancing across Google’s edge network</w:t>
      </w:r>
      <w:r>
        <w:t xml:space="preserve"> </w:t>
      </w:r>
      <w:r>
        <w:t xml:space="preserve">- Low-latency query resolution (typically &lt; 10ms)</w:t>
      </w:r>
      <w:r>
        <w:t xml:space="preserve"> </w:t>
      </w:r>
      <w:r>
        <w:t xml:space="preserve">- Automatic scaling to handle traffic spikes</w:t>
      </w:r>
      <w:r>
        <w:t xml:space="preserve"> </w:t>
      </w:r>
      <w:r>
        <w:t xml:space="preserve">- 100% uptime SLA for DNS serving</w:t>
      </w:r>
    </w:p>
    <w:p>
      <w:pPr>
        <w:pStyle w:val="Heading3"/>
      </w:pPr>
      <w:bookmarkStart w:id="48" w:name="scalability-and-reliability"/>
      <w:r>
        <w:t xml:space="preserve">3.3 Scalability and Reliability</w:t>
      </w:r>
      <w:bookmarkEnd w:id="48"/>
    </w:p>
    <w:p>
      <w:pPr>
        <w:pStyle w:val="FirstParagraph"/>
      </w:pPr>
      <w:r>
        <w:t xml:space="preserve">The infrastructure implements a comprehensive approach to scalability and reliability:</w:t>
      </w:r>
    </w:p>
    <w:p>
      <w:pPr>
        <w:pStyle w:val="Heading4"/>
      </w:pPr>
      <w:bookmarkStart w:id="49" w:name="horizontal-scalability"/>
      <w:r>
        <w:t xml:space="preserve">3.3.1 Horizontal Scalability</w:t>
      </w:r>
      <w:bookmarkEnd w:id="49"/>
    </w:p>
    <w:p>
      <w:pPr>
        <w:numPr>
          <w:ilvl w:val="0"/>
          <w:numId w:val="1014"/>
        </w:numPr>
        <w:pStyle w:val="Compact"/>
      </w:pPr>
      <w:r>
        <w:t xml:space="preserve">Compute Engine supports instance groups for automatic scaling</w:t>
      </w:r>
    </w:p>
    <w:p>
      <w:pPr>
        <w:numPr>
          <w:ilvl w:val="0"/>
          <w:numId w:val="1014"/>
        </w:numPr>
        <w:pStyle w:val="Compact"/>
      </w:pPr>
      <w:r>
        <w:t xml:space="preserve">Load balancing integration for distributed traffic handling</w:t>
      </w:r>
    </w:p>
    <w:p>
      <w:pPr>
        <w:numPr>
          <w:ilvl w:val="0"/>
          <w:numId w:val="1014"/>
        </w:numPr>
        <w:pStyle w:val="Compact"/>
      </w:pPr>
      <w:r>
        <w:t xml:space="preserve">Regional deployment options for geographic distribution</w:t>
      </w:r>
    </w:p>
    <w:p>
      <w:pPr>
        <w:numPr>
          <w:ilvl w:val="0"/>
          <w:numId w:val="1014"/>
        </w:numPr>
        <w:pStyle w:val="Compact"/>
      </w:pPr>
      <w:r>
        <w:t xml:space="preserve">Containerization support for microservices architecture</w:t>
      </w:r>
    </w:p>
    <w:p>
      <w:pPr>
        <w:pStyle w:val="Heading4"/>
      </w:pPr>
      <w:bookmarkStart w:id="50" w:name="data-reliability"/>
      <w:r>
        <w:t xml:space="preserve">3.3.2 Data Reliability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Automated backup scheduling with point-in-time recovery</w:t>
      </w:r>
    </w:p>
    <w:p>
      <w:pPr>
        <w:numPr>
          <w:ilvl w:val="0"/>
          <w:numId w:val="1015"/>
        </w:numPr>
        <w:pStyle w:val="Compact"/>
      </w:pPr>
      <w:r>
        <w:t xml:space="preserve">Cross-region replication options for disaster recovery</w:t>
      </w:r>
    </w:p>
    <w:p>
      <w:pPr>
        <w:numPr>
          <w:ilvl w:val="0"/>
          <w:numId w:val="1015"/>
        </w:numPr>
        <w:pStyle w:val="Compact"/>
      </w:pPr>
      <w:r>
        <w:t xml:space="preserve">Automated failover with minimal downtime</w:t>
      </w:r>
    </w:p>
    <w:p>
      <w:pPr>
        <w:numPr>
          <w:ilvl w:val="0"/>
          <w:numId w:val="1015"/>
        </w:numPr>
        <w:pStyle w:val="Compact"/>
      </w:pPr>
      <w:r>
        <w:t xml:space="preserve">Continuous data integrity monitoring</w:t>
      </w:r>
    </w:p>
    <w:p>
      <w:pPr>
        <w:pStyle w:val="Heading4"/>
      </w:pPr>
      <w:bookmarkStart w:id="51" w:name="network-reliability"/>
      <w:r>
        <w:t xml:space="preserve">3.3.3 Network Reliability</w:t>
      </w:r>
      <w:bookmarkEnd w:id="51"/>
    </w:p>
    <w:p>
      <w:pPr>
        <w:numPr>
          <w:ilvl w:val="0"/>
          <w:numId w:val="1016"/>
        </w:numPr>
        <w:pStyle w:val="Compact"/>
      </w:pPr>
      <w:r>
        <w:t xml:space="preserve">Global DNS infrastructure with redundant serving</w:t>
      </w:r>
    </w:p>
    <w:p>
      <w:pPr>
        <w:numPr>
          <w:ilvl w:val="0"/>
          <w:numId w:val="1016"/>
        </w:numPr>
        <w:pStyle w:val="Compact"/>
      </w:pPr>
      <w:r>
        <w:t xml:space="preserve">Automatic failover across Google’s global network</w:t>
      </w:r>
    </w:p>
    <w:p>
      <w:pPr>
        <w:numPr>
          <w:ilvl w:val="0"/>
          <w:numId w:val="1016"/>
        </w:numPr>
        <w:pStyle w:val="Compact"/>
      </w:pPr>
      <w:r>
        <w:t xml:space="preserve">DDoS protection and threat detection</w:t>
      </w:r>
    </w:p>
    <w:p>
      <w:pPr>
        <w:numPr>
          <w:ilvl w:val="0"/>
          <w:numId w:val="1016"/>
        </w:numPr>
        <w:pStyle w:val="Compact"/>
      </w:pPr>
      <w:r>
        <w:t xml:space="preserve">Real-time DNS health monitoring and alerts</w:t>
      </w:r>
    </w:p>
    <w:p>
      <w:pPr>
        <w:pStyle w:val="Heading2"/>
      </w:pPr>
      <w:bookmarkStart w:id="52" w:name="cost-optimization-analysis"/>
      <w:r>
        <w:t xml:space="preserve">4. Cost Optimization Analysis</w:t>
      </w:r>
      <w:bookmarkEnd w:id="52"/>
    </w:p>
    <w:p>
      <w:pPr>
        <w:pStyle w:val="Heading3"/>
      </w:pPr>
      <w:bookmarkStart w:id="53" w:name="resource-allocation-analysis"/>
      <w:r>
        <w:t xml:space="preserve">4.1 Resource Allocation Analysis</w:t>
      </w:r>
      <w:bookmarkEnd w:id="53"/>
    </w:p>
    <w:p>
      <w:pPr>
        <w:pStyle w:val="FirstParagraph"/>
      </w:pPr>
      <w:r>
        <w:t xml:space="preserve">The monthly cost distribution has been strategically planned to optimize resource utilization while maintaining performance requirements:</w:t>
      </w:r>
    </w:p>
    <w:p>
      <w:pPr>
        <w:pStyle w:val="Heading4"/>
      </w:pPr>
      <w:bookmarkStart w:id="54" w:name="compute-resources-53.7---139.70"/>
      <w:r>
        <w:t xml:space="preserve">4.1.1 Compute Resources (53.7% - $139.70)</w:t>
      </w:r>
      <w:bookmarkEnd w:id="54"/>
    </w:p>
    <w:p>
      <w:pPr>
        <w:pStyle w:val="FirstParagraph"/>
      </w:pPr>
      <w:r>
        <w:t xml:space="preserve">The largest cost component reflects the importance of processing power:</w:t>
      </w:r>
      <w:r>
        <w:t xml:space="preserve"> </w:t>
      </w:r>
      <w:r>
        <w:t xml:space="preserve">- N1-standard-4 instance provides enterprise-grade computing capabilities</w:t>
      </w:r>
      <w:r>
        <w:t xml:space="preserve"> </w:t>
      </w:r>
      <w:r>
        <w:t xml:space="preserve">- Full month utilization ensures consistent resource availability</w:t>
      </w:r>
      <w:r>
        <w:t xml:space="preserve"> </w:t>
      </w:r>
      <w:r>
        <w:t xml:space="preserve">- Premium tier networking enables optimal application performance</w:t>
      </w:r>
      <w:r>
        <w:t xml:space="preserve"> </w:t>
      </w:r>
      <w:r>
        <w:t xml:space="preserve">- Built-in monitoring and management tools included</w:t>
      </w:r>
    </w:p>
    <w:p>
      <w:pPr>
        <w:pStyle w:val="Heading4"/>
      </w:pPr>
      <w:bookmarkStart w:id="55" w:name="database-resources-44.4---115.62"/>
      <w:r>
        <w:t xml:space="preserve">4.1.2 Database Resources (44.4% - $115.62)</w:t>
      </w:r>
      <w:bookmarkEnd w:id="55"/>
    </w:p>
    <w:p>
      <w:pPr>
        <w:pStyle w:val="FirstParagraph"/>
      </w:pPr>
      <w:r>
        <w:t xml:space="preserve">Database costs represent critical data management capabilities:</w:t>
      </w:r>
      <w:r>
        <w:t xml:space="preserve"> </w:t>
      </w:r>
      <w:r>
        <w:t xml:space="preserve">- Enterprise-grade MySQL deployment with high availability</w:t>
      </w:r>
      <w:r>
        <w:t xml:space="preserve"> </w:t>
      </w:r>
      <w:r>
        <w:t xml:space="preserve">- Automated backup and maintenance operations</w:t>
      </w:r>
      <w:r>
        <w:t xml:space="preserve"> </w:t>
      </w:r>
      <w:r>
        <w:t xml:space="preserve">- Performance monitoring and optimization tools</w:t>
      </w:r>
      <w:r>
        <w:t xml:space="preserve"> </w:t>
      </w:r>
      <w:r>
        <w:t xml:space="preserve">- Scalable storage with automatic provisioning</w:t>
      </w:r>
    </w:p>
    <w:p>
      <w:pPr>
        <w:pStyle w:val="Heading4"/>
      </w:pPr>
      <w:bookmarkStart w:id="56" w:name="dns-services-1.9---5.00"/>
      <w:r>
        <w:t xml:space="preserve">4.1.3 DNS Services (1.9% - $5.00)</w:t>
      </w:r>
      <w:bookmarkEnd w:id="56"/>
    </w:p>
    <w:p>
      <w:pPr>
        <w:pStyle w:val="FirstParagraph"/>
      </w:pPr>
      <w:r>
        <w:t xml:space="preserve">The DNS component provides essential name resolution services:</w:t>
      </w:r>
      <w:r>
        <w:t xml:space="preserve"> </w:t>
      </w:r>
      <w:r>
        <w:t xml:space="preserve">- Global anycast network for reliable resolution</w:t>
      </w:r>
      <w:r>
        <w:t xml:space="preserve"> </w:t>
      </w:r>
      <w:r>
        <w:t xml:space="preserve">- Support for multiple managed zones</w:t>
      </w:r>
      <w:r>
        <w:t xml:space="preserve"> </w:t>
      </w:r>
      <w:r>
        <w:t xml:space="preserve">- High-volume query handling capacity</w:t>
      </w:r>
      <w:r>
        <w:t xml:space="preserve"> </w:t>
      </w:r>
      <w:r>
        <w:t xml:space="preserve">- Advanced routing and traffic management</w:t>
      </w:r>
    </w:p>
    <w:p>
      <w:pPr>
        <w:pStyle w:val="Heading3"/>
      </w:pPr>
      <w:bookmarkStart w:id="57" w:name="cost-optimization-strategies"/>
      <w:r>
        <w:t xml:space="preserve">4.2 Cost Optimization Strategies</w:t>
      </w:r>
      <w:bookmarkEnd w:id="57"/>
    </w:p>
    <w:p>
      <w:pPr>
        <w:pStyle w:val="Heading4"/>
      </w:pPr>
      <w:bookmarkStart w:id="58" w:name="immediate-optimization-opportunities"/>
      <w:r>
        <w:t xml:space="preserve">4.2.1 Immediate Optimization Opportunities</w:t>
      </w:r>
      <w:bookmarkEnd w:id="58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Committed Use Discounts</w:t>
      </w:r>
    </w:p>
    <w:p>
      <w:pPr>
        <w:numPr>
          <w:ilvl w:val="1"/>
          <w:numId w:val="1018"/>
        </w:numPr>
        <w:pStyle w:val="Compact"/>
      </w:pPr>
      <w:r>
        <w:t xml:space="preserve">Up to 57% savings on compute resources with 3-year commitment</w:t>
      </w:r>
    </w:p>
    <w:p>
      <w:pPr>
        <w:numPr>
          <w:ilvl w:val="1"/>
          <w:numId w:val="1018"/>
        </w:numPr>
        <w:pStyle w:val="Compact"/>
      </w:pPr>
      <w:r>
        <w:t xml:space="preserve">Ideal for stable, predictable workloads</w:t>
      </w:r>
    </w:p>
    <w:p>
      <w:pPr>
        <w:numPr>
          <w:ilvl w:val="1"/>
          <w:numId w:val="1018"/>
        </w:numPr>
        <w:pStyle w:val="Compact"/>
      </w:pPr>
      <w:r>
        <w:t xml:space="preserve">Flexible commitment options available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Resource Right-sizing</w:t>
      </w:r>
    </w:p>
    <w:p>
      <w:pPr>
        <w:numPr>
          <w:ilvl w:val="1"/>
          <w:numId w:val="1019"/>
        </w:numPr>
        <w:pStyle w:val="Compact"/>
      </w:pPr>
      <w:r>
        <w:t xml:space="preserve">Regular monitoring of resource utilization</w:t>
      </w:r>
    </w:p>
    <w:p>
      <w:pPr>
        <w:numPr>
          <w:ilvl w:val="1"/>
          <w:numId w:val="1019"/>
        </w:numPr>
        <w:pStyle w:val="Compact"/>
      </w:pPr>
      <w:r>
        <w:t xml:space="preserve">Automatic scaling based on demand</w:t>
      </w:r>
    </w:p>
    <w:p>
      <w:pPr>
        <w:numPr>
          <w:ilvl w:val="1"/>
          <w:numId w:val="1019"/>
        </w:numPr>
        <w:pStyle w:val="Compact"/>
      </w:pPr>
      <w:r>
        <w:t xml:space="preserve">Performance-to-cost ratio optimization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Storage Optimization</w:t>
      </w:r>
    </w:p>
    <w:p>
      <w:pPr>
        <w:numPr>
          <w:ilvl w:val="1"/>
          <w:numId w:val="1020"/>
        </w:numPr>
        <w:pStyle w:val="Compact"/>
      </w:pPr>
      <w:r>
        <w:t xml:space="preserve">Implementation of lifecycle management policies</w:t>
      </w:r>
    </w:p>
    <w:p>
      <w:pPr>
        <w:numPr>
          <w:ilvl w:val="1"/>
          <w:numId w:val="1020"/>
        </w:numPr>
        <w:pStyle w:val="Compact"/>
      </w:pPr>
      <w:r>
        <w:t xml:space="preserve">Regular cleanup of unused resources</w:t>
      </w:r>
    </w:p>
    <w:p>
      <w:pPr>
        <w:numPr>
          <w:ilvl w:val="1"/>
          <w:numId w:val="1020"/>
        </w:numPr>
        <w:pStyle w:val="Compact"/>
      </w:pPr>
      <w:r>
        <w:t xml:space="preserve">Tiered storage utilization</w:t>
      </w:r>
    </w:p>
    <w:p>
      <w:pPr>
        <w:pStyle w:val="Heading4"/>
      </w:pPr>
      <w:bookmarkStart w:id="59" w:name="long-term-cost-management"/>
      <w:r>
        <w:t xml:space="preserve">4.2.2 Long-term Cost Management</w:t>
      </w:r>
      <w:bookmarkEnd w:id="59"/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Architecture Optimization</w:t>
      </w:r>
    </w:p>
    <w:p>
      <w:pPr>
        <w:numPr>
          <w:ilvl w:val="1"/>
          <w:numId w:val="1022"/>
        </w:numPr>
        <w:pStyle w:val="Compact"/>
      </w:pPr>
      <w:r>
        <w:t xml:space="preserve">Microservices adoption for granular resource control</w:t>
      </w:r>
    </w:p>
    <w:p>
      <w:pPr>
        <w:numPr>
          <w:ilvl w:val="1"/>
          <w:numId w:val="1022"/>
        </w:numPr>
        <w:pStyle w:val="Compact"/>
      </w:pPr>
      <w:r>
        <w:t xml:space="preserve">Container-based deployment for better resource utilization</w:t>
      </w:r>
    </w:p>
    <w:p>
      <w:pPr>
        <w:numPr>
          <w:ilvl w:val="1"/>
          <w:numId w:val="1022"/>
        </w:numPr>
        <w:pStyle w:val="Compact"/>
      </w:pPr>
      <w:r>
        <w:t xml:space="preserve">Serverless computing evaluation for suitable workloads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Network Cost Reduction</w:t>
      </w:r>
    </w:p>
    <w:p>
      <w:pPr>
        <w:numPr>
          <w:ilvl w:val="1"/>
          <w:numId w:val="1023"/>
        </w:numPr>
        <w:pStyle w:val="Compact"/>
      </w:pPr>
      <w:r>
        <w:t xml:space="preserve">Content Delivery Network implementation</w:t>
      </w:r>
    </w:p>
    <w:p>
      <w:pPr>
        <w:numPr>
          <w:ilvl w:val="1"/>
          <w:numId w:val="1023"/>
        </w:numPr>
        <w:pStyle w:val="Compact"/>
      </w:pPr>
      <w:r>
        <w:t xml:space="preserve">Cross-region traffic optimization</w:t>
      </w:r>
    </w:p>
    <w:p>
      <w:pPr>
        <w:numPr>
          <w:ilvl w:val="1"/>
          <w:numId w:val="1023"/>
        </w:numPr>
        <w:pStyle w:val="Compact"/>
      </w:pPr>
      <w:r>
        <w:t xml:space="preserve">Reserved IP address utilization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Database Efficiency</w:t>
      </w:r>
    </w:p>
    <w:p>
      <w:pPr>
        <w:numPr>
          <w:ilvl w:val="1"/>
          <w:numId w:val="1024"/>
        </w:numPr>
        <w:pStyle w:val="Compact"/>
      </w:pPr>
      <w:r>
        <w:t xml:space="preserve">Query optimization and caching strategies</w:t>
      </w:r>
    </w:p>
    <w:p>
      <w:pPr>
        <w:numPr>
          <w:ilvl w:val="1"/>
          <w:numId w:val="1024"/>
        </w:numPr>
        <w:pStyle w:val="Compact"/>
      </w:pPr>
      <w:r>
        <w:t xml:space="preserve">Regular maintenance and cleanup procedures</w:t>
      </w:r>
    </w:p>
    <w:p>
      <w:pPr>
        <w:numPr>
          <w:ilvl w:val="1"/>
          <w:numId w:val="1024"/>
        </w:numPr>
        <w:pStyle w:val="Compact"/>
      </w:pPr>
      <w:r>
        <w:t xml:space="preserve">Automated scaling policies</w:t>
      </w:r>
    </w:p>
    <w:p>
      <w:pPr>
        <w:pStyle w:val="Heading2"/>
      </w:pPr>
      <w:bookmarkStart w:id="60" w:name="conclusion"/>
      <w:r>
        <w:t xml:space="preserve">5. Conclusion</w:t>
      </w:r>
      <w:bookmarkEnd w:id="60"/>
    </w:p>
    <w:p>
      <w:pPr>
        <w:pStyle w:val="Heading3"/>
      </w:pPr>
      <w:bookmarkStart w:id="61" w:name="infrastructure-summary"/>
      <w:r>
        <w:t xml:space="preserve">5.1 Infrastructure Summary</w:t>
      </w:r>
      <w:bookmarkEnd w:id="61"/>
    </w:p>
    <w:p>
      <w:pPr>
        <w:pStyle w:val="FirstParagraph"/>
      </w:pPr>
      <w:r>
        <w:t xml:space="preserve">The Google Cloud Platform configuration detailed in this document represents a carefully architected infrastructure solution with a total monthly investment of $260.32. This deployment has been designed to provide enterprise-grade reliability, performance, and scalability while maintaining cost efficiency. The selected services form a cohesive technology stack that addresses key business requirements: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Compute Infrastructure</w:t>
      </w:r>
    </w:p>
    <w:p>
      <w:pPr>
        <w:numPr>
          <w:ilvl w:val="1"/>
          <w:numId w:val="1026"/>
        </w:numPr>
        <w:pStyle w:val="Compact"/>
      </w:pPr>
      <w:r>
        <w:t xml:space="preserve">N1-standard-4 Compute Engine instance providing robust processing capabilities</w:t>
      </w:r>
    </w:p>
    <w:p>
      <w:pPr>
        <w:numPr>
          <w:ilvl w:val="1"/>
          <w:numId w:val="1026"/>
        </w:numPr>
        <w:pStyle w:val="Compact"/>
      </w:pPr>
      <w:r>
        <w:t xml:space="preserve">Balanced CPU-to-memory ratio supporting diverse workload requirements</w:t>
      </w:r>
    </w:p>
    <w:p>
      <w:pPr>
        <w:numPr>
          <w:ilvl w:val="1"/>
          <w:numId w:val="1026"/>
        </w:numPr>
        <w:pStyle w:val="Compact"/>
      </w:pPr>
      <w:r>
        <w:t xml:space="preserve">Strategic regional deployment in us-central1 for optimal latency</w:t>
      </w:r>
    </w:p>
    <w:p>
      <w:pPr>
        <w:numPr>
          <w:ilvl w:val="1"/>
          <w:numId w:val="1026"/>
        </w:numPr>
        <w:pStyle w:val="Compact"/>
      </w:pPr>
      <w:r>
        <w:t xml:space="preserve">Integration capabilities with modern container orchestration platforms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Data Management</w:t>
      </w:r>
    </w:p>
    <w:p>
      <w:pPr>
        <w:numPr>
          <w:ilvl w:val="1"/>
          <w:numId w:val="1027"/>
        </w:numPr>
        <w:pStyle w:val="Compact"/>
      </w:pPr>
      <w:r>
        <w:t xml:space="preserve">Enterprise-grade MySQL deployment with high availability features</w:t>
      </w:r>
    </w:p>
    <w:p>
      <w:pPr>
        <w:numPr>
          <w:ilvl w:val="1"/>
          <w:numId w:val="1027"/>
        </w:numPr>
        <w:pStyle w:val="Compact"/>
      </w:pPr>
      <w:r>
        <w:t xml:space="preserve">Automated backup and recovery mechanisms</w:t>
      </w:r>
    </w:p>
    <w:p>
      <w:pPr>
        <w:numPr>
          <w:ilvl w:val="1"/>
          <w:numId w:val="1027"/>
        </w:numPr>
        <w:pStyle w:val="Compact"/>
      </w:pPr>
      <w:r>
        <w:t xml:space="preserve">Scalable storage architecture with automatic provisioning</w:t>
      </w:r>
    </w:p>
    <w:p>
      <w:pPr>
        <w:numPr>
          <w:ilvl w:val="1"/>
          <w:numId w:val="1027"/>
        </w:numPr>
        <w:pStyle w:val="Compact"/>
      </w:pPr>
      <w:r>
        <w:t xml:space="preserve">Advanced monitoring and performance optimization tools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Network Services</w:t>
      </w:r>
    </w:p>
    <w:p>
      <w:pPr>
        <w:numPr>
          <w:ilvl w:val="1"/>
          <w:numId w:val="1028"/>
        </w:numPr>
        <w:pStyle w:val="Compact"/>
      </w:pPr>
      <w:r>
        <w:t xml:space="preserve">Professional DNS management with global availability</w:t>
      </w:r>
    </w:p>
    <w:p>
      <w:pPr>
        <w:numPr>
          <w:ilvl w:val="1"/>
          <w:numId w:val="1028"/>
        </w:numPr>
        <w:pStyle w:val="Compact"/>
      </w:pPr>
      <w:r>
        <w:t xml:space="preserve">Support for multiple domain configurations</w:t>
      </w:r>
    </w:p>
    <w:p>
      <w:pPr>
        <w:numPr>
          <w:ilvl w:val="1"/>
          <w:numId w:val="1028"/>
        </w:numPr>
        <w:pStyle w:val="Compact"/>
      </w:pPr>
      <w:r>
        <w:t xml:space="preserve">Integration with Google’s global network infrastructure</w:t>
      </w:r>
    </w:p>
    <w:p>
      <w:pPr>
        <w:numPr>
          <w:ilvl w:val="1"/>
          <w:numId w:val="1028"/>
        </w:numPr>
        <w:pStyle w:val="Compact"/>
      </w:pPr>
      <w:r>
        <w:t xml:space="preserve">Advanced traffic management and security features</w:t>
      </w:r>
    </w:p>
    <w:p>
      <w:pPr>
        <w:pStyle w:val="Heading3"/>
      </w:pPr>
      <w:bookmarkStart w:id="62" w:name="cost-benefit-analysis"/>
      <w:r>
        <w:t xml:space="preserve">5.2 Cost-Benefit Analysis</w:t>
      </w:r>
      <w:bookmarkEnd w:id="62"/>
    </w:p>
    <w:p>
      <w:pPr>
        <w:pStyle w:val="FirstParagraph"/>
      </w:pPr>
      <w:r>
        <w:t xml:space="preserve">The monthly investment of $260.32 provides significant value through:</w:t>
      </w:r>
      <w:r>
        <w:t xml:space="preserve"> </w:t>
      </w:r>
      <w:r>
        <w:t xml:space="preserve">- Enterprise-grade computing resources (53.7% of total cost)</w:t>
      </w:r>
      <w:r>
        <w:t xml:space="preserve"> </w:t>
      </w:r>
      <w:r>
        <w:t xml:space="preserve">- Professional database management services (44.4% of total cost)</w:t>
      </w:r>
      <w:r>
        <w:t xml:space="preserve"> </w:t>
      </w:r>
      <w:r>
        <w:t xml:space="preserve">- Global DNS infrastructure (1.9% of total cost)</w:t>
      </w:r>
    </w:p>
    <w:p>
      <w:pPr>
        <w:pStyle w:val="BodyText"/>
      </w:pPr>
      <w:r>
        <w:t xml:space="preserve">This cost structure reflects a balanced approach to resource allocation, prioritizing critical infrastructure components while maintaining operational efficiency. The implementation includes various cost optimization opportunities through committed use discounts, resource right-sizing, and architectural optimizations.</w:t>
      </w:r>
    </w:p>
    <w:p>
      <w:pPr>
        <w:pStyle w:val="Heading3"/>
      </w:pPr>
      <w:bookmarkStart w:id="63" w:name="future-considerations"/>
      <w:r>
        <w:t xml:space="preserve">5.3 Future Considerations</w:t>
      </w:r>
      <w:bookmarkEnd w:id="63"/>
    </w:p>
    <w:p>
      <w:pPr>
        <w:pStyle w:val="FirstParagraph"/>
      </w:pPr>
      <w:r>
        <w:t xml:space="preserve">The infrastructure design incorporates flexibility for future growth and optimization: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Scalability Path</w:t>
      </w:r>
      <w:r>
        <w:t xml:space="preserve"> </w:t>
      </w:r>
      <w:r>
        <w:t xml:space="preserve">- Horizontal scaling capabilities through instance groups</w:t>
      </w:r>
      <w:r>
        <w:t xml:space="preserve"> </w:t>
      </w:r>
      <w:r>
        <w:t xml:space="preserve">- Database scaling through automated storage management</w:t>
      </w:r>
      <w:r>
        <w:t xml:space="preserve"> </w:t>
      </w:r>
      <w:r>
        <w:t xml:space="preserve">- Traffic management through global load balancing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Cost Optimization</w:t>
      </w:r>
    </w:p>
    <w:p>
      <w:pPr>
        <w:numPr>
          <w:ilvl w:val="1"/>
          <w:numId w:val="1030"/>
        </w:numPr>
        <w:pStyle w:val="Compact"/>
      </w:pPr>
      <w:r>
        <w:t xml:space="preserve">Potential savings through committed use discounts</w:t>
      </w:r>
    </w:p>
    <w:p>
      <w:pPr>
        <w:numPr>
          <w:ilvl w:val="1"/>
          <w:numId w:val="1030"/>
        </w:numPr>
        <w:pStyle w:val="Compact"/>
      </w:pPr>
      <w:r>
        <w:t xml:space="preserve">Opportunities for resource optimization</w:t>
      </w:r>
    </w:p>
    <w:p>
      <w:pPr>
        <w:numPr>
          <w:ilvl w:val="1"/>
          <w:numId w:val="1030"/>
        </w:numPr>
        <w:pStyle w:val="Compact"/>
      </w:pPr>
      <w:r>
        <w:t xml:space="preserve">Architecture refinement possibilities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Performance Enhancement</w:t>
      </w:r>
    </w:p>
    <w:p>
      <w:pPr>
        <w:numPr>
          <w:ilvl w:val="1"/>
          <w:numId w:val="1031"/>
        </w:numPr>
        <w:pStyle w:val="Compact"/>
      </w:pPr>
      <w:r>
        <w:t xml:space="preserve">Integration with additional Google Cloud services</w:t>
      </w:r>
    </w:p>
    <w:p>
      <w:pPr>
        <w:numPr>
          <w:ilvl w:val="1"/>
          <w:numId w:val="1031"/>
        </w:numPr>
        <w:pStyle w:val="Compact"/>
      </w:pPr>
      <w:r>
        <w:t xml:space="preserve">Implementation of caching strategies</w:t>
      </w:r>
    </w:p>
    <w:p>
      <w:pPr>
        <w:numPr>
          <w:ilvl w:val="1"/>
          <w:numId w:val="1031"/>
        </w:numPr>
        <w:pStyle w:val="Compact"/>
      </w:pPr>
      <w:r>
        <w:t xml:space="preserve">Network optimization through CDN integration</w:t>
      </w:r>
    </w:p>
    <w:p>
      <w:pPr>
        <w:pStyle w:val="FirstParagraph"/>
      </w:pPr>
      <w:r>
        <w:t xml:space="preserve">This comprehensive cloud infrastructure solution provides a robust foundation for hosting production applications while maintaining the flexibility to adapt to changing business requirements and workload demands.</w:t>
      </w:r>
    </w:p>
    <w:p>
      <w:pPr>
        <w:pStyle w:val="Heading2"/>
      </w:pPr>
      <w:bookmarkStart w:id="64" w:name="references"/>
      <w:r>
        <w:t xml:space="preserve">6. References</w:t>
      </w:r>
      <w:bookmarkEnd w:id="64"/>
    </w:p>
    <w:p>
      <w:pPr>
        <w:numPr>
          <w:ilvl w:val="0"/>
          <w:numId w:val="1032"/>
        </w:numPr>
        <w:pStyle w:val="Compact"/>
      </w:pPr>
      <w:r>
        <w:t xml:space="preserve">Google Cloud Platform Pricing Calculator. Retrieved from https://cloud.google.com/calculator</w:t>
      </w:r>
    </w:p>
    <w:p>
      <w:pPr>
        <w:numPr>
          <w:ilvl w:val="0"/>
          <w:numId w:val="1032"/>
        </w:numPr>
        <w:pStyle w:val="Compact"/>
      </w:pPr>
      <w:r>
        <w:t xml:space="preserve">Google Compute Engine Documentation. Retrieved from https://cloud.google.com/compute/docs</w:t>
      </w:r>
    </w:p>
    <w:p>
      <w:pPr>
        <w:numPr>
          <w:ilvl w:val="0"/>
          <w:numId w:val="1032"/>
        </w:numPr>
        <w:pStyle w:val="Compact"/>
      </w:pPr>
      <w:r>
        <w:t xml:space="preserve">Cloud SQL Documentation. Retrieved from https://cloud.google.com/sql/docs</w:t>
      </w:r>
    </w:p>
    <w:p>
      <w:pPr>
        <w:numPr>
          <w:ilvl w:val="0"/>
          <w:numId w:val="1032"/>
        </w:numPr>
        <w:pStyle w:val="Compact"/>
      </w:pPr>
      <w:r>
        <w:t xml:space="preserve">Cloud DNS Documentation. Retrieved from https://cloud.google.com/dns/docs</w:t>
      </w:r>
    </w:p>
    <w:p>
      <w:pPr>
        <w:numPr>
          <w:ilvl w:val="0"/>
          <w:numId w:val="1032"/>
        </w:numPr>
        <w:pStyle w:val="Compact"/>
      </w:pPr>
      <w:r>
        <w:t xml:space="preserve">Google Cloud Platform Pricing Documentation. Retrieved from https://cloud.google.com/pricing</w:t>
      </w:r>
    </w:p>
    <w:p>
      <w:pPr>
        <w:pStyle w:val="Heading2"/>
      </w:pPr>
      <w:bookmarkStart w:id="65" w:name="appendix-a-detailed-cost-breakdown"/>
      <w:r>
        <w:t xml:space="preserve">Appendix A: Detailed Cost Breakdown</w:t>
      </w:r>
      <w:bookmarkEnd w:id="65"/>
    </w:p>
    <w:p>
      <w:pPr>
        <w:pStyle w:val="Heading3"/>
      </w:pPr>
      <w:bookmarkStart w:id="66" w:name="a.1-compute-engine-details"/>
      <w:r>
        <w:t xml:space="preserve">A.1 Compute Engine Details</w:t>
      </w:r>
      <w:bookmarkEnd w:id="66"/>
    </w:p>
    <w:p>
      <w:pPr>
        <w:numPr>
          <w:ilvl w:val="0"/>
          <w:numId w:val="1033"/>
        </w:numPr>
        <w:pStyle w:val="Compact"/>
      </w:pPr>
      <w:r>
        <w:t xml:space="preserve">Machine Type: n1-standard-4</w:t>
      </w:r>
    </w:p>
    <w:p>
      <w:pPr>
        <w:numPr>
          <w:ilvl w:val="0"/>
          <w:numId w:val="1033"/>
        </w:numPr>
        <w:pStyle w:val="Compact"/>
      </w:pPr>
      <w:r>
        <w:t xml:space="preserve">vCPUs: 4</w:t>
      </w:r>
    </w:p>
    <w:p>
      <w:pPr>
        <w:numPr>
          <w:ilvl w:val="0"/>
          <w:numId w:val="1033"/>
        </w:numPr>
        <w:pStyle w:val="Compact"/>
      </w:pPr>
      <w:r>
        <w:t xml:space="preserve">Memory: 15 GB</w:t>
      </w:r>
    </w:p>
    <w:p>
      <w:pPr>
        <w:numPr>
          <w:ilvl w:val="0"/>
          <w:numId w:val="1033"/>
        </w:numPr>
        <w:pStyle w:val="Compact"/>
      </w:pPr>
      <w:r>
        <w:t xml:space="preserve">Operating System: Ubuntu</w:t>
      </w:r>
    </w:p>
    <w:p>
      <w:pPr>
        <w:numPr>
          <w:ilvl w:val="0"/>
          <w:numId w:val="1033"/>
        </w:numPr>
        <w:pStyle w:val="Compact"/>
      </w:pPr>
      <w:r>
        <w:t xml:space="preserve">Usage: 730 hours/month</w:t>
      </w:r>
    </w:p>
    <w:p>
      <w:pPr>
        <w:numPr>
          <w:ilvl w:val="0"/>
          <w:numId w:val="1033"/>
        </w:numPr>
        <w:pStyle w:val="Compact"/>
      </w:pPr>
      <w:r>
        <w:t xml:space="preserve">Region: Iowa (us-central1)</w:t>
      </w:r>
    </w:p>
    <w:p>
      <w:pPr>
        <w:numPr>
          <w:ilvl w:val="0"/>
          <w:numId w:val="1033"/>
        </w:numPr>
        <w:pStyle w:val="Compact"/>
      </w:pPr>
      <w:r>
        <w:t xml:space="preserve">Monthly Cost: $139.70</w:t>
      </w:r>
    </w:p>
    <w:p>
      <w:pPr>
        <w:pStyle w:val="Heading3"/>
      </w:pPr>
      <w:bookmarkStart w:id="67" w:name="a.2-cloud-sql-details"/>
      <w:r>
        <w:t xml:space="preserve">A.2 Cloud SQL Details</w:t>
      </w:r>
      <w:bookmarkEnd w:id="67"/>
    </w:p>
    <w:p>
      <w:pPr>
        <w:numPr>
          <w:ilvl w:val="0"/>
          <w:numId w:val="1034"/>
        </w:numPr>
        <w:pStyle w:val="Compact"/>
      </w:pPr>
      <w:r>
        <w:t xml:space="preserve">Instance Type: db-standard-2</w:t>
      </w:r>
    </w:p>
    <w:p>
      <w:pPr>
        <w:numPr>
          <w:ilvl w:val="0"/>
          <w:numId w:val="1034"/>
        </w:numPr>
        <w:pStyle w:val="Compact"/>
      </w:pPr>
      <w:r>
        <w:t xml:space="preserve">vCPUs: 2</w:t>
      </w:r>
    </w:p>
    <w:p>
      <w:pPr>
        <w:numPr>
          <w:ilvl w:val="0"/>
          <w:numId w:val="1034"/>
        </w:numPr>
        <w:pStyle w:val="Compact"/>
      </w:pPr>
      <w:r>
        <w:t xml:space="preserve">Memory: 7.5 GB</w:t>
      </w:r>
    </w:p>
    <w:p>
      <w:pPr>
        <w:numPr>
          <w:ilvl w:val="0"/>
          <w:numId w:val="1034"/>
        </w:numPr>
        <w:pStyle w:val="Compact"/>
      </w:pPr>
      <w:r>
        <w:t xml:space="preserve">Storage: 100 GB</w:t>
      </w:r>
    </w:p>
    <w:p>
      <w:pPr>
        <w:numPr>
          <w:ilvl w:val="0"/>
          <w:numId w:val="1034"/>
        </w:numPr>
        <w:pStyle w:val="Compact"/>
      </w:pPr>
      <w:r>
        <w:t xml:space="preserve">Database: MySQL Enterprise</w:t>
      </w:r>
    </w:p>
    <w:p>
      <w:pPr>
        <w:numPr>
          <w:ilvl w:val="0"/>
          <w:numId w:val="1034"/>
        </w:numPr>
        <w:pStyle w:val="Compact"/>
      </w:pPr>
      <w:r>
        <w:t xml:space="preserve">Region: Iowa (us-central1)</w:t>
      </w:r>
    </w:p>
    <w:p>
      <w:pPr>
        <w:numPr>
          <w:ilvl w:val="0"/>
          <w:numId w:val="1034"/>
        </w:numPr>
        <w:pStyle w:val="Compact"/>
      </w:pPr>
      <w:r>
        <w:t xml:space="preserve">Monthly Cost: $115.62</w:t>
      </w:r>
    </w:p>
    <w:p>
      <w:pPr>
        <w:pStyle w:val="Heading3"/>
      </w:pPr>
      <w:bookmarkStart w:id="68" w:name="a.3-cloud-dns-details"/>
      <w:r>
        <w:t xml:space="preserve">A.3 Cloud DNS Details</w:t>
      </w:r>
      <w:bookmarkEnd w:id="68"/>
    </w:p>
    <w:p>
      <w:pPr>
        <w:numPr>
          <w:ilvl w:val="0"/>
          <w:numId w:val="1035"/>
        </w:numPr>
        <w:pStyle w:val="Compact"/>
      </w:pPr>
      <w:r>
        <w:t xml:space="preserve">Managed Zones: 5</w:t>
      </w:r>
    </w:p>
    <w:p>
      <w:pPr>
        <w:numPr>
          <w:ilvl w:val="0"/>
          <w:numId w:val="1035"/>
        </w:numPr>
        <w:pStyle w:val="Compact"/>
      </w:pPr>
      <w:r>
        <w:t xml:space="preserve">Regular Queries: 10 million/month</w:t>
      </w:r>
    </w:p>
    <w:p>
      <w:pPr>
        <w:numPr>
          <w:ilvl w:val="0"/>
          <w:numId w:val="1035"/>
        </w:numPr>
        <w:pStyle w:val="Compact"/>
      </w:pPr>
      <w:r>
        <w:t xml:space="preserve">Region: Global</w:t>
      </w:r>
    </w:p>
    <w:p>
      <w:pPr>
        <w:numPr>
          <w:ilvl w:val="0"/>
          <w:numId w:val="1035"/>
        </w:numPr>
        <w:pStyle w:val="Compact"/>
      </w:pPr>
      <w:r>
        <w:t xml:space="preserve">Monthly Cost: $5.00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2025-02-03T06:01:20Z</dcterms:created>
  <dcterms:modified xsi:type="dcterms:W3CDTF">2025-02-03T06:01:20Z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