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rFonts w:ascii="Calibri" w:hAnsi="Calibri"/>
          <w:b/>
          <w:color w:val="2D6A6A"/>
          <w:sz w:val="22"/>
        </w:rPr>
        <w:t>FENWICK HOLDINGS INC.</w:t>
      </w:r>
    </w:p>
    <w:p>
      <w:pPr>
        <w:spacing w:after="520"/>
      </w:pPr>
      <w:r>
        <w:rPr>
          <w:color w:val="5B6B63"/>
          <w:sz w:val="22"/>
        </w:rPr>
        <w:t>Multi-Brand Invoicing &amp; Payment Platform</w:t>
      </w:r>
    </w:p>
    <w:p>
      <w:pPr>
        <w:spacing w:after="120"/>
      </w:pPr>
      <w:r>
        <w:rPr>
          <w:rFonts w:ascii="Calibri" w:hAnsi="Calibri"/>
          <w:b/>
          <w:color w:val="16261F"/>
          <w:sz w:val="60"/>
        </w:rPr>
        <w:t>Functional Requirements Specification</w:t>
      </w:r>
    </w:p>
    <w:p>
      <w:pPr>
        <w:spacing w:after="600"/>
      </w:pPr>
      <w:r>
        <w:rPr>
          <w:color w:val="5B6B63"/>
          <w:sz w:val="26"/>
        </w:rPr>
        <w:t>Multi-brand invoicing, payment collection and accounting integration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30" w:type="dxa"/>
              <w:left w:w="0" w:type="dxa"/>
              <w:bottom w:w="30" w:type="dxa"/>
              <w:right w:w="80" w:type="dxa"/>
            </w:tcMar>
          </w:tcPr>
          <w:p>
            <w:r>
              <w:rPr>
                <w:color w:val="5B6B63"/>
                <w:sz w:val="19"/>
              </w:rPr>
              <w:t>Document code</w:t>
            </w:r>
          </w:p>
        </w:tc>
        <w:tc>
          <w:tcPr>
            <w:tcW w:type="dxa" w:w="6192"/>
            <w:tcMar>
              <w:top w:w="30" w:type="dxa"/>
              <w:left w:w="0" w:type="dxa"/>
              <w:bottom w:w="30" w:type="dxa"/>
              <w:right w:w="0" w:type="dxa"/>
            </w:tcMar>
          </w:tcPr>
          <w:p>
            <w:r>
              <w:rPr>
                <w:b/>
                <w:color w:val="16261F"/>
                <w:sz w:val="19"/>
              </w:rPr>
              <w:t>FRS-001</w:t>
            </w:r>
          </w:p>
        </w:tc>
      </w:tr>
      <w:tr>
        <w:tc>
          <w:tcPr>
            <w:tcW w:type="dxa" w:w="2448"/>
            <w:tcMar>
              <w:top w:w="30" w:type="dxa"/>
              <w:left w:w="0" w:type="dxa"/>
              <w:bottom w:w="30" w:type="dxa"/>
              <w:right w:w="80" w:type="dxa"/>
            </w:tcMar>
          </w:tcPr>
          <w:p>
            <w:r>
              <w:rPr>
                <w:color w:val="5B6B63"/>
                <w:sz w:val="19"/>
              </w:rPr>
              <w:t>Version</w:t>
            </w:r>
          </w:p>
        </w:tc>
        <w:tc>
          <w:tcPr>
            <w:tcW w:type="dxa" w:w="6192"/>
            <w:tcMar>
              <w:top w:w="30" w:type="dxa"/>
              <w:left w:w="0" w:type="dxa"/>
              <w:bottom w:w="30" w:type="dxa"/>
              <w:right w:w="0" w:type="dxa"/>
            </w:tcMar>
          </w:tcPr>
          <w:p>
            <w:r>
              <w:rPr>
                <w:b/>
                <w:color w:val="16261F"/>
                <w:sz w:val="19"/>
              </w:rPr>
              <w:t>1.0</w:t>
            </w:r>
          </w:p>
        </w:tc>
      </w:tr>
      <w:tr>
        <w:tc>
          <w:tcPr>
            <w:tcW w:type="dxa" w:w="2448"/>
            <w:tcMar>
              <w:top w:w="30" w:type="dxa"/>
              <w:left w:w="0" w:type="dxa"/>
              <w:bottom w:w="30" w:type="dxa"/>
              <w:right w:w="80" w:type="dxa"/>
            </w:tcMar>
          </w:tcPr>
          <w:p>
            <w:r>
              <w:rPr>
                <w:color w:val="5B6B63"/>
                <w:sz w:val="19"/>
              </w:rPr>
              <w:t>Date</w:t>
            </w:r>
          </w:p>
        </w:tc>
        <w:tc>
          <w:tcPr>
            <w:tcW w:type="dxa" w:w="6192"/>
            <w:tcMar>
              <w:top w:w="30" w:type="dxa"/>
              <w:left w:w="0" w:type="dxa"/>
              <w:bottom w:w="30" w:type="dxa"/>
              <w:right w:w="0" w:type="dxa"/>
            </w:tcMar>
          </w:tcPr>
          <w:p>
            <w:r>
              <w:rPr>
                <w:b/>
                <w:color w:val="16261F"/>
                <w:sz w:val="19"/>
              </w:rPr>
              <w:t>24 July 2026</w:t>
            </w:r>
          </w:p>
        </w:tc>
      </w:tr>
      <w:tr>
        <w:tc>
          <w:tcPr>
            <w:tcW w:type="dxa" w:w="2448"/>
            <w:tcMar>
              <w:top w:w="30" w:type="dxa"/>
              <w:left w:w="0" w:type="dxa"/>
              <w:bottom w:w="30" w:type="dxa"/>
              <w:right w:w="80" w:type="dxa"/>
            </w:tcMar>
          </w:tcPr>
          <w:p>
            <w:r>
              <w:rPr>
                <w:color w:val="5B6B63"/>
                <w:sz w:val="19"/>
              </w:rPr>
              <w:t>Owner</w:t>
            </w:r>
          </w:p>
        </w:tc>
        <w:tc>
          <w:tcPr>
            <w:tcW w:type="dxa" w:w="6192"/>
            <w:tcMar>
              <w:top w:w="30" w:type="dxa"/>
              <w:left w:w="0" w:type="dxa"/>
              <w:bottom w:w="30" w:type="dxa"/>
              <w:right w:w="0" w:type="dxa"/>
            </w:tcMar>
          </w:tcPr>
          <w:p>
            <w:r>
              <w:rPr>
                <w:b/>
                <w:color w:val="16261F"/>
                <w:sz w:val="19"/>
              </w:rPr>
              <w:t>Product Engineering</w:t>
            </w:r>
          </w:p>
        </w:tc>
      </w:tr>
      <w:tr>
        <w:tc>
          <w:tcPr>
            <w:tcW w:type="dxa" w:w="2448"/>
            <w:tcMar>
              <w:top w:w="30" w:type="dxa"/>
              <w:left w:w="0" w:type="dxa"/>
              <w:bottom w:w="30" w:type="dxa"/>
              <w:right w:w="80" w:type="dxa"/>
            </w:tcMar>
          </w:tcPr>
          <w:p>
            <w:r>
              <w:rPr>
                <w:color w:val="5B6B63"/>
                <w:sz w:val="19"/>
              </w:rPr>
              <w:t>Audience</w:t>
            </w:r>
          </w:p>
        </w:tc>
        <w:tc>
          <w:tcPr>
            <w:tcW w:type="dxa" w:w="6192"/>
            <w:tcMar>
              <w:top w:w="30" w:type="dxa"/>
              <w:left w:w="0" w:type="dxa"/>
              <w:bottom w:w="30" w:type="dxa"/>
              <w:right w:w="0" w:type="dxa"/>
            </w:tcMar>
          </w:tcPr>
          <w:p>
            <w:r>
              <w:rPr>
                <w:b/>
                <w:color w:val="16261F"/>
                <w:sz w:val="19"/>
              </w:rPr>
              <w:t>Client stakeholders, engineering, QA</w:t>
            </w:r>
          </w:p>
        </w:tc>
      </w:tr>
      <w:tr>
        <w:tc>
          <w:tcPr>
            <w:tcW w:type="dxa" w:w="2448"/>
            <w:tcMar>
              <w:top w:w="30" w:type="dxa"/>
              <w:left w:w="0" w:type="dxa"/>
              <w:bottom w:w="30" w:type="dxa"/>
              <w:right w:w="80" w:type="dxa"/>
            </w:tcMar>
          </w:tcPr>
          <w:p>
            <w:r>
              <w:rPr>
                <w:color w:val="5B6B63"/>
                <w:sz w:val="19"/>
              </w:rPr>
              <w:t>Status</w:t>
            </w:r>
          </w:p>
        </w:tc>
        <w:tc>
          <w:tcPr>
            <w:tcW w:type="dxa" w:w="6192"/>
            <w:tcMar>
              <w:top w:w="30" w:type="dxa"/>
              <w:left w:w="0" w:type="dxa"/>
              <w:bottom w:w="30" w:type="dxa"/>
              <w:right w:w="0" w:type="dxa"/>
            </w:tcMar>
          </w:tcPr>
          <w:p>
            <w:r>
              <w:rPr>
                <w:b/>
                <w:color w:val="16261F"/>
                <w:sz w:val="19"/>
              </w:rPr>
              <w:t>For client review</w:t>
            </w:r>
          </w:p>
        </w:tc>
      </w:tr>
    </w:tbl>
    <w:p>
      <w:r>
        <w:br w:type="page"/>
      </w:r>
    </w:p>
    <w:p>
      <w:pPr>
        <w:pStyle w:val="Heading1"/>
      </w:pPr>
      <w:r>
        <w:t>Contents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720"/>
            <w:tcMar>
              <w:top w:w="25" w:type="dxa"/>
              <w:left w:w="0" w:type="dxa"/>
              <w:bottom w:w="25" w:type="dxa"/>
              <w:right w:w="40" w:type="dxa"/>
            </w:tcMar>
          </w:tcPr>
          <w:p>
            <w:r>
              <w:rPr>
                <w:b/>
                <w:color w:val="2D6A6A"/>
                <w:sz w:val="20"/>
              </w:rPr>
              <w:t>1</w:t>
            </w:r>
          </w:p>
        </w:tc>
        <w:tc>
          <w:tcPr>
            <w:tcW w:type="dxa" w:w="7920"/>
            <w:tcMar>
              <w:top w:w="25" w:type="dxa"/>
              <w:left w:w="0" w:type="dxa"/>
              <w:bottom w:w="25" w:type="dxa"/>
              <w:right w:w="0" w:type="dxa"/>
            </w:tcMar>
          </w:tcPr>
          <w:p>
            <w:r>
              <w:rPr>
                <w:color w:val="16261F"/>
                <w:sz w:val="20"/>
              </w:rPr>
              <w:t>Introduction and purpose</w:t>
            </w:r>
          </w:p>
        </w:tc>
      </w:tr>
      <w:tr>
        <w:tc>
          <w:tcPr>
            <w:tcW w:type="dxa" w:w="720"/>
            <w:tcMar>
              <w:top w:w="25" w:type="dxa"/>
              <w:left w:w="0" w:type="dxa"/>
              <w:bottom w:w="25" w:type="dxa"/>
              <w:right w:w="40" w:type="dxa"/>
            </w:tcMar>
          </w:tcPr>
          <w:p>
            <w:r>
              <w:rPr>
                <w:b/>
                <w:color w:val="2D6A6A"/>
                <w:sz w:val="20"/>
              </w:rPr>
              <w:t>2</w:t>
            </w:r>
          </w:p>
        </w:tc>
        <w:tc>
          <w:tcPr>
            <w:tcW w:type="dxa" w:w="7920"/>
            <w:tcMar>
              <w:top w:w="25" w:type="dxa"/>
              <w:left w:w="0" w:type="dxa"/>
              <w:bottom w:w="25" w:type="dxa"/>
              <w:right w:w="0" w:type="dxa"/>
            </w:tcMar>
          </w:tcPr>
          <w:p>
            <w:r>
              <w:rPr>
                <w:color w:val="16261F"/>
                <w:sz w:val="20"/>
              </w:rPr>
              <w:t>Scope, phasing and traceability</w:t>
            </w:r>
          </w:p>
        </w:tc>
      </w:tr>
      <w:tr>
        <w:tc>
          <w:tcPr>
            <w:tcW w:type="dxa" w:w="720"/>
            <w:tcMar>
              <w:top w:w="25" w:type="dxa"/>
              <w:left w:w="0" w:type="dxa"/>
              <w:bottom w:w="25" w:type="dxa"/>
              <w:right w:w="40" w:type="dxa"/>
            </w:tcMar>
          </w:tcPr>
          <w:p>
            <w:r>
              <w:rPr>
                <w:b/>
                <w:color w:val="2D6A6A"/>
                <w:sz w:val="20"/>
              </w:rPr>
              <w:t>3</w:t>
            </w:r>
          </w:p>
        </w:tc>
        <w:tc>
          <w:tcPr>
            <w:tcW w:type="dxa" w:w="7920"/>
            <w:tcMar>
              <w:top w:w="25" w:type="dxa"/>
              <w:left w:w="0" w:type="dxa"/>
              <w:bottom w:w="25" w:type="dxa"/>
              <w:right w:w="0" w:type="dxa"/>
            </w:tcMar>
          </w:tcPr>
          <w:p>
            <w:r>
              <w:rPr>
                <w:color w:val="16261F"/>
                <w:sz w:val="20"/>
              </w:rPr>
              <w:t>Actors, roles and permissions</w:t>
            </w:r>
          </w:p>
        </w:tc>
      </w:tr>
      <w:tr>
        <w:tc>
          <w:tcPr>
            <w:tcW w:type="dxa" w:w="720"/>
            <w:tcMar>
              <w:top w:w="25" w:type="dxa"/>
              <w:left w:w="0" w:type="dxa"/>
              <w:bottom w:w="25" w:type="dxa"/>
              <w:right w:w="40" w:type="dxa"/>
            </w:tcMar>
          </w:tcPr>
          <w:p>
            <w:r>
              <w:rPr>
                <w:b/>
                <w:color w:val="2D6A6A"/>
                <w:sz w:val="20"/>
              </w:rPr>
              <w:t>4</w:t>
            </w:r>
          </w:p>
        </w:tc>
        <w:tc>
          <w:tcPr>
            <w:tcW w:type="dxa" w:w="7920"/>
            <w:tcMar>
              <w:top w:w="25" w:type="dxa"/>
              <w:left w:w="0" w:type="dxa"/>
              <w:bottom w:w="25" w:type="dxa"/>
              <w:right w:w="0" w:type="dxa"/>
            </w:tcMar>
          </w:tcPr>
          <w:p>
            <w:r>
              <w:rPr>
                <w:color w:val="16261F"/>
                <w:sz w:val="20"/>
              </w:rPr>
              <w:t>Domain model and key terminology</w:t>
            </w:r>
          </w:p>
        </w:tc>
      </w:tr>
      <w:tr>
        <w:tc>
          <w:tcPr>
            <w:tcW w:type="dxa" w:w="720"/>
            <w:tcMar>
              <w:top w:w="25" w:type="dxa"/>
              <w:left w:w="0" w:type="dxa"/>
              <w:bottom w:w="25" w:type="dxa"/>
              <w:right w:w="40" w:type="dxa"/>
            </w:tcMar>
          </w:tcPr>
          <w:p>
            <w:r>
              <w:rPr>
                <w:b/>
                <w:color w:val="2D6A6A"/>
                <w:sz w:val="20"/>
              </w:rPr>
              <w:t>5</w:t>
            </w:r>
          </w:p>
        </w:tc>
        <w:tc>
          <w:tcPr>
            <w:tcW w:type="dxa" w:w="7920"/>
            <w:tcMar>
              <w:top w:w="25" w:type="dxa"/>
              <w:left w:w="0" w:type="dxa"/>
              <w:bottom w:w="25" w:type="dxa"/>
              <w:right w:w="0" w:type="dxa"/>
            </w:tcMar>
          </w:tcPr>
          <w:p>
            <w:r>
              <w:rPr>
                <w:color w:val="16261F"/>
                <w:sz w:val="20"/>
              </w:rPr>
              <w:t>FR-AUTH — Authentication and access control</w:t>
            </w:r>
          </w:p>
        </w:tc>
      </w:tr>
      <w:tr>
        <w:tc>
          <w:tcPr>
            <w:tcW w:type="dxa" w:w="720"/>
            <w:tcMar>
              <w:top w:w="25" w:type="dxa"/>
              <w:left w:w="0" w:type="dxa"/>
              <w:bottom w:w="25" w:type="dxa"/>
              <w:right w:w="40" w:type="dxa"/>
            </w:tcMar>
          </w:tcPr>
          <w:p>
            <w:r>
              <w:rPr>
                <w:b/>
                <w:color w:val="2D6A6A"/>
                <w:sz w:val="20"/>
              </w:rPr>
              <w:t>6</w:t>
            </w:r>
          </w:p>
        </w:tc>
        <w:tc>
          <w:tcPr>
            <w:tcW w:type="dxa" w:w="7920"/>
            <w:tcMar>
              <w:top w:w="25" w:type="dxa"/>
              <w:left w:w="0" w:type="dxa"/>
              <w:bottom w:w="25" w:type="dxa"/>
              <w:right w:w="0" w:type="dxa"/>
            </w:tcMar>
          </w:tcPr>
          <w:p>
            <w:r>
              <w:rPr>
                <w:color w:val="16261F"/>
                <w:sz w:val="20"/>
              </w:rPr>
              <w:t>FR-ORG — Merchant organisation</w:t>
            </w:r>
          </w:p>
        </w:tc>
      </w:tr>
      <w:tr>
        <w:tc>
          <w:tcPr>
            <w:tcW w:type="dxa" w:w="720"/>
            <w:tcMar>
              <w:top w:w="25" w:type="dxa"/>
              <w:left w:w="0" w:type="dxa"/>
              <w:bottom w:w="25" w:type="dxa"/>
              <w:right w:w="40" w:type="dxa"/>
            </w:tcMar>
          </w:tcPr>
          <w:p>
            <w:r>
              <w:rPr>
                <w:b/>
                <w:color w:val="2D6A6A"/>
                <w:sz w:val="20"/>
              </w:rPr>
              <w:t>7</w:t>
            </w:r>
          </w:p>
        </w:tc>
        <w:tc>
          <w:tcPr>
            <w:tcW w:type="dxa" w:w="7920"/>
            <w:tcMar>
              <w:top w:w="25" w:type="dxa"/>
              <w:left w:w="0" w:type="dxa"/>
              <w:bottom w:w="25" w:type="dxa"/>
              <w:right w:w="0" w:type="dxa"/>
            </w:tcMar>
          </w:tcPr>
          <w:p>
            <w:r>
              <w:rPr>
                <w:color w:val="16261F"/>
                <w:sz w:val="20"/>
              </w:rPr>
              <w:t>FR-BRD — Brand management</w:t>
            </w:r>
          </w:p>
        </w:tc>
      </w:tr>
      <w:tr>
        <w:tc>
          <w:tcPr>
            <w:tcW w:type="dxa" w:w="720"/>
            <w:tcMar>
              <w:top w:w="25" w:type="dxa"/>
              <w:left w:w="0" w:type="dxa"/>
              <w:bottom w:w="25" w:type="dxa"/>
              <w:right w:w="40" w:type="dxa"/>
            </w:tcMar>
          </w:tcPr>
          <w:p>
            <w:r>
              <w:rPr>
                <w:b/>
                <w:color w:val="2D6A6A"/>
                <w:sz w:val="20"/>
              </w:rPr>
              <w:t>8</w:t>
            </w:r>
          </w:p>
        </w:tc>
        <w:tc>
          <w:tcPr>
            <w:tcW w:type="dxa" w:w="7920"/>
            <w:tcMar>
              <w:top w:w="25" w:type="dxa"/>
              <w:left w:w="0" w:type="dxa"/>
              <w:bottom w:w="25" w:type="dxa"/>
              <w:right w:w="0" w:type="dxa"/>
            </w:tcMar>
          </w:tcPr>
          <w:p>
            <w:r>
              <w:rPr>
                <w:color w:val="16261F"/>
                <w:sz w:val="20"/>
              </w:rPr>
              <w:t>FR-CUS — Customer management (accounts receivable)</w:t>
            </w:r>
          </w:p>
        </w:tc>
      </w:tr>
      <w:tr>
        <w:tc>
          <w:tcPr>
            <w:tcW w:type="dxa" w:w="720"/>
            <w:tcMar>
              <w:top w:w="25" w:type="dxa"/>
              <w:left w:w="0" w:type="dxa"/>
              <w:bottom w:w="25" w:type="dxa"/>
              <w:right w:w="40" w:type="dxa"/>
            </w:tcMar>
          </w:tcPr>
          <w:p>
            <w:r>
              <w:rPr>
                <w:b/>
                <w:color w:val="2D6A6A"/>
                <w:sz w:val="20"/>
              </w:rPr>
              <w:t>9</w:t>
            </w:r>
          </w:p>
        </w:tc>
        <w:tc>
          <w:tcPr>
            <w:tcW w:type="dxa" w:w="7920"/>
            <w:tcMar>
              <w:top w:w="25" w:type="dxa"/>
              <w:left w:w="0" w:type="dxa"/>
              <w:bottom w:w="25" w:type="dxa"/>
              <w:right w:w="0" w:type="dxa"/>
            </w:tcMar>
          </w:tcPr>
          <w:p>
            <w:r>
              <w:rPr>
                <w:color w:val="16261F"/>
                <w:sz w:val="20"/>
              </w:rPr>
              <w:t>FR-VEN — Vendor management (accounts payable)</w:t>
            </w:r>
          </w:p>
        </w:tc>
      </w:tr>
      <w:tr>
        <w:tc>
          <w:tcPr>
            <w:tcW w:type="dxa" w:w="720"/>
            <w:tcMar>
              <w:top w:w="25" w:type="dxa"/>
              <w:left w:w="0" w:type="dxa"/>
              <w:bottom w:w="25" w:type="dxa"/>
              <w:right w:w="40" w:type="dxa"/>
            </w:tcMar>
          </w:tcPr>
          <w:p>
            <w:r>
              <w:rPr>
                <w:b/>
                <w:color w:val="2D6A6A"/>
                <w:sz w:val="20"/>
              </w:rPr>
              <w:t>10</w:t>
            </w:r>
          </w:p>
        </w:tc>
        <w:tc>
          <w:tcPr>
            <w:tcW w:type="dxa" w:w="7920"/>
            <w:tcMar>
              <w:top w:w="25" w:type="dxa"/>
              <w:left w:w="0" w:type="dxa"/>
              <w:bottom w:w="25" w:type="dxa"/>
              <w:right w:w="0" w:type="dxa"/>
            </w:tcMar>
          </w:tcPr>
          <w:p>
            <w:r>
              <w:rPr>
                <w:color w:val="16261F"/>
                <w:sz w:val="20"/>
              </w:rPr>
              <w:t>FR-INV — Invoicing</w:t>
            </w:r>
          </w:p>
        </w:tc>
      </w:tr>
      <w:tr>
        <w:tc>
          <w:tcPr>
            <w:tcW w:type="dxa" w:w="720"/>
            <w:tcMar>
              <w:top w:w="25" w:type="dxa"/>
              <w:left w:w="0" w:type="dxa"/>
              <w:bottom w:w="25" w:type="dxa"/>
              <w:right w:w="40" w:type="dxa"/>
            </w:tcMar>
          </w:tcPr>
          <w:p>
            <w:r>
              <w:rPr>
                <w:b/>
                <w:color w:val="2D6A6A"/>
                <w:sz w:val="20"/>
              </w:rPr>
              <w:t>11</w:t>
            </w:r>
          </w:p>
        </w:tc>
        <w:tc>
          <w:tcPr>
            <w:tcW w:type="dxa" w:w="7920"/>
            <w:tcMar>
              <w:top w:w="25" w:type="dxa"/>
              <w:left w:w="0" w:type="dxa"/>
              <w:bottom w:w="25" w:type="dxa"/>
              <w:right w:w="0" w:type="dxa"/>
            </w:tcMar>
          </w:tcPr>
          <w:p>
            <w:r>
              <w:rPr>
                <w:color w:val="16261F"/>
                <w:sz w:val="20"/>
              </w:rPr>
              <w:t>FR-TAX — Tax and card fee handling</w:t>
            </w:r>
          </w:p>
        </w:tc>
      </w:tr>
      <w:tr>
        <w:tc>
          <w:tcPr>
            <w:tcW w:type="dxa" w:w="720"/>
            <w:tcMar>
              <w:top w:w="25" w:type="dxa"/>
              <w:left w:w="0" w:type="dxa"/>
              <w:bottom w:w="25" w:type="dxa"/>
              <w:right w:w="40" w:type="dxa"/>
            </w:tcMar>
          </w:tcPr>
          <w:p>
            <w:r>
              <w:rPr>
                <w:b/>
                <w:color w:val="2D6A6A"/>
                <w:sz w:val="20"/>
              </w:rPr>
              <w:t>12</w:t>
            </w:r>
          </w:p>
        </w:tc>
        <w:tc>
          <w:tcPr>
            <w:tcW w:type="dxa" w:w="7920"/>
            <w:tcMar>
              <w:top w:w="25" w:type="dxa"/>
              <w:left w:w="0" w:type="dxa"/>
              <w:bottom w:w="25" w:type="dxa"/>
              <w:right w:w="0" w:type="dxa"/>
            </w:tcMar>
          </w:tcPr>
          <w:p>
            <w:r>
              <w:rPr>
                <w:color w:val="16261F"/>
                <w:sz w:val="20"/>
              </w:rPr>
              <w:t>FR-DLV — Invoice delivery and email</w:t>
            </w:r>
          </w:p>
        </w:tc>
      </w:tr>
      <w:tr>
        <w:tc>
          <w:tcPr>
            <w:tcW w:type="dxa" w:w="720"/>
            <w:tcMar>
              <w:top w:w="25" w:type="dxa"/>
              <w:left w:w="0" w:type="dxa"/>
              <w:bottom w:w="25" w:type="dxa"/>
              <w:right w:w="40" w:type="dxa"/>
            </w:tcMar>
          </w:tcPr>
          <w:p>
            <w:r>
              <w:rPr>
                <w:b/>
                <w:color w:val="2D6A6A"/>
                <w:sz w:val="20"/>
              </w:rPr>
              <w:t>13</w:t>
            </w:r>
          </w:p>
        </w:tc>
        <w:tc>
          <w:tcPr>
            <w:tcW w:type="dxa" w:w="7920"/>
            <w:tcMar>
              <w:top w:w="25" w:type="dxa"/>
              <w:left w:w="0" w:type="dxa"/>
              <w:bottom w:w="25" w:type="dxa"/>
              <w:right w:w="0" w:type="dxa"/>
            </w:tcMar>
          </w:tcPr>
          <w:p>
            <w:r>
              <w:rPr>
                <w:color w:val="16261F"/>
                <w:sz w:val="20"/>
              </w:rPr>
              <w:t>FR-PAY — Pay Now payment experience</w:t>
            </w:r>
          </w:p>
        </w:tc>
      </w:tr>
      <w:tr>
        <w:tc>
          <w:tcPr>
            <w:tcW w:type="dxa" w:w="720"/>
            <w:tcMar>
              <w:top w:w="25" w:type="dxa"/>
              <w:left w:w="0" w:type="dxa"/>
              <w:bottom w:w="25" w:type="dxa"/>
              <w:right w:w="40" w:type="dxa"/>
            </w:tcMar>
          </w:tcPr>
          <w:p>
            <w:r>
              <w:rPr>
                <w:b/>
                <w:color w:val="2D6A6A"/>
                <w:sz w:val="20"/>
              </w:rPr>
              <w:t>14</w:t>
            </w:r>
          </w:p>
        </w:tc>
        <w:tc>
          <w:tcPr>
            <w:tcW w:type="dxa" w:w="7920"/>
            <w:tcMar>
              <w:top w:w="25" w:type="dxa"/>
              <w:left w:w="0" w:type="dxa"/>
              <w:bottom w:w="25" w:type="dxa"/>
              <w:right w:w="0" w:type="dxa"/>
            </w:tcMar>
          </w:tcPr>
          <w:p>
            <w:r>
              <w:rPr>
                <w:color w:val="16261F"/>
                <w:sz w:val="20"/>
              </w:rPr>
              <w:t>FR-CHK — Check payment workflow</w:t>
            </w:r>
          </w:p>
        </w:tc>
      </w:tr>
      <w:tr>
        <w:tc>
          <w:tcPr>
            <w:tcW w:type="dxa" w:w="720"/>
            <w:tcMar>
              <w:top w:w="25" w:type="dxa"/>
              <w:left w:w="0" w:type="dxa"/>
              <w:bottom w:w="25" w:type="dxa"/>
              <w:right w:w="40" w:type="dxa"/>
            </w:tcMar>
          </w:tcPr>
          <w:p>
            <w:r>
              <w:rPr>
                <w:b/>
                <w:color w:val="2D6A6A"/>
                <w:sz w:val="20"/>
              </w:rPr>
              <w:t>15</w:t>
            </w:r>
          </w:p>
        </w:tc>
        <w:tc>
          <w:tcPr>
            <w:tcW w:type="dxa" w:w="7920"/>
            <w:tcMar>
              <w:top w:w="25" w:type="dxa"/>
              <w:left w:w="0" w:type="dxa"/>
              <w:bottom w:w="25" w:type="dxa"/>
              <w:right w:w="0" w:type="dxa"/>
            </w:tcMar>
          </w:tcPr>
          <w:p>
            <w:r>
              <w:rPr>
                <w:color w:val="16261F"/>
                <w:sz w:val="20"/>
              </w:rPr>
              <w:t>FR-CFG — Configuration and templates</w:t>
            </w:r>
          </w:p>
        </w:tc>
      </w:tr>
      <w:tr>
        <w:tc>
          <w:tcPr>
            <w:tcW w:type="dxa" w:w="720"/>
            <w:tcMar>
              <w:top w:w="25" w:type="dxa"/>
              <w:left w:w="0" w:type="dxa"/>
              <w:bottom w:w="25" w:type="dxa"/>
              <w:right w:w="40" w:type="dxa"/>
            </w:tcMar>
          </w:tcPr>
          <w:p>
            <w:r>
              <w:rPr>
                <w:b/>
                <w:color w:val="2D6A6A"/>
                <w:sz w:val="20"/>
              </w:rPr>
              <w:t>16</w:t>
            </w:r>
          </w:p>
        </w:tc>
        <w:tc>
          <w:tcPr>
            <w:tcW w:type="dxa" w:w="7920"/>
            <w:tcMar>
              <w:top w:w="25" w:type="dxa"/>
              <w:left w:w="0" w:type="dxa"/>
              <w:bottom w:w="25" w:type="dxa"/>
              <w:right w:w="0" w:type="dxa"/>
            </w:tcMar>
          </w:tcPr>
          <w:p>
            <w:r>
              <w:rPr>
                <w:color w:val="16261F"/>
                <w:sz w:val="20"/>
              </w:rPr>
              <w:t>FR-DOM — Custom domain management</w:t>
            </w:r>
          </w:p>
        </w:tc>
      </w:tr>
      <w:tr>
        <w:tc>
          <w:tcPr>
            <w:tcW w:type="dxa" w:w="720"/>
            <w:tcMar>
              <w:top w:w="25" w:type="dxa"/>
              <w:left w:w="0" w:type="dxa"/>
              <w:bottom w:w="25" w:type="dxa"/>
              <w:right w:w="40" w:type="dxa"/>
            </w:tcMar>
          </w:tcPr>
          <w:p>
            <w:r>
              <w:rPr>
                <w:b/>
                <w:color w:val="2D6A6A"/>
                <w:sz w:val="20"/>
              </w:rPr>
              <w:t>17</w:t>
            </w:r>
          </w:p>
        </w:tc>
        <w:tc>
          <w:tcPr>
            <w:tcW w:type="dxa" w:w="7920"/>
            <w:tcMar>
              <w:top w:w="25" w:type="dxa"/>
              <w:left w:w="0" w:type="dxa"/>
              <w:bottom w:w="25" w:type="dxa"/>
              <w:right w:w="0" w:type="dxa"/>
            </w:tcMar>
          </w:tcPr>
          <w:p>
            <w:r>
              <w:rPr>
                <w:color w:val="16261F"/>
                <w:sz w:val="20"/>
              </w:rPr>
              <w:t>FR-DSG — Payment page designer</w:t>
            </w:r>
          </w:p>
        </w:tc>
      </w:tr>
      <w:tr>
        <w:tc>
          <w:tcPr>
            <w:tcW w:type="dxa" w:w="720"/>
            <w:tcMar>
              <w:top w:w="25" w:type="dxa"/>
              <w:left w:w="0" w:type="dxa"/>
              <w:bottom w:w="25" w:type="dxa"/>
              <w:right w:w="40" w:type="dxa"/>
            </w:tcMar>
          </w:tcPr>
          <w:p>
            <w:r>
              <w:rPr>
                <w:b/>
                <w:color w:val="2D6A6A"/>
                <w:sz w:val="20"/>
              </w:rPr>
              <w:t>18</w:t>
            </w:r>
          </w:p>
        </w:tc>
        <w:tc>
          <w:tcPr>
            <w:tcW w:type="dxa" w:w="7920"/>
            <w:tcMar>
              <w:top w:w="25" w:type="dxa"/>
              <w:left w:w="0" w:type="dxa"/>
              <w:bottom w:w="25" w:type="dxa"/>
              <w:right w:w="0" w:type="dxa"/>
            </w:tcMar>
          </w:tcPr>
          <w:p>
            <w:r>
              <w:rPr>
                <w:color w:val="16261F"/>
                <w:sz w:val="20"/>
              </w:rPr>
              <w:t>FR-ZHO — Zoho Books integration</w:t>
            </w:r>
          </w:p>
        </w:tc>
      </w:tr>
      <w:tr>
        <w:tc>
          <w:tcPr>
            <w:tcW w:type="dxa" w:w="720"/>
            <w:tcMar>
              <w:top w:w="25" w:type="dxa"/>
              <w:left w:w="0" w:type="dxa"/>
              <w:bottom w:w="25" w:type="dxa"/>
              <w:right w:w="40" w:type="dxa"/>
            </w:tcMar>
          </w:tcPr>
          <w:p>
            <w:r>
              <w:rPr>
                <w:b/>
                <w:color w:val="2D6A6A"/>
                <w:sz w:val="20"/>
              </w:rPr>
              <w:t>19</w:t>
            </w:r>
          </w:p>
        </w:tc>
        <w:tc>
          <w:tcPr>
            <w:tcW w:type="dxa" w:w="7920"/>
            <w:tcMar>
              <w:top w:w="25" w:type="dxa"/>
              <w:left w:w="0" w:type="dxa"/>
              <w:bottom w:w="25" w:type="dxa"/>
              <w:right w:w="0" w:type="dxa"/>
            </w:tcMar>
          </w:tcPr>
          <w:p>
            <w:r>
              <w:rPr>
                <w:color w:val="16261F"/>
                <w:sz w:val="20"/>
              </w:rPr>
              <w:t>FR-SHP — Shopify B2B integration</w:t>
            </w:r>
          </w:p>
        </w:tc>
      </w:tr>
      <w:tr>
        <w:tc>
          <w:tcPr>
            <w:tcW w:type="dxa" w:w="720"/>
            <w:tcMar>
              <w:top w:w="25" w:type="dxa"/>
              <w:left w:w="0" w:type="dxa"/>
              <w:bottom w:w="25" w:type="dxa"/>
              <w:right w:w="40" w:type="dxa"/>
            </w:tcMar>
          </w:tcPr>
          <w:p>
            <w:r>
              <w:rPr>
                <w:b/>
                <w:color w:val="2D6A6A"/>
                <w:sz w:val="20"/>
              </w:rPr>
              <w:t>20</w:t>
            </w:r>
          </w:p>
        </w:tc>
        <w:tc>
          <w:tcPr>
            <w:tcW w:type="dxa" w:w="7920"/>
            <w:tcMar>
              <w:top w:w="25" w:type="dxa"/>
              <w:left w:w="0" w:type="dxa"/>
              <w:bottom w:w="25" w:type="dxa"/>
              <w:right w:w="0" w:type="dxa"/>
            </w:tcMar>
          </w:tcPr>
          <w:p>
            <w:r>
              <w:rPr>
                <w:color w:val="16261F"/>
                <w:sz w:val="20"/>
              </w:rPr>
              <w:t>FR-GTW — Payment gateway integration</w:t>
            </w:r>
          </w:p>
        </w:tc>
      </w:tr>
      <w:tr>
        <w:tc>
          <w:tcPr>
            <w:tcW w:type="dxa" w:w="720"/>
            <w:tcMar>
              <w:top w:w="25" w:type="dxa"/>
              <w:left w:w="0" w:type="dxa"/>
              <w:bottom w:w="25" w:type="dxa"/>
              <w:right w:w="40" w:type="dxa"/>
            </w:tcMar>
          </w:tcPr>
          <w:p>
            <w:r>
              <w:rPr>
                <w:b/>
                <w:color w:val="2D6A6A"/>
                <w:sz w:val="20"/>
              </w:rPr>
              <w:t>21</w:t>
            </w:r>
          </w:p>
        </w:tc>
        <w:tc>
          <w:tcPr>
            <w:tcW w:type="dxa" w:w="7920"/>
            <w:tcMar>
              <w:top w:w="25" w:type="dxa"/>
              <w:left w:w="0" w:type="dxa"/>
              <w:bottom w:w="25" w:type="dxa"/>
              <w:right w:w="0" w:type="dxa"/>
            </w:tcMar>
          </w:tcPr>
          <w:p>
            <w:r>
              <w:rPr>
                <w:color w:val="16261F"/>
                <w:sz w:val="20"/>
              </w:rPr>
              <w:t>FR-SYN — Synchronisation engine</w:t>
            </w:r>
          </w:p>
        </w:tc>
      </w:tr>
      <w:tr>
        <w:tc>
          <w:tcPr>
            <w:tcW w:type="dxa" w:w="720"/>
            <w:tcMar>
              <w:top w:w="25" w:type="dxa"/>
              <w:left w:w="0" w:type="dxa"/>
              <w:bottom w:w="25" w:type="dxa"/>
              <w:right w:w="40" w:type="dxa"/>
            </w:tcMar>
          </w:tcPr>
          <w:p>
            <w:r>
              <w:rPr>
                <w:b/>
                <w:color w:val="2D6A6A"/>
                <w:sz w:val="20"/>
              </w:rPr>
              <w:t>22</w:t>
            </w:r>
          </w:p>
        </w:tc>
        <w:tc>
          <w:tcPr>
            <w:tcW w:type="dxa" w:w="7920"/>
            <w:tcMar>
              <w:top w:w="25" w:type="dxa"/>
              <w:left w:w="0" w:type="dxa"/>
              <w:bottom w:w="25" w:type="dxa"/>
              <w:right w:w="0" w:type="dxa"/>
            </w:tcMar>
          </w:tcPr>
          <w:p>
            <w:r>
              <w:rPr>
                <w:color w:val="16261F"/>
                <w:sz w:val="20"/>
              </w:rPr>
              <w:t>FR-DSH — Dashboard and reporting</w:t>
            </w:r>
          </w:p>
        </w:tc>
      </w:tr>
      <w:tr>
        <w:tc>
          <w:tcPr>
            <w:tcW w:type="dxa" w:w="720"/>
            <w:tcMar>
              <w:top w:w="25" w:type="dxa"/>
              <w:left w:w="0" w:type="dxa"/>
              <w:bottom w:w="25" w:type="dxa"/>
              <w:right w:w="40" w:type="dxa"/>
            </w:tcMar>
          </w:tcPr>
          <w:p>
            <w:r>
              <w:rPr>
                <w:b/>
                <w:color w:val="2D6A6A"/>
                <w:sz w:val="20"/>
              </w:rPr>
              <w:t>23</w:t>
            </w:r>
          </w:p>
        </w:tc>
        <w:tc>
          <w:tcPr>
            <w:tcW w:type="dxa" w:w="7920"/>
            <w:tcMar>
              <w:top w:w="25" w:type="dxa"/>
              <w:left w:w="0" w:type="dxa"/>
              <w:bottom w:w="25" w:type="dxa"/>
              <w:right w:w="0" w:type="dxa"/>
            </w:tcMar>
          </w:tcPr>
          <w:p>
            <w:r>
              <w:rPr>
                <w:color w:val="16261F"/>
                <w:sz w:val="20"/>
              </w:rPr>
              <w:t>FR-AIX — AI insights</w:t>
            </w:r>
          </w:p>
        </w:tc>
      </w:tr>
      <w:tr>
        <w:tc>
          <w:tcPr>
            <w:tcW w:type="dxa" w:w="720"/>
            <w:tcMar>
              <w:top w:w="25" w:type="dxa"/>
              <w:left w:w="0" w:type="dxa"/>
              <w:bottom w:w="25" w:type="dxa"/>
              <w:right w:w="40" w:type="dxa"/>
            </w:tcMar>
          </w:tcPr>
          <w:p>
            <w:r>
              <w:rPr>
                <w:b/>
                <w:color w:val="2D6A6A"/>
                <w:sz w:val="20"/>
              </w:rPr>
              <w:t>24</w:t>
            </w:r>
          </w:p>
        </w:tc>
        <w:tc>
          <w:tcPr>
            <w:tcW w:type="dxa" w:w="7920"/>
            <w:tcMar>
              <w:top w:w="25" w:type="dxa"/>
              <w:left w:w="0" w:type="dxa"/>
              <w:bottom w:w="25" w:type="dxa"/>
              <w:right w:w="0" w:type="dxa"/>
            </w:tcMar>
          </w:tcPr>
          <w:p>
            <w:r>
              <w:rPr>
                <w:color w:val="16261F"/>
                <w:sz w:val="20"/>
              </w:rPr>
              <w:t>FR-NTF — Notifications</w:t>
            </w:r>
          </w:p>
        </w:tc>
      </w:tr>
      <w:tr>
        <w:tc>
          <w:tcPr>
            <w:tcW w:type="dxa" w:w="720"/>
            <w:tcMar>
              <w:top w:w="25" w:type="dxa"/>
              <w:left w:w="0" w:type="dxa"/>
              <w:bottom w:w="25" w:type="dxa"/>
              <w:right w:w="40" w:type="dxa"/>
            </w:tcMar>
          </w:tcPr>
          <w:p>
            <w:r>
              <w:rPr>
                <w:b/>
                <w:color w:val="2D6A6A"/>
                <w:sz w:val="20"/>
              </w:rPr>
              <w:t>25</w:t>
            </w:r>
          </w:p>
        </w:tc>
        <w:tc>
          <w:tcPr>
            <w:tcW w:type="dxa" w:w="7920"/>
            <w:tcMar>
              <w:top w:w="25" w:type="dxa"/>
              <w:left w:w="0" w:type="dxa"/>
              <w:bottom w:w="25" w:type="dxa"/>
              <w:right w:w="0" w:type="dxa"/>
            </w:tcMar>
          </w:tcPr>
          <w:p>
            <w:r>
              <w:rPr>
                <w:color w:val="16261F"/>
                <w:sz w:val="20"/>
              </w:rPr>
              <w:t>FR-AUD — Audit and activity logging</w:t>
            </w:r>
          </w:p>
        </w:tc>
      </w:tr>
      <w:tr>
        <w:tc>
          <w:tcPr>
            <w:tcW w:type="dxa" w:w="720"/>
            <w:tcMar>
              <w:top w:w="25" w:type="dxa"/>
              <w:left w:w="0" w:type="dxa"/>
              <w:bottom w:w="25" w:type="dxa"/>
              <w:right w:w="40" w:type="dxa"/>
            </w:tcMar>
          </w:tcPr>
          <w:p>
            <w:r>
              <w:rPr>
                <w:b/>
                <w:color w:val="2D6A6A"/>
                <w:sz w:val="20"/>
              </w:rPr>
              <w:t>26</w:t>
            </w:r>
          </w:p>
        </w:tc>
        <w:tc>
          <w:tcPr>
            <w:tcW w:type="dxa" w:w="7920"/>
            <w:tcMar>
              <w:top w:w="25" w:type="dxa"/>
              <w:left w:w="0" w:type="dxa"/>
              <w:bottom w:w="25" w:type="dxa"/>
              <w:right w:w="0" w:type="dxa"/>
            </w:tcMar>
          </w:tcPr>
          <w:p>
            <w:r>
              <w:rPr>
                <w:color w:val="16261F"/>
                <w:sz w:val="20"/>
              </w:rPr>
              <w:t>FR-SYS — System administration</w:t>
            </w:r>
          </w:p>
        </w:tc>
      </w:tr>
      <w:tr>
        <w:tc>
          <w:tcPr>
            <w:tcW w:type="dxa" w:w="720"/>
            <w:tcMar>
              <w:top w:w="25" w:type="dxa"/>
              <w:left w:w="0" w:type="dxa"/>
              <w:bottom w:w="25" w:type="dxa"/>
              <w:right w:w="40" w:type="dxa"/>
            </w:tcMar>
          </w:tcPr>
          <w:p>
            <w:r>
              <w:rPr>
                <w:b/>
                <w:color w:val="2D6A6A"/>
                <w:sz w:val="20"/>
              </w:rPr>
              <w:t>27</w:t>
            </w:r>
          </w:p>
        </w:tc>
        <w:tc>
          <w:tcPr>
            <w:tcW w:type="dxa" w:w="7920"/>
            <w:tcMar>
              <w:top w:w="25" w:type="dxa"/>
              <w:left w:w="0" w:type="dxa"/>
              <w:bottom w:w="25" w:type="dxa"/>
              <w:right w:w="0" w:type="dxa"/>
            </w:tcMar>
          </w:tcPr>
          <w:p>
            <w:r>
              <w:rPr>
                <w:color w:val="16261F"/>
                <w:sz w:val="20"/>
              </w:rPr>
              <w:t>Gap register — prototype versus specification</w:t>
            </w:r>
          </w:p>
        </w:tc>
      </w:tr>
      <w:tr>
        <w:tc>
          <w:tcPr>
            <w:tcW w:type="dxa" w:w="720"/>
            <w:tcMar>
              <w:top w:w="25" w:type="dxa"/>
              <w:left w:w="0" w:type="dxa"/>
              <w:bottom w:w="25" w:type="dxa"/>
              <w:right w:w="40" w:type="dxa"/>
            </w:tcMar>
          </w:tcPr>
          <w:p>
            <w:r>
              <w:rPr>
                <w:b/>
                <w:color w:val="2D6A6A"/>
                <w:sz w:val="20"/>
              </w:rPr>
              <w:t>28</w:t>
            </w:r>
          </w:p>
        </w:tc>
        <w:tc>
          <w:tcPr>
            <w:tcW w:type="dxa" w:w="7920"/>
            <w:tcMar>
              <w:top w:w="25" w:type="dxa"/>
              <w:left w:w="0" w:type="dxa"/>
              <w:bottom w:w="25" w:type="dxa"/>
              <w:right w:w="0" w:type="dxa"/>
            </w:tcMar>
          </w:tcPr>
          <w:p>
            <w:r>
              <w:rPr>
                <w:color w:val="16261F"/>
                <w:sz w:val="20"/>
              </w:rPr>
              <w:t>Assumptions, exclusions and open questions</w:t>
            </w:r>
          </w:p>
        </w:tc>
      </w:tr>
    </w:tbl>
    <w:p>
      <w:pPr>
        <w:spacing w:after="280"/>
      </w:pPr>
    </w:p>
    <w:p>
      <w:pPr>
        <w:pStyle w:val="Heading2"/>
      </w:pPr>
      <w:r>
        <w:t>Revision history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152"/>
            <w:shd w:val="clear" w:color="auto" w:fill="16261F"/>
            <w:tcMar>
              <w:top w:w="70" w:type="dxa"/>
              <w:left w:w="110" w:type="dxa"/>
              <w:bottom w:w="70" w:type="dxa"/>
              <w:right w:w="110" w:type="dxa"/>
            </w:tcMar>
          </w:tcPr>
          <w:p>
            <w:pPr>
              <w:spacing w:after="0"/>
            </w:pPr>
            <w:r>
              <w:rPr>
                <w:rFonts w:ascii="Calibri" w:hAnsi="Calibri"/>
                <w:b/>
                <w:color w:val="FFFFFF"/>
                <w:sz w:val="18"/>
              </w:rPr>
              <w:t>Version</w:t>
            </w:r>
          </w:p>
        </w:tc>
        <w:tc>
          <w:tcPr>
            <w:tcW w:type="dxa" w:w="1584"/>
            <w:shd w:val="clear" w:color="auto" w:fill="16261F"/>
            <w:tcMar>
              <w:top w:w="70" w:type="dxa"/>
              <w:left w:w="110" w:type="dxa"/>
              <w:bottom w:w="70" w:type="dxa"/>
              <w:right w:w="110" w:type="dxa"/>
            </w:tcMar>
          </w:tcPr>
          <w:p>
            <w:pPr>
              <w:spacing w:after="0"/>
            </w:pPr>
            <w:r>
              <w:rPr>
                <w:rFonts w:ascii="Calibri" w:hAnsi="Calibri"/>
                <w:b/>
                <w:color w:val="FFFFFF"/>
                <w:sz w:val="18"/>
              </w:rPr>
              <w:t>Date</w:t>
            </w:r>
          </w:p>
        </w:tc>
        <w:tc>
          <w:tcPr>
            <w:tcW w:type="dxa" w:w="2736"/>
            <w:shd w:val="clear" w:color="auto" w:fill="16261F"/>
            <w:tcMar>
              <w:top w:w="70" w:type="dxa"/>
              <w:left w:w="110" w:type="dxa"/>
              <w:bottom w:w="70" w:type="dxa"/>
              <w:right w:w="110" w:type="dxa"/>
            </w:tcMar>
          </w:tcPr>
          <w:p>
            <w:pPr>
              <w:spacing w:after="0"/>
            </w:pPr>
            <w:r>
              <w:rPr>
                <w:rFonts w:ascii="Calibri" w:hAnsi="Calibri"/>
                <w:b/>
                <w:color w:val="FFFFFF"/>
                <w:sz w:val="18"/>
              </w:rPr>
              <w:t>Author</w:t>
            </w:r>
          </w:p>
        </w:tc>
        <w:tc>
          <w:tcPr>
            <w:tcW w:type="dxa" w:w="3888"/>
            <w:shd w:val="clear" w:color="auto" w:fill="16261F"/>
            <w:tcMar>
              <w:top w:w="70" w:type="dxa"/>
              <w:left w:w="110" w:type="dxa"/>
              <w:bottom w:w="70" w:type="dxa"/>
              <w:right w:w="110" w:type="dxa"/>
            </w:tcMar>
          </w:tcPr>
          <w:p>
            <w:pPr>
              <w:spacing w:after="0"/>
            </w:pPr>
            <w:r>
              <w:rPr>
                <w:rFonts w:ascii="Calibri" w:hAnsi="Calibri"/>
                <w:b/>
                <w:color w:val="FFFFFF"/>
                <w:sz w:val="18"/>
              </w:rPr>
              <w:t>Summary of change</w:t>
            </w:r>
          </w:p>
        </w:tc>
      </w:tr>
      <w:tr>
        <w:tc>
          <w:tcPr>
            <w:tcW w:type="dxa" w:w="1152"/>
            <w:tcMar>
              <w:top w:w="60" w:type="dxa"/>
              <w:left w:w="110" w:type="dxa"/>
              <w:bottom w:w="60" w:type="dxa"/>
              <w:right w:w="110" w:type="dxa"/>
            </w:tcMar>
          </w:tcPr>
          <w:p>
            <w:pPr>
              <w:spacing w:after="0"/>
            </w:pPr>
            <w:r>
              <w:rPr>
                <w:b w:val="0"/>
                <w:i w:val="0"/>
                <w:color w:val="16261F"/>
                <w:sz w:val="19"/>
              </w:rPr>
              <w:t>1.0</w:t>
            </w:r>
          </w:p>
        </w:tc>
        <w:tc>
          <w:tcPr>
            <w:tcW w:type="dxa" w:w="1584"/>
            <w:tcMar>
              <w:top w:w="60" w:type="dxa"/>
              <w:left w:w="110" w:type="dxa"/>
              <w:bottom w:w="60" w:type="dxa"/>
              <w:right w:w="110" w:type="dxa"/>
            </w:tcMar>
          </w:tcPr>
          <w:p>
            <w:pPr>
              <w:spacing w:after="0"/>
            </w:pPr>
            <w:r>
              <w:rPr>
                <w:b w:val="0"/>
                <w:i w:val="0"/>
                <w:color w:val="16261F"/>
                <w:sz w:val="19"/>
              </w:rPr>
              <w:t>24 Jul 2026</w:t>
            </w:r>
          </w:p>
        </w:tc>
        <w:tc>
          <w:tcPr>
            <w:tcW w:type="dxa" w:w="2736"/>
            <w:tcMar>
              <w:top w:w="60" w:type="dxa"/>
              <w:left w:w="110" w:type="dxa"/>
              <w:bottom w:w="60" w:type="dxa"/>
              <w:right w:w="110" w:type="dxa"/>
            </w:tcMar>
          </w:tcPr>
          <w:p>
            <w:pPr>
              <w:spacing w:after="0"/>
            </w:pPr>
            <w:r>
              <w:rPr>
                <w:b w:val="0"/>
                <w:i w:val="0"/>
                <w:color w:val="16261F"/>
                <w:sz w:val="19"/>
              </w:rPr>
              <w:t>Product Engineering</w:t>
            </w:r>
          </w:p>
        </w:tc>
        <w:tc>
          <w:tcPr>
            <w:tcW w:type="dxa" w:w="3888"/>
            <w:tcMar>
              <w:top w:w="60" w:type="dxa"/>
              <w:left w:w="110" w:type="dxa"/>
              <w:bottom w:w="60" w:type="dxa"/>
              <w:right w:w="110" w:type="dxa"/>
            </w:tcMar>
          </w:tcPr>
          <w:p>
            <w:pPr>
              <w:spacing w:after="0"/>
            </w:pPr>
            <w:r>
              <w:rPr>
                <w:b w:val="0"/>
                <w:i w:val="0"/>
                <w:color w:val="16261F"/>
                <w:sz w:val="19"/>
              </w:rPr>
              <w:t>Initial issue for client review.</w:t>
            </w:r>
          </w:p>
        </w:tc>
      </w:tr>
    </w:tbl>
    <w:p>
      <w:r>
        <w:br w:type="page"/>
      </w:r>
    </w:p>
    <w:p>
      <w:pPr>
        <w:pStyle w:val="Heading1"/>
      </w:pPr>
      <w:r>
        <w:t>1. Introduction and purpose</w:t>
      </w:r>
    </w:p>
    <w:p>
      <w:pPr>
        <w:spacing w:after="140"/>
      </w:pPr>
      <w:r>
        <w:rPr>
          <w:b w:val="0"/>
          <w:i w:val="0"/>
          <w:color w:val="16261F"/>
          <w:sz w:val="21"/>
        </w:rPr>
        <w:t>This document specifies the functional behaviour of the Fenwick Holdings multi-brand invoicing and payment platform. It is the authoritative statement of what the system must do. It does not prescribe how the system is built — that is covered by the Technical Design Document (TDD-001) and the Technology Stack Document (TSD-001).</w:t>
      </w:r>
    </w:p>
    <w:p>
      <w:pPr>
        <w:pStyle w:val="Heading2"/>
      </w:pPr>
      <w:r>
        <w:t>1.1 Source material</w:t>
      </w:r>
    </w:p>
    <w:p>
      <w:pPr>
        <w:spacing w:after="140"/>
      </w:pPr>
      <w:r>
        <w:rPr>
          <w:b w:val="0"/>
          <w:i w:val="0"/>
          <w:color w:val="16261F"/>
          <w:sz w:val="21"/>
        </w:rPr>
        <w:t>Two client artefacts were analysed to produce this specification: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2304"/>
            <w:shd w:val="clear" w:color="auto" w:fill="16261F"/>
            <w:tcMar>
              <w:top w:w="70" w:type="dxa"/>
              <w:left w:w="110" w:type="dxa"/>
              <w:bottom w:w="70" w:type="dxa"/>
              <w:right w:w="110" w:type="dxa"/>
            </w:tcMar>
          </w:tcPr>
          <w:p>
            <w:pPr>
              <w:spacing w:after="0"/>
            </w:pPr>
            <w:r>
              <w:rPr>
                <w:rFonts w:ascii="Calibri" w:hAnsi="Calibri"/>
                <w:b/>
                <w:color w:val="FFFFFF"/>
                <w:sz w:val="18"/>
              </w:rPr>
              <w:t>Artefact</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8"/>
              </w:rPr>
              <w:t>Nature</w:t>
            </w:r>
          </w:p>
        </w:tc>
        <w:tc>
          <w:tcPr>
            <w:tcW w:type="dxa" w:w="4176"/>
            <w:shd w:val="clear" w:color="auto" w:fill="16261F"/>
            <w:tcMar>
              <w:top w:w="70" w:type="dxa"/>
              <w:left w:w="110" w:type="dxa"/>
              <w:bottom w:w="70" w:type="dxa"/>
              <w:right w:w="110" w:type="dxa"/>
            </w:tcMar>
          </w:tcPr>
          <w:p>
            <w:pPr>
              <w:spacing w:after="0"/>
            </w:pPr>
            <w:r>
              <w:rPr>
                <w:rFonts w:ascii="Calibri" w:hAnsi="Calibri"/>
                <w:b/>
                <w:color w:val="FFFFFF"/>
                <w:sz w:val="18"/>
              </w:rPr>
              <w:t>How it was used</w:t>
            </w:r>
          </w:p>
        </w:tc>
      </w:tr>
      <w:tr>
        <w:tc>
          <w:tcPr>
            <w:tcW w:type="dxa" w:w="2304"/>
            <w:tcMar>
              <w:top w:w="60" w:type="dxa"/>
              <w:left w:w="110" w:type="dxa"/>
              <w:bottom w:w="60" w:type="dxa"/>
              <w:right w:w="110" w:type="dxa"/>
            </w:tcMar>
          </w:tcPr>
          <w:p>
            <w:pPr>
              <w:spacing w:after="0"/>
            </w:pPr>
            <w:r>
              <w:rPr>
                <w:b w:val="0"/>
                <w:i w:val="0"/>
                <w:color w:val="16261F"/>
                <w:sz w:val="19"/>
              </w:rPr>
              <w:t>MVP Feature List.docx</w:t>
            </w:r>
          </w:p>
        </w:tc>
        <w:tc>
          <w:tcPr>
            <w:tcW w:type="dxa" w:w="2880"/>
            <w:tcMar>
              <w:top w:w="60" w:type="dxa"/>
              <w:left w:w="110" w:type="dxa"/>
              <w:bottom w:w="60" w:type="dxa"/>
              <w:right w:w="110" w:type="dxa"/>
            </w:tcMar>
          </w:tcPr>
          <w:p>
            <w:pPr>
              <w:spacing w:after="0"/>
            </w:pPr>
            <w:r>
              <w:rPr>
                <w:b w:val="0"/>
                <w:i w:val="0"/>
                <w:color w:val="16261F"/>
                <w:sz w:val="19"/>
              </w:rPr>
              <w:t>Signed scope outline, nine top-level areas</w:t>
            </w:r>
          </w:p>
        </w:tc>
        <w:tc>
          <w:tcPr>
            <w:tcW w:type="dxa" w:w="4176"/>
            <w:tcMar>
              <w:top w:w="60" w:type="dxa"/>
              <w:left w:w="110" w:type="dxa"/>
              <w:bottom w:w="60" w:type="dxa"/>
              <w:right w:w="110" w:type="dxa"/>
            </w:tcMar>
          </w:tcPr>
          <w:p>
            <w:pPr>
              <w:spacing w:after="0"/>
            </w:pPr>
            <w:r>
              <w:rPr>
                <w:b w:val="0"/>
                <w:i w:val="0"/>
                <w:color w:val="16261F"/>
                <w:sz w:val="19"/>
              </w:rPr>
              <w:t>Treated as the contractual baseline. Every item is traced to at least one MVP requirement.</w:t>
            </w:r>
          </w:p>
        </w:tc>
      </w:tr>
      <w:tr>
        <w:tc>
          <w:tcPr>
            <w:tcW w:type="dxa" w:w="2304"/>
            <w:tcMar>
              <w:top w:w="60" w:type="dxa"/>
              <w:left w:w="110" w:type="dxa"/>
              <w:bottom w:w="60" w:type="dxa"/>
              <w:right w:w="110" w:type="dxa"/>
            </w:tcMar>
            <w:shd w:val="clear" w:color="auto" w:fill="F5F7F5"/>
          </w:tcPr>
          <w:p>
            <w:pPr>
              <w:spacing w:after="0"/>
            </w:pPr>
            <w:r>
              <w:rPr>
                <w:b w:val="0"/>
                <w:i w:val="0"/>
                <w:color w:val="16261F"/>
                <w:sz w:val="19"/>
              </w:rPr>
              <w:t>Prototype (1).html</w:t>
            </w:r>
          </w:p>
        </w:tc>
        <w:tc>
          <w:tcPr>
            <w:tcW w:type="dxa" w:w="2880"/>
            <w:tcMar>
              <w:top w:w="60" w:type="dxa"/>
              <w:left w:w="110" w:type="dxa"/>
              <w:bottom w:w="60" w:type="dxa"/>
              <w:right w:w="110" w:type="dxa"/>
            </w:tcMar>
            <w:shd w:val="clear" w:color="auto" w:fill="F5F7F5"/>
          </w:tcPr>
          <w:p>
            <w:pPr>
              <w:spacing w:after="0"/>
            </w:pPr>
            <w:r>
              <w:rPr>
                <w:b w:val="0"/>
                <w:i w:val="0"/>
                <w:color w:val="16261F"/>
                <w:sz w:val="19"/>
              </w:rPr>
              <w:t>1,906-line single-file React demonstrator, 20 screens</w:t>
            </w:r>
          </w:p>
        </w:tc>
        <w:tc>
          <w:tcPr>
            <w:tcW w:type="dxa" w:w="4176"/>
            <w:tcMar>
              <w:top w:w="60" w:type="dxa"/>
              <w:left w:w="110" w:type="dxa"/>
              <w:bottom w:w="60" w:type="dxa"/>
              <w:right w:w="110" w:type="dxa"/>
            </w:tcMar>
            <w:shd w:val="clear" w:color="auto" w:fill="F5F7F5"/>
          </w:tcPr>
          <w:p>
            <w:pPr>
              <w:spacing w:after="0"/>
            </w:pPr>
            <w:r>
              <w:rPr>
                <w:b w:val="0"/>
                <w:i w:val="0"/>
                <w:color w:val="16261F"/>
                <w:sz w:val="19"/>
              </w:rPr>
              <w:t>Treated as design intent, not as scope. Screens beyond the MVP baseline are specified here as Phase 2.</w:t>
            </w:r>
          </w:p>
        </w:tc>
      </w:tr>
    </w:tbl>
    <w:p>
      <w:pPr>
        <w:pBdr>
          <w:left w:val="single" w:sz="18" w:space="10" w:color="2D6A6A"/>
        </w:pBdr>
        <w:shd w:val="clear" w:color="auto" w:fill="EDF1EE"/>
        <w:spacing w:before="160" w:after="180"/>
        <w:ind w:left="173"/>
      </w:pPr>
      <w:r>
        <w:rPr>
          <w:b/>
          <w:color w:val="2D6A6A"/>
          <w:sz w:val="17"/>
        </w:rPr>
        <w:t xml:space="preserve">IMPORTANT  </w:t>
      </w:r>
      <w:r>
        <w:rPr>
          <w:color w:val="16261F"/>
          <w:sz w:val="20"/>
        </w:rPr>
        <w:t>The prototype implements a substantial amount of functionality that does not appear in the signed MVP Feature List, and omits several items that do. Section 27 records every divergence. Nothing in the prototype should be assumed to be in contracted scope purely because it has been demonstrated.</w:t>
      </w:r>
    </w:p>
    <w:p>
      <w:pPr>
        <w:pStyle w:val="Heading2"/>
      </w:pPr>
      <w:r>
        <w:t>1.2 How to read a requirement</w:t>
      </w:r>
    </w:p>
    <w:p>
      <w:pPr>
        <w:spacing w:after="140"/>
      </w:pPr>
      <w:r>
        <w:rPr>
          <w:b w:val="0"/>
          <w:i w:val="0"/>
          <w:color w:val="16261F"/>
          <w:sz w:val="21"/>
        </w:rPr>
        <w:t>Every requirement carries a stable identifier, a phase and a MoSCoW priority. Identifiers are permanent — a requirement that is removed is marked withdrawn rather than renumbered, so that test cases and change requests remain traceable.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1872"/>
            <w:shd w:val="clear" w:color="auto" w:fill="16261F"/>
            <w:tcMar>
              <w:top w:w="70" w:type="dxa"/>
              <w:left w:w="110" w:type="dxa"/>
              <w:bottom w:w="70" w:type="dxa"/>
              <w:right w:w="110" w:type="dxa"/>
            </w:tcMar>
          </w:tcPr>
          <w:p>
            <w:pPr>
              <w:spacing w:after="0"/>
            </w:pPr>
            <w:r>
              <w:rPr>
                <w:rFonts w:ascii="Calibri" w:hAnsi="Calibri"/>
                <w:b/>
                <w:color w:val="FFFFFF"/>
                <w:sz w:val="18"/>
              </w:rPr>
              <w:t>Element</w:t>
            </w:r>
          </w:p>
        </w:tc>
        <w:tc>
          <w:tcPr>
            <w:tcW w:type="dxa" w:w="7488"/>
            <w:shd w:val="clear" w:color="auto" w:fill="16261F"/>
            <w:tcMar>
              <w:top w:w="70" w:type="dxa"/>
              <w:left w:w="110" w:type="dxa"/>
              <w:bottom w:w="70" w:type="dxa"/>
              <w:right w:w="110" w:type="dxa"/>
            </w:tcMar>
          </w:tcPr>
          <w:p>
            <w:pPr>
              <w:spacing w:after="0"/>
            </w:pPr>
            <w:r>
              <w:rPr>
                <w:rFonts w:ascii="Calibri" w:hAnsi="Calibri"/>
                <w:b/>
                <w:color w:val="FFFFFF"/>
                <w:sz w:val="18"/>
              </w:rPr>
              <w:t>Meaning</w:t>
            </w:r>
          </w:p>
        </w:tc>
      </w:tr>
      <w:tr>
        <w:tc>
          <w:tcPr>
            <w:tcW w:type="dxa" w:w="1872"/>
            <w:tcMar>
              <w:top w:w="60" w:type="dxa"/>
              <w:left w:w="110" w:type="dxa"/>
              <w:bottom w:w="60" w:type="dxa"/>
              <w:right w:w="110" w:type="dxa"/>
            </w:tcMar>
          </w:tcPr>
          <w:p>
            <w:pPr>
              <w:spacing w:after="0"/>
            </w:pPr>
            <w:r>
              <w:rPr>
                <w:rFonts w:ascii="Consolas" w:hAnsi="Consolas"/>
                <w:b w:val="0"/>
                <w:i w:val="0"/>
                <w:color w:val="16261F"/>
                <w:sz w:val="18"/>
              </w:rPr>
              <w:t>FR-INV-014</w:t>
            </w:r>
          </w:p>
        </w:tc>
        <w:tc>
          <w:tcPr>
            <w:tcW w:type="dxa" w:w="7488"/>
            <w:tcMar>
              <w:top w:w="60" w:type="dxa"/>
              <w:left w:w="110" w:type="dxa"/>
              <w:bottom w:w="60" w:type="dxa"/>
              <w:right w:w="110" w:type="dxa"/>
            </w:tcMar>
          </w:tcPr>
          <w:p>
            <w:pPr>
              <w:spacing w:after="0"/>
            </w:pPr>
            <w:r>
              <w:rPr>
                <w:b w:val="0"/>
                <w:i w:val="0"/>
                <w:color w:val="16261F"/>
                <w:sz w:val="19"/>
              </w:rPr>
              <w:t>Module prefix plus sequence. Referenced by test cases and change requests.</w:t>
            </w:r>
          </w:p>
        </w:tc>
      </w:tr>
      <w:tr>
        <w:tc>
          <w:tcPr>
            <w:tcW w:type="dxa" w:w="1872"/>
            <w:tcMar>
              <w:top w:w="60" w:type="dxa"/>
              <w:left w:w="110" w:type="dxa"/>
              <w:bottom w:w="60" w:type="dxa"/>
              <w:right w:w="110" w:type="dxa"/>
            </w:tcMar>
            <w:shd w:val="clear" w:color="auto" w:fill="F5F7F5"/>
          </w:tcPr>
          <w:p>
            <w:pPr>
              <w:spacing w:after="0"/>
            </w:pPr>
            <w:r>
              <w:rPr>
                <w:b/>
                <w:i w:val="0"/>
                <w:color w:val="2D6A6A"/>
                <w:sz w:val="19"/>
              </w:rPr>
              <w:t>MVP</w:t>
            </w:r>
          </w:p>
        </w:tc>
        <w:tc>
          <w:tcPr>
            <w:tcW w:type="dxa" w:w="7488"/>
            <w:tcMar>
              <w:top w:w="60" w:type="dxa"/>
              <w:left w:w="110" w:type="dxa"/>
              <w:bottom w:w="60" w:type="dxa"/>
              <w:right w:w="110" w:type="dxa"/>
            </w:tcMar>
            <w:shd w:val="clear" w:color="auto" w:fill="F5F7F5"/>
          </w:tcPr>
          <w:p>
            <w:pPr>
              <w:spacing w:after="0"/>
            </w:pPr>
            <w:r>
              <w:rPr>
                <w:b w:val="0"/>
                <w:i w:val="0"/>
                <w:color w:val="16261F"/>
                <w:sz w:val="19"/>
              </w:rPr>
              <w:t>In the signed MVP Feature List. Contracted for the first release.</w:t>
            </w:r>
          </w:p>
        </w:tc>
      </w:tr>
      <w:tr>
        <w:tc>
          <w:tcPr>
            <w:tcW w:type="dxa" w:w="1872"/>
            <w:tcMar>
              <w:top w:w="60" w:type="dxa"/>
              <w:left w:w="110" w:type="dxa"/>
              <w:bottom w:w="60" w:type="dxa"/>
              <w:right w:w="110" w:type="dxa"/>
            </w:tcMar>
          </w:tcPr>
          <w:p>
            <w:pPr>
              <w:spacing w:after="0"/>
            </w:pPr>
            <w:r>
              <w:rPr>
                <w:b/>
                <w:i w:val="0"/>
                <w:color w:val="3A6FA8"/>
                <w:sz w:val="19"/>
              </w:rPr>
              <w:t>Phase 2</w:t>
            </w:r>
          </w:p>
        </w:tc>
        <w:tc>
          <w:tcPr>
            <w:tcW w:type="dxa" w:w="7488"/>
            <w:tcMar>
              <w:top w:w="60" w:type="dxa"/>
              <w:left w:w="110" w:type="dxa"/>
              <w:bottom w:w="60" w:type="dxa"/>
              <w:right w:w="110" w:type="dxa"/>
            </w:tcMar>
          </w:tcPr>
          <w:p>
            <w:pPr>
              <w:spacing w:after="0"/>
            </w:pPr>
            <w:r>
              <w:rPr>
                <w:b w:val="0"/>
                <w:i w:val="0"/>
                <w:color w:val="16261F"/>
                <w:sz w:val="19"/>
              </w:rPr>
              <w:t>Demonstrated in the prototype but outside the signed MVP. Requires a change order.</w:t>
            </w:r>
          </w:p>
        </w:tc>
      </w:tr>
      <w:tr>
        <w:tc>
          <w:tcPr>
            <w:tcW w:type="dxa" w:w="1872"/>
            <w:tcMar>
              <w:top w:w="60" w:type="dxa"/>
              <w:left w:w="110" w:type="dxa"/>
              <w:bottom w:w="60" w:type="dxa"/>
              <w:right w:w="110" w:type="dxa"/>
            </w:tcMar>
            <w:shd w:val="clear" w:color="auto" w:fill="F5F7F5"/>
          </w:tcPr>
          <w:p>
            <w:pPr>
              <w:spacing w:after="0"/>
            </w:pPr>
            <w:r>
              <w:rPr>
                <w:b/>
                <w:i w:val="0"/>
                <w:color w:val="6B5B95"/>
                <w:sz w:val="19"/>
              </w:rPr>
              <w:t>Phase 3</w:t>
            </w:r>
          </w:p>
        </w:tc>
        <w:tc>
          <w:tcPr>
            <w:tcW w:type="dxa" w:w="7488"/>
            <w:tcMar>
              <w:top w:w="60" w:type="dxa"/>
              <w:left w:w="110" w:type="dxa"/>
              <w:bottom w:w="60" w:type="dxa"/>
              <w:right w:w="110" w:type="dxa"/>
            </w:tcMar>
            <w:shd w:val="clear" w:color="auto" w:fill="F5F7F5"/>
          </w:tcPr>
          <w:p>
            <w:pPr>
              <w:spacing w:after="0"/>
            </w:pPr>
            <w:r>
              <w:rPr>
                <w:b w:val="0"/>
                <w:i w:val="0"/>
                <w:color w:val="16261F"/>
                <w:sz w:val="19"/>
              </w:rPr>
              <w:t>Identified during analysis, not yet built or demonstrated. Forward-looking.</w:t>
            </w:r>
          </w:p>
        </w:tc>
      </w:tr>
      <w:tr>
        <w:tc>
          <w:tcPr>
            <w:tcW w:type="dxa" w:w="1872"/>
            <w:tcMar>
              <w:top w:w="60" w:type="dxa"/>
              <w:left w:w="110" w:type="dxa"/>
              <w:bottom w:w="60" w:type="dxa"/>
              <w:right w:w="110" w:type="dxa"/>
            </w:tcMar>
          </w:tcPr>
          <w:p>
            <w:pPr>
              <w:spacing w:after="0"/>
            </w:pPr>
            <w:r>
              <w:rPr>
                <w:b/>
                <w:i w:val="0"/>
                <w:color w:val="16261F"/>
                <w:sz w:val="19"/>
              </w:rPr>
              <w:t>M / S / C</w:t>
            </w:r>
          </w:p>
        </w:tc>
        <w:tc>
          <w:tcPr>
            <w:tcW w:type="dxa" w:w="7488"/>
            <w:tcMar>
              <w:top w:w="60" w:type="dxa"/>
              <w:left w:w="110" w:type="dxa"/>
              <w:bottom w:w="60" w:type="dxa"/>
              <w:right w:w="110" w:type="dxa"/>
            </w:tcMar>
          </w:tcPr>
          <w:p>
            <w:pPr>
              <w:spacing w:after="0"/>
            </w:pPr>
            <w:r>
              <w:rPr>
                <w:b w:val="0"/>
                <w:i w:val="0"/>
                <w:color w:val="16261F"/>
                <w:sz w:val="19"/>
              </w:rPr>
              <w:t>MoSCoW priority within its phase: Must have, Should have, Could have.</w:t>
            </w:r>
          </w:p>
        </w:tc>
      </w:tr>
    </w:tbl>
    <w:p>
      <w:r>
        <w:br w:type="page"/>
      </w:r>
    </w:p>
    <w:p>
      <w:pPr>
        <w:pStyle w:val="Heading1"/>
      </w:pPr>
      <w:r>
        <w:t>2. Scope, phasing and traceability</w:t>
      </w:r>
    </w:p>
    <w:p>
      <w:pPr>
        <w:pStyle w:val="Heading2"/>
      </w:pPr>
      <w:r>
        <w:t>2.1 Phase definitions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080"/>
            <w:shd w:val="clear" w:color="auto" w:fill="16261F"/>
            <w:tcMar>
              <w:top w:w="70" w:type="dxa"/>
              <w:left w:w="110" w:type="dxa"/>
              <w:bottom w:w="70" w:type="dxa"/>
              <w:right w:w="110" w:type="dxa"/>
            </w:tcMar>
          </w:tcPr>
          <w:p>
            <w:pPr>
              <w:spacing w:after="0"/>
            </w:pPr>
            <w:r>
              <w:rPr>
                <w:rFonts w:ascii="Calibri" w:hAnsi="Calibri"/>
                <w:b/>
                <w:color w:val="FFFFFF"/>
                <w:sz w:val="18"/>
              </w:rPr>
              <w:t>Phase</w:t>
            </w:r>
          </w:p>
        </w:tc>
        <w:tc>
          <w:tcPr>
            <w:tcW w:type="dxa" w:w="4464"/>
            <w:shd w:val="clear" w:color="auto" w:fill="16261F"/>
            <w:tcMar>
              <w:top w:w="70" w:type="dxa"/>
              <w:left w:w="110" w:type="dxa"/>
              <w:bottom w:w="70" w:type="dxa"/>
              <w:right w:w="110" w:type="dxa"/>
            </w:tcMar>
          </w:tcPr>
          <w:p>
            <w:pPr>
              <w:spacing w:after="0"/>
            </w:pPr>
            <w:r>
              <w:rPr>
                <w:rFonts w:ascii="Calibri" w:hAnsi="Calibri"/>
                <w:b/>
                <w:color w:val="FFFFFF"/>
                <w:sz w:val="18"/>
              </w:rPr>
              <w:t>Definition</w:t>
            </w:r>
          </w:p>
        </w:tc>
        <w:tc>
          <w:tcPr>
            <w:tcW w:type="dxa" w:w="3816"/>
            <w:shd w:val="clear" w:color="auto" w:fill="16261F"/>
            <w:tcMar>
              <w:top w:w="70" w:type="dxa"/>
              <w:left w:w="110" w:type="dxa"/>
              <w:bottom w:w="70" w:type="dxa"/>
              <w:right w:w="110" w:type="dxa"/>
            </w:tcMar>
          </w:tcPr>
          <w:p>
            <w:pPr>
              <w:spacing w:after="0"/>
            </w:pPr>
            <w:r>
              <w:rPr>
                <w:rFonts w:ascii="Calibri" w:hAnsi="Calibri"/>
                <w:b/>
                <w:color w:val="FFFFFF"/>
                <w:sz w:val="18"/>
              </w:rPr>
              <w:t>Modules</w:t>
            </w:r>
          </w:p>
        </w:tc>
      </w:tr>
      <w:tr>
        <w:tc>
          <w:tcPr>
            <w:tcW w:type="dxa" w:w="1080"/>
            <w:tcMar>
              <w:top w:w="60" w:type="dxa"/>
              <w:left w:w="110" w:type="dxa"/>
              <w:bottom w:w="60" w:type="dxa"/>
              <w:right w:w="110" w:type="dxa"/>
            </w:tcMar>
          </w:tcPr>
          <w:p>
            <w:pPr>
              <w:spacing w:after="0"/>
            </w:pPr>
            <w:r>
              <w:rPr>
                <w:b/>
                <w:i w:val="0"/>
                <w:color w:val="2D6A6A"/>
                <w:sz w:val="17"/>
              </w:rPr>
              <w:t>MVP</w:t>
            </w:r>
          </w:p>
        </w:tc>
        <w:tc>
          <w:tcPr>
            <w:tcW w:type="dxa" w:w="4464"/>
            <w:tcMar>
              <w:top w:w="60" w:type="dxa"/>
              <w:left w:w="110" w:type="dxa"/>
              <w:bottom w:w="60" w:type="dxa"/>
              <w:right w:w="110" w:type="dxa"/>
            </w:tcMar>
          </w:tcPr>
          <w:p>
            <w:pPr>
              <w:spacing w:after="0"/>
            </w:pPr>
            <w:r>
              <w:rPr>
                <w:b w:val="0"/>
                <w:i w:val="0"/>
                <w:color w:val="16261F"/>
                <w:sz w:val="19"/>
              </w:rPr>
              <w:t>The signed MVP Feature List. Login, brands, customers, invoicing with tax and card fee, email delivery, landing/card/success/failure pages, PDF invoice, Zoho sync, gateway integration, dashboard, role management.</w:t>
            </w:r>
          </w:p>
        </w:tc>
        <w:tc>
          <w:tcPr>
            <w:tcW w:type="dxa" w:w="3816"/>
            <w:tcMar>
              <w:top w:w="60" w:type="dxa"/>
              <w:left w:w="110" w:type="dxa"/>
              <w:bottom w:w="60" w:type="dxa"/>
              <w:right w:w="110" w:type="dxa"/>
            </w:tcMar>
          </w:tcPr>
          <w:p>
            <w:pPr>
              <w:spacing w:after="0"/>
            </w:pPr>
            <w:r>
              <w:rPr>
                <w:b w:val="0"/>
                <w:i w:val="0"/>
                <w:color w:val="16261F"/>
                <w:sz w:val="19"/>
              </w:rPr>
              <w:t>AUTH, ORG, BRD, CUS, INV, TAX, DLV, PAY (card), CFG, ZHO, GTW, SYN, DSH</w:t>
            </w:r>
          </w:p>
        </w:tc>
      </w:tr>
      <w:tr>
        <w:tc>
          <w:tcPr>
            <w:tcW w:type="dxa" w:w="1080"/>
            <w:tcMar>
              <w:top w:w="60" w:type="dxa"/>
              <w:left w:w="110" w:type="dxa"/>
              <w:bottom w:w="60" w:type="dxa"/>
              <w:right w:w="110" w:type="dxa"/>
            </w:tcMar>
            <w:shd w:val="clear" w:color="auto" w:fill="F5F7F5"/>
          </w:tcPr>
          <w:p>
            <w:pPr>
              <w:spacing w:after="0"/>
            </w:pPr>
            <w:r>
              <w:rPr>
                <w:b/>
                <w:i w:val="0"/>
                <w:color w:val="3A6FA8"/>
                <w:sz w:val="17"/>
              </w:rPr>
              <w:t>Phase 2</w:t>
            </w:r>
          </w:p>
        </w:tc>
        <w:tc>
          <w:tcPr>
            <w:tcW w:type="dxa" w:w="4464"/>
            <w:tcMar>
              <w:top w:w="60" w:type="dxa"/>
              <w:left w:w="110" w:type="dxa"/>
              <w:bottom w:w="60" w:type="dxa"/>
              <w:right w:w="110" w:type="dxa"/>
            </w:tcMar>
            <w:shd w:val="clear" w:color="auto" w:fill="F5F7F5"/>
          </w:tcPr>
          <w:p>
            <w:pPr>
              <w:spacing w:after="0"/>
            </w:pPr>
            <w:r>
              <w:rPr>
                <w:b w:val="0"/>
                <w:i w:val="0"/>
                <w:color w:val="16261F"/>
                <w:sz w:val="19"/>
              </w:rPr>
              <w:t>Capability demonstrated in the prototype but not contracted. Custom domains, digital wallets, ACH, check workflow, Shopify B2B, AI insights, payment page designer, notification centre, audit log, system administration.</w:t>
            </w:r>
          </w:p>
        </w:tc>
        <w:tc>
          <w:tcPr>
            <w:tcW w:type="dxa" w:w="3816"/>
            <w:tcMar>
              <w:top w:w="60" w:type="dxa"/>
              <w:left w:w="110" w:type="dxa"/>
              <w:bottom w:w="60" w:type="dxa"/>
              <w:right w:w="110" w:type="dxa"/>
            </w:tcMar>
            <w:shd w:val="clear" w:color="auto" w:fill="F5F7F5"/>
          </w:tcPr>
          <w:p>
            <w:pPr>
              <w:spacing w:after="0"/>
            </w:pPr>
            <w:r>
              <w:rPr>
                <w:b w:val="0"/>
                <w:i w:val="0"/>
                <w:color w:val="16261F"/>
                <w:sz w:val="19"/>
              </w:rPr>
              <w:t>DOM, DSG, SHP, AIX, NTF, AUD, SYS, PAY (wallet/ACH), CHK</w:t>
            </w:r>
          </w:p>
        </w:tc>
      </w:tr>
      <w:tr>
        <w:tc>
          <w:tcPr>
            <w:tcW w:type="dxa" w:w="1080"/>
            <w:tcMar>
              <w:top w:w="60" w:type="dxa"/>
              <w:left w:w="110" w:type="dxa"/>
              <w:bottom w:w="60" w:type="dxa"/>
              <w:right w:w="110" w:type="dxa"/>
            </w:tcMar>
          </w:tcPr>
          <w:p>
            <w:pPr>
              <w:spacing w:after="0"/>
            </w:pPr>
            <w:r>
              <w:rPr>
                <w:b/>
                <w:i w:val="0"/>
                <w:color w:val="6B5B95"/>
                <w:sz w:val="17"/>
              </w:rPr>
              <w:t>Phase 3</w:t>
            </w:r>
          </w:p>
        </w:tc>
        <w:tc>
          <w:tcPr>
            <w:tcW w:type="dxa" w:w="4464"/>
            <w:tcMar>
              <w:top w:w="60" w:type="dxa"/>
              <w:left w:w="110" w:type="dxa"/>
              <w:bottom w:w="60" w:type="dxa"/>
              <w:right w:w="110" w:type="dxa"/>
            </w:tcMar>
          </w:tcPr>
          <w:p>
            <w:pPr>
              <w:spacing w:after="0"/>
            </w:pPr>
            <w:r>
              <w:rPr>
                <w:b w:val="0"/>
                <w:i w:val="0"/>
                <w:color w:val="16261F"/>
                <w:sz w:val="19"/>
              </w:rPr>
              <w:t>Accounts payable. Vendor records, bills, outbound payments and the corresponding Zoho Bill synchronisation. Requested during requirements review; no prototype exists.</w:t>
            </w:r>
          </w:p>
        </w:tc>
        <w:tc>
          <w:tcPr>
            <w:tcW w:type="dxa" w:w="3816"/>
            <w:tcMar>
              <w:top w:w="60" w:type="dxa"/>
              <w:left w:w="110" w:type="dxa"/>
              <w:bottom w:w="60" w:type="dxa"/>
              <w:right w:w="110" w:type="dxa"/>
            </w:tcMar>
          </w:tcPr>
          <w:p>
            <w:pPr>
              <w:spacing w:after="0"/>
            </w:pPr>
            <w:r>
              <w:rPr>
                <w:b w:val="0"/>
                <w:i w:val="0"/>
                <w:color w:val="16261F"/>
                <w:sz w:val="19"/>
              </w:rPr>
              <w:t>VEN, and AP extensions to SYN and DSH</w:t>
            </w:r>
          </w:p>
        </w:tc>
      </w:tr>
    </w:tbl>
    <w:p>
      <w:pPr>
        <w:pStyle w:val="Heading2"/>
      </w:pPr>
      <w:r>
        <w:t>2.2 Traceability to the MVP Feature List</w:t>
      </w:r>
    </w:p>
    <w:p>
      <w:pPr>
        <w:spacing w:after="140"/>
      </w:pPr>
      <w:r>
        <w:rPr>
          <w:b w:val="0"/>
          <w:i w:val="0"/>
          <w:color w:val="16261F"/>
          <w:sz w:val="21"/>
        </w:rPr>
        <w:t>Every line of the signed MVP Feature List maps forward to one or more requirements. The table below is the coverage proof.</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3888"/>
            <w:shd w:val="clear" w:color="auto" w:fill="16261F"/>
            <w:tcMar>
              <w:top w:w="70" w:type="dxa"/>
              <w:left w:w="110" w:type="dxa"/>
              <w:bottom w:w="70" w:type="dxa"/>
              <w:right w:w="110" w:type="dxa"/>
            </w:tcMar>
          </w:tcPr>
          <w:p>
            <w:pPr>
              <w:spacing w:after="0"/>
            </w:pPr>
            <w:r>
              <w:rPr>
                <w:rFonts w:ascii="Calibri" w:hAnsi="Calibri"/>
                <w:b/>
                <w:color w:val="FFFFFF"/>
                <w:sz w:val="18"/>
              </w:rPr>
              <w:t>MVP Feature List item</w:t>
            </w:r>
          </w:p>
        </w:tc>
        <w:tc>
          <w:tcPr>
            <w:tcW w:type="dxa" w:w="3312"/>
            <w:shd w:val="clear" w:color="auto" w:fill="16261F"/>
            <w:tcMar>
              <w:top w:w="70" w:type="dxa"/>
              <w:left w:w="110" w:type="dxa"/>
              <w:bottom w:w="70" w:type="dxa"/>
              <w:right w:w="110" w:type="dxa"/>
            </w:tcMar>
          </w:tcPr>
          <w:p>
            <w:pPr>
              <w:spacing w:after="0"/>
            </w:pPr>
            <w:r>
              <w:rPr>
                <w:rFonts w:ascii="Calibri" w:hAnsi="Calibri"/>
                <w:b/>
                <w:color w:val="FFFFFF"/>
                <w:sz w:val="18"/>
              </w:rPr>
              <w:t>Requirements</w:t>
            </w:r>
          </w:p>
        </w:tc>
        <w:tc>
          <w:tcPr>
            <w:tcW w:type="dxa" w:w="1440"/>
            <w:shd w:val="clear" w:color="auto" w:fill="16261F"/>
            <w:tcMar>
              <w:top w:w="70" w:type="dxa"/>
              <w:left w:w="110" w:type="dxa"/>
              <w:bottom w:w="70" w:type="dxa"/>
              <w:right w:w="110" w:type="dxa"/>
            </w:tcMar>
          </w:tcPr>
          <w:p>
            <w:pPr>
              <w:spacing w:after="0"/>
            </w:pPr>
            <w:r>
              <w:rPr>
                <w:rFonts w:ascii="Calibri" w:hAnsi="Calibri"/>
                <w:b/>
                <w:color w:val="FFFFFF"/>
                <w:sz w:val="18"/>
              </w:rPr>
              <w:t>Status</w:t>
            </w:r>
          </w:p>
        </w:tc>
      </w:tr>
      <w:tr>
        <w:tc>
          <w:tcPr>
            <w:tcW w:type="dxa" w:w="3888"/>
            <w:tcMar>
              <w:top w:w="60" w:type="dxa"/>
              <w:left w:w="110" w:type="dxa"/>
              <w:bottom w:w="60" w:type="dxa"/>
              <w:right w:w="110" w:type="dxa"/>
            </w:tcMar>
          </w:tcPr>
          <w:p>
            <w:pPr>
              <w:spacing w:after="0"/>
            </w:pPr>
            <w:r>
              <w:rPr>
                <w:b w:val="0"/>
                <w:i w:val="0"/>
                <w:color w:val="16261F"/>
                <w:sz w:val="19"/>
              </w:rPr>
              <w:t>Login Company Account (name, email, address)</w:t>
            </w:r>
          </w:p>
        </w:tc>
        <w:tc>
          <w:tcPr>
            <w:tcW w:type="dxa" w:w="3312"/>
            <w:tcMar>
              <w:top w:w="60" w:type="dxa"/>
              <w:left w:w="110" w:type="dxa"/>
              <w:bottom w:w="60" w:type="dxa"/>
              <w:right w:w="110" w:type="dxa"/>
            </w:tcMar>
          </w:tcPr>
          <w:p>
            <w:pPr>
              <w:spacing w:after="0"/>
            </w:pPr>
            <w:r>
              <w:rPr>
                <w:b w:val="0"/>
                <w:i w:val="0"/>
                <w:color w:val="16261F"/>
                <w:sz w:val="19"/>
              </w:rPr>
              <w:t>FR-AUTH-001..004, FR-ORG-001..003</w:t>
            </w:r>
          </w:p>
        </w:tc>
        <w:tc>
          <w:tcPr>
            <w:tcW w:type="dxa" w:w="1440"/>
            <w:tcMar>
              <w:top w:w="60" w:type="dxa"/>
              <w:left w:w="110" w:type="dxa"/>
              <w:bottom w:w="60" w:type="dxa"/>
              <w:right w:w="110" w:type="dxa"/>
            </w:tcMar>
          </w:tcPr>
          <w:p>
            <w:pPr>
              <w:spacing w:after="0"/>
            </w:pPr>
            <w:r>
              <w:rPr>
                <w:b/>
                <w:i w:val="0"/>
                <w:color w:val="1F8B5C"/>
                <w:sz w:val="19"/>
              </w:rPr>
              <w:t>Specified</w:t>
            </w:r>
          </w:p>
        </w:tc>
      </w:tr>
      <w:tr>
        <w:tc>
          <w:tcPr>
            <w:tcW w:type="dxa" w:w="3888"/>
            <w:tcMar>
              <w:top w:w="60" w:type="dxa"/>
              <w:left w:w="110" w:type="dxa"/>
              <w:bottom w:w="60" w:type="dxa"/>
              <w:right w:w="110" w:type="dxa"/>
            </w:tcMar>
            <w:shd w:val="clear" w:color="auto" w:fill="F5F7F5"/>
          </w:tcPr>
          <w:p>
            <w:pPr>
              <w:spacing w:after="0"/>
            </w:pPr>
            <w:r>
              <w:rPr>
                <w:b w:val="0"/>
                <w:i w:val="0"/>
                <w:color w:val="16261F"/>
                <w:sz w:val="19"/>
              </w:rPr>
              <w:t>Logout</w:t>
            </w:r>
          </w:p>
        </w:tc>
        <w:tc>
          <w:tcPr>
            <w:tcW w:type="dxa" w:w="3312"/>
            <w:tcMar>
              <w:top w:w="60" w:type="dxa"/>
              <w:left w:w="110" w:type="dxa"/>
              <w:bottom w:w="60" w:type="dxa"/>
              <w:right w:w="110" w:type="dxa"/>
            </w:tcMar>
            <w:shd w:val="clear" w:color="auto" w:fill="F5F7F5"/>
          </w:tcPr>
          <w:p>
            <w:pPr>
              <w:spacing w:after="0"/>
            </w:pPr>
            <w:r>
              <w:rPr>
                <w:b w:val="0"/>
                <w:i w:val="0"/>
                <w:color w:val="16261F"/>
                <w:sz w:val="19"/>
              </w:rPr>
              <w:t>FR-AUTH-010</w:t>
            </w:r>
          </w:p>
        </w:tc>
        <w:tc>
          <w:tcPr>
            <w:tcW w:type="dxa" w:w="1440"/>
            <w:tcMar>
              <w:top w:w="60" w:type="dxa"/>
              <w:left w:w="110" w:type="dxa"/>
              <w:bottom w:w="60" w:type="dxa"/>
              <w:right w:w="110" w:type="dxa"/>
            </w:tcMar>
            <w:shd w:val="clear" w:color="auto" w:fill="F5F7F5"/>
          </w:tcPr>
          <w:p>
            <w:pPr>
              <w:spacing w:after="0"/>
            </w:pPr>
            <w:r>
              <w:rPr>
                <w:b/>
                <w:i w:val="0"/>
                <w:color w:val="1F8B5C"/>
                <w:sz w:val="19"/>
              </w:rPr>
              <w:t>Specified</w:t>
            </w:r>
          </w:p>
        </w:tc>
      </w:tr>
      <w:tr>
        <w:tc>
          <w:tcPr>
            <w:tcW w:type="dxa" w:w="3888"/>
            <w:tcMar>
              <w:top w:w="60" w:type="dxa"/>
              <w:left w:w="110" w:type="dxa"/>
              <w:bottom w:w="60" w:type="dxa"/>
              <w:right w:w="110" w:type="dxa"/>
            </w:tcMar>
          </w:tcPr>
          <w:p>
            <w:pPr>
              <w:spacing w:after="0"/>
            </w:pPr>
            <w:r>
              <w:rPr>
                <w:b w:val="0"/>
                <w:i w:val="0"/>
                <w:color w:val="16261F"/>
                <w:sz w:val="19"/>
              </w:rPr>
              <w:t>Right restriction of all pages</w:t>
            </w:r>
          </w:p>
        </w:tc>
        <w:tc>
          <w:tcPr>
            <w:tcW w:type="dxa" w:w="3312"/>
            <w:tcMar>
              <w:top w:w="60" w:type="dxa"/>
              <w:left w:w="110" w:type="dxa"/>
              <w:bottom w:w="60" w:type="dxa"/>
              <w:right w:w="110" w:type="dxa"/>
            </w:tcMar>
          </w:tcPr>
          <w:p>
            <w:pPr>
              <w:spacing w:after="0"/>
            </w:pPr>
            <w:r>
              <w:rPr>
                <w:b w:val="0"/>
                <w:i w:val="0"/>
                <w:color w:val="16261F"/>
                <w:sz w:val="19"/>
              </w:rPr>
              <w:t>FR-AUTH-020..027</w:t>
            </w:r>
          </w:p>
        </w:tc>
        <w:tc>
          <w:tcPr>
            <w:tcW w:type="dxa" w:w="1440"/>
            <w:tcMar>
              <w:top w:w="60" w:type="dxa"/>
              <w:left w:w="110" w:type="dxa"/>
              <w:bottom w:w="60" w:type="dxa"/>
              <w:right w:w="110" w:type="dxa"/>
            </w:tcMar>
          </w:tcPr>
          <w:p>
            <w:pPr>
              <w:spacing w:after="0"/>
            </w:pPr>
            <w:r>
              <w:rPr>
                <w:b/>
                <w:i w:val="0"/>
                <w:color w:val="1F8B5C"/>
                <w:sz w:val="19"/>
              </w:rPr>
              <w:t>Specified</w:t>
            </w:r>
          </w:p>
        </w:tc>
      </w:tr>
      <w:tr>
        <w:tc>
          <w:tcPr>
            <w:tcW w:type="dxa" w:w="3888"/>
            <w:tcMar>
              <w:top w:w="60" w:type="dxa"/>
              <w:left w:w="110" w:type="dxa"/>
              <w:bottom w:w="60" w:type="dxa"/>
              <w:right w:w="110" w:type="dxa"/>
            </w:tcMar>
            <w:shd w:val="clear" w:color="auto" w:fill="F5F7F5"/>
          </w:tcPr>
          <w:p>
            <w:pPr>
              <w:spacing w:after="0"/>
            </w:pPr>
            <w:r>
              <w:rPr>
                <w:b w:val="0"/>
                <w:i w:val="0"/>
                <w:color w:val="16261F"/>
                <w:sz w:val="19"/>
              </w:rPr>
              <w:t>Brand management — list, add/edit</w:t>
            </w:r>
          </w:p>
        </w:tc>
        <w:tc>
          <w:tcPr>
            <w:tcW w:type="dxa" w:w="3312"/>
            <w:tcMar>
              <w:top w:w="60" w:type="dxa"/>
              <w:left w:w="110" w:type="dxa"/>
              <w:bottom w:w="60" w:type="dxa"/>
              <w:right w:w="110" w:type="dxa"/>
            </w:tcMar>
            <w:shd w:val="clear" w:color="auto" w:fill="F5F7F5"/>
          </w:tcPr>
          <w:p>
            <w:pPr>
              <w:spacing w:after="0"/>
            </w:pPr>
            <w:r>
              <w:rPr>
                <w:b w:val="0"/>
                <w:i w:val="0"/>
                <w:color w:val="16261F"/>
                <w:sz w:val="19"/>
              </w:rPr>
              <w:t>FR-BRD-001..014</w:t>
            </w:r>
          </w:p>
        </w:tc>
        <w:tc>
          <w:tcPr>
            <w:tcW w:type="dxa" w:w="1440"/>
            <w:tcMar>
              <w:top w:w="60" w:type="dxa"/>
              <w:left w:w="110" w:type="dxa"/>
              <w:bottom w:w="60" w:type="dxa"/>
              <w:right w:w="110" w:type="dxa"/>
            </w:tcMar>
            <w:shd w:val="clear" w:color="auto" w:fill="F5F7F5"/>
          </w:tcPr>
          <w:p>
            <w:pPr>
              <w:spacing w:after="0"/>
            </w:pPr>
            <w:r>
              <w:rPr>
                <w:b/>
                <w:i w:val="0"/>
                <w:color w:val="1F8B5C"/>
                <w:sz w:val="19"/>
              </w:rPr>
              <w:t>Specified</w:t>
            </w:r>
          </w:p>
        </w:tc>
      </w:tr>
      <w:tr>
        <w:tc>
          <w:tcPr>
            <w:tcW w:type="dxa" w:w="3888"/>
            <w:tcMar>
              <w:top w:w="60" w:type="dxa"/>
              <w:left w:w="110" w:type="dxa"/>
              <w:bottom w:w="60" w:type="dxa"/>
              <w:right w:w="110" w:type="dxa"/>
            </w:tcMar>
          </w:tcPr>
          <w:p>
            <w:pPr>
              <w:spacing w:after="0"/>
            </w:pPr>
            <w:r>
              <w:rPr>
                <w:b w:val="0"/>
                <w:i w:val="0"/>
                <w:color w:val="16261F"/>
                <w:sz w:val="19"/>
              </w:rPr>
              <w:t>Customer — list, filters, add/edit, history</w:t>
            </w:r>
          </w:p>
        </w:tc>
        <w:tc>
          <w:tcPr>
            <w:tcW w:type="dxa" w:w="3312"/>
            <w:tcMar>
              <w:top w:w="60" w:type="dxa"/>
              <w:left w:w="110" w:type="dxa"/>
              <w:bottom w:w="60" w:type="dxa"/>
              <w:right w:w="110" w:type="dxa"/>
            </w:tcMar>
          </w:tcPr>
          <w:p>
            <w:pPr>
              <w:spacing w:after="0"/>
            </w:pPr>
            <w:r>
              <w:rPr>
                <w:b w:val="0"/>
                <w:i w:val="0"/>
                <w:color w:val="16261F"/>
                <w:sz w:val="19"/>
              </w:rPr>
              <w:t>FR-CUS-001..020</w:t>
            </w:r>
          </w:p>
        </w:tc>
        <w:tc>
          <w:tcPr>
            <w:tcW w:type="dxa" w:w="1440"/>
            <w:tcMar>
              <w:top w:w="60" w:type="dxa"/>
              <w:left w:w="110" w:type="dxa"/>
              <w:bottom w:w="60" w:type="dxa"/>
              <w:right w:w="110" w:type="dxa"/>
            </w:tcMar>
          </w:tcPr>
          <w:p>
            <w:pPr>
              <w:spacing w:after="0"/>
            </w:pPr>
            <w:r>
              <w:rPr>
                <w:b/>
                <w:i w:val="0"/>
                <w:color w:val="1F8B5C"/>
                <w:sz w:val="19"/>
              </w:rPr>
              <w:t>Specified</w:t>
            </w:r>
          </w:p>
        </w:tc>
      </w:tr>
      <w:tr>
        <w:tc>
          <w:tcPr>
            <w:tcW w:type="dxa" w:w="3888"/>
            <w:tcMar>
              <w:top w:w="60" w:type="dxa"/>
              <w:left w:w="110" w:type="dxa"/>
              <w:bottom w:w="60" w:type="dxa"/>
              <w:right w:w="110" w:type="dxa"/>
            </w:tcMar>
            <w:shd w:val="clear" w:color="auto" w:fill="F5F7F5"/>
          </w:tcPr>
          <w:p>
            <w:pPr>
              <w:spacing w:after="0"/>
            </w:pPr>
            <w:r>
              <w:rPr>
                <w:b w:val="0"/>
                <w:i w:val="0"/>
                <w:color w:val="16261F"/>
                <w:sz w:val="19"/>
              </w:rPr>
              <w:t>Invoice — list, filters, tabs, add/edit</w:t>
            </w:r>
          </w:p>
        </w:tc>
        <w:tc>
          <w:tcPr>
            <w:tcW w:type="dxa" w:w="3312"/>
            <w:tcMar>
              <w:top w:w="60" w:type="dxa"/>
              <w:left w:w="110" w:type="dxa"/>
              <w:bottom w:w="60" w:type="dxa"/>
              <w:right w:w="110" w:type="dxa"/>
            </w:tcMar>
            <w:shd w:val="clear" w:color="auto" w:fill="F5F7F5"/>
          </w:tcPr>
          <w:p>
            <w:pPr>
              <w:spacing w:after="0"/>
            </w:pPr>
            <w:r>
              <w:rPr>
                <w:b w:val="0"/>
                <w:i w:val="0"/>
                <w:color w:val="16261F"/>
                <w:sz w:val="19"/>
              </w:rPr>
              <w:t>FR-INV-001..030</w:t>
            </w:r>
          </w:p>
        </w:tc>
        <w:tc>
          <w:tcPr>
            <w:tcW w:type="dxa" w:w="1440"/>
            <w:tcMar>
              <w:top w:w="60" w:type="dxa"/>
              <w:left w:w="110" w:type="dxa"/>
              <w:bottom w:w="60" w:type="dxa"/>
              <w:right w:w="110" w:type="dxa"/>
            </w:tcMar>
            <w:shd w:val="clear" w:color="auto" w:fill="F5F7F5"/>
          </w:tcPr>
          <w:p>
            <w:pPr>
              <w:spacing w:after="0"/>
            </w:pPr>
            <w:r>
              <w:rPr>
                <w:b/>
                <w:i w:val="0"/>
                <w:color w:val="1F8B5C"/>
                <w:sz w:val="19"/>
              </w:rPr>
              <w:t>Specified</w:t>
            </w:r>
          </w:p>
        </w:tc>
      </w:tr>
      <w:tr>
        <w:tc>
          <w:tcPr>
            <w:tcW w:type="dxa" w:w="3888"/>
            <w:tcMar>
              <w:top w:w="60" w:type="dxa"/>
              <w:left w:w="110" w:type="dxa"/>
              <w:bottom w:w="60" w:type="dxa"/>
              <w:right w:w="110" w:type="dxa"/>
            </w:tcMar>
          </w:tcPr>
          <w:p>
            <w:pPr>
              <w:spacing w:after="0"/>
            </w:pPr>
            <w:r>
              <w:rPr>
                <w:b w:val="0"/>
                <w:i w:val="0"/>
                <w:color w:val="16261F"/>
                <w:sz w:val="19"/>
              </w:rPr>
              <w:t>Invoice tax, card fee %</w:t>
            </w:r>
          </w:p>
        </w:tc>
        <w:tc>
          <w:tcPr>
            <w:tcW w:type="dxa" w:w="3312"/>
            <w:tcMar>
              <w:top w:w="60" w:type="dxa"/>
              <w:left w:w="110" w:type="dxa"/>
              <w:bottom w:w="60" w:type="dxa"/>
              <w:right w:w="110" w:type="dxa"/>
            </w:tcMar>
          </w:tcPr>
          <w:p>
            <w:pPr>
              <w:spacing w:after="0"/>
            </w:pPr>
            <w:r>
              <w:rPr>
                <w:b w:val="0"/>
                <w:i w:val="0"/>
                <w:color w:val="16261F"/>
                <w:sz w:val="19"/>
              </w:rPr>
              <w:t>FR-TAX-001..015</w:t>
            </w:r>
          </w:p>
        </w:tc>
        <w:tc>
          <w:tcPr>
            <w:tcW w:type="dxa" w:w="1440"/>
            <w:tcMar>
              <w:top w:w="60" w:type="dxa"/>
              <w:left w:w="110" w:type="dxa"/>
              <w:bottom w:w="60" w:type="dxa"/>
              <w:right w:w="110" w:type="dxa"/>
            </w:tcMar>
          </w:tcPr>
          <w:p>
            <w:pPr>
              <w:spacing w:after="0"/>
            </w:pPr>
            <w:r>
              <w:rPr>
                <w:b/>
                <w:i w:val="0"/>
                <w:color w:val="1F8B5C"/>
                <w:sz w:val="19"/>
              </w:rPr>
              <w:t>Specified</w:t>
            </w:r>
          </w:p>
        </w:tc>
      </w:tr>
      <w:tr>
        <w:tc>
          <w:tcPr>
            <w:tcW w:type="dxa" w:w="3888"/>
            <w:tcMar>
              <w:top w:w="60" w:type="dxa"/>
              <w:left w:w="110" w:type="dxa"/>
              <w:bottom w:w="60" w:type="dxa"/>
              <w:right w:w="110" w:type="dxa"/>
            </w:tcMar>
            <w:shd w:val="clear" w:color="auto" w:fill="F5F7F5"/>
          </w:tcPr>
          <w:p>
            <w:pPr>
              <w:spacing w:after="0"/>
            </w:pPr>
            <w:r>
              <w:rPr>
                <w:b w:val="0"/>
                <w:i w:val="0"/>
                <w:color w:val="16261F"/>
                <w:sz w:val="19"/>
              </w:rPr>
              <w:t>Invoice sending — email</w:t>
            </w:r>
          </w:p>
        </w:tc>
        <w:tc>
          <w:tcPr>
            <w:tcW w:type="dxa" w:w="3312"/>
            <w:tcMar>
              <w:top w:w="60" w:type="dxa"/>
              <w:left w:w="110" w:type="dxa"/>
              <w:bottom w:w="60" w:type="dxa"/>
              <w:right w:w="110" w:type="dxa"/>
            </w:tcMar>
            <w:shd w:val="clear" w:color="auto" w:fill="F5F7F5"/>
          </w:tcPr>
          <w:p>
            <w:pPr>
              <w:spacing w:after="0"/>
            </w:pPr>
            <w:r>
              <w:rPr>
                <w:b w:val="0"/>
                <w:i w:val="0"/>
                <w:color w:val="16261F"/>
                <w:sz w:val="19"/>
              </w:rPr>
              <w:t>FR-DLV-001..012</w:t>
            </w:r>
          </w:p>
        </w:tc>
        <w:tc>
          <w:tcPr>
            <w:tcW w:type="dxa" w:w="1440"/>
            <w:tcMar>
              <w:top w:w="60" w:type="dxa"/>
              <w:left w:w="110" w:type="dxa"/>
              <w:bottom w:w="60" w:type="dxa"/>
              <w:right w:w="110" w:type="dxa"/>
            </w:tcMar>
            <w:shd w:val="clear" w:color="auto" w:fill="F5F7F5"/>
          </w:tcPr>
          <w:p>
            <w:pPr>
              <w:spacing w:after="0"/>
            </w:pPr>
            <w:r>
              <w:rPr>
                <w:b/>
                <w:i w:val="0"/>
                <w:color w:val="1F8B5C"/>
                <w:sz w:val="19"/>
              </w:rPr>
              <w:t>Specified</w:t>
            </w:r>
          </w:p>
        </w:tc>
      </w:tr>
      <w:tr>
        <w:tc>
          <w:tcPr>
            <w:tcW w:type="dxa" w:w="3888"/>
            <w:tcMar>
              <w:top w:w="60" w:type="dxa"/>
              <w:left w:w="110" w:type="dxa"/>
              <w:bottom w:w="60" w:type="dxa"/>
              <w:right w:w="110" w:type="dxa"/>
            </w:tcMar>
          </w:tcPr>
          <w:p>
            <w:pPr>
              <w:spacing w:after="0"/>
            </w:pPr>
            <w:r>
              <w:rPr>
                <w:b w:val="0"/>
                <w:i w:val="0"/>
                <w:color w:val="16261F"/>
                <w:sz w:val="19"/>
              </w:rPr>
              <w:t>Invoice landing page design and preview</w:t>
            </w:r>
          </w:p>
        </w:tc>
        <w:tc>
          <w:tcPr>
            <w:tcW w:type="dxa" w:w="3312"/>
            <w:tcMar>
              <w:top w:w="60" w:type="dxa"/>
              <w:left w:w="110" w:type="dxa"/>
              <w:bottom w:w="60" w:type="dxa"/>
              <w:right w:w="110" w:type="dxa"/>
            </w:tcMar>
          </w:tcPr>
          <w:p>
            <w:pPr>
              <w:spacing w:after="0"/>
            </w:pPr>
            <w:r>
              <w:rPr>
                <w:b w:val="0"/>
                <w:i w:val="0"/>
                <w:color w:val="16261F"/>
                <w:sz w:val="19"/>
              </w:rPr>
              <w:t>FR-CFG-020..028</w:t>
            </w:r>
          </w:p>
        </w:tc>
        <w:tc>
          <w:tcPr>
            <w:tcW w:type="dxa" w:w="1440"/>
            <w:tcMar>
              <w:top w:w="60" w:type="dxa"/>
              <w:left w:w="110" w:type="dxa"/>
              <w:bottom w:w="60" w:type="dxa"/>
              <w:right w:w="110" w:type="dxa"/>
            </w:tcMar>
          </w:tcPr>
          <w:p>
            <w:pPr>
              <w:spacing w:after="0"/>
            </w:pPr>
            <w:r>
              <w:rPr>
                <w:b/>
                <w:i w:val="0"/>
                <w:color w:val="1F8B5C"/>
                <w:sz w:val="19"/>
              </w:rPr>
              <w:t>Specified</w:t>
            </w:r>
          </w:p>
        </w:tc>
      </w:tr>
      <w:tr>
        <w:tc>
          <w:tcPr>
            <w:tcW w:type="dxa" w:w="3888"/>
            <w:tcMar>
              <w:top w:w="60" w:type="dxa"/>
              <w:left w:w="110" w:type="dxa"/>
              <w:bottom w:w="60" w:type="dxa"/>
              <w:right w:w="110" w:type="dxa"/>
            </w:tcMar>
            <w:shd w:val="clear" w:color="auto" w:fill="F5F7F5"/>
          </w:tcPr>
          <w:p>
            <w:pPr>
              <w:spacing w:after="0"/>
            </w:pPr>
            <w:r>
              <w:rPr>
                <w:b w:val="0"/>
                <w:i w:val="0"/>
                <w:color w:val="16261F"/>
                <w:sz w:val="19"/>
              </w:rPr>
              <w:t>Invoicing email design and preview</w:t>
            </w:r>
          </w:p>
        </w:tc>
        <w:tc>
          <w:tcPr>
            <w:tcW w:type="dxa" w:w="3312"/>
            <w:tcMar>
              <w:top w:w="60" w:type="dxa"/>
              <w:left w:w="110" w:type="dxa"/>
              <w:bottom w:w="60" w:type="dxa"/>
              <w:right w:w="110" w:type="dxa"/>
            </w:tcMar>
            <w:shd w:val="clear" w:color="auto" w:fill="F5F7F5"/>
          </w:tcPr>
          <w:p>
            <w:pPr>
              <w:spacing w:after="0"/>
            </w:pPr>
            <w:r>
              <w:rPr>
                <w:b w:val="0"/>
                <w:i w:val="0"/>
                <w:color w:val="16261F"/>
                <w:sz w:val="19"/>
              </w:rPr>
              <w:t>FR-CFG-010..016</w:t>
            </w:r>
          </w:p>
        </w:tc>
        <w:tc>
          <w:tcPr>
            <w:tcW w:type="dxa" w:w="1440"/>
            <w:tcMar>
              <w:top w:w="60" w:type="dxa"/>
              <w:left w:w="110" w:type="dxa"/>
              <w:bottom w:w="60" w:type="dxa"/>
              <w:right w:w="110" w:type="dxa"/>
            </w:tcMar>
            <w:shd w:val="clear" w:color="auto" w:fill="F5F7F5"/>
          </w:tcPr>
          <w:p>
            <w:pPr>
              <w:spacing w:after="0"/>
            </w:pPr>
            <w:r>
              <w:rPr>
                <w:b/>
                <w:i w:val="0"/>
                <w:color w:val="1F8B5C"/>
                <w:sz w:val="19"/>
              </w:rPr>
              <w:t>Specified</w:t>
            </w:r>
          </w:p>
        </w:tc>
      </w:tr>
      <w:tr>
        <w:tc>
          <w:tcPr>
            <w:tcW w:type="dxa" w:w="3888"/>
            <w:tcMar>
              <w:top w:w="60" w:type="dxa"/>
              <w:left w:w="110" w:type="dxa"/>
              <w:bottom w:w="60" w:type="dxa"/>
              <w:right w:w="110" w:type="dxa"/>
            </w:tcMar>
          </w:tcPr>
          <w:p>
            <w:pPr>
              <w:spacing w:after="0"/>
            </w:pPr>
            <w:r>
              <w:rPr>
                <w:b w:val="0"/>
                <w:i w:val="0"/>
                <w:color w:val="16261F"/>
                <w:sz w:val="19"/>
              </w:rPr>
              <w:t>Invoice PDF design and preview</w:t>
            </w:r>
          </w:p>
        </w:tc>
        <w:tc>
          <w:tcPr>
            <w:tcW w:type="dxa" w:w="3312"/>
            <w:tcMar>
              <w:top w:w="60" w:type="dxa"/>
              <w:left w:w="110" w:type="dxa"/>
              <w:bottom w:w="60" w:type="dxa"/>
              <w:right w:w="110" w:type="dxa"/>
            </w:tcMar>
          </w:tcPr>
          <w:p>
            <w:pPr>
              <w:spacing w:after="0"/>
            </w:pPr>
            <w:r>
              <w:rPr>
                <w:b w:val="0"/>
                <w:i w:val="0"/>
                <w:color w:val="16261F"/>
                <w:sz w:val="19"/>
              </w:rPr>
              <w:t>FR-CFG-030..037</w:t>
            </w:r>
          </w:p>
        </w:tc>
        <w:tc>
          <w:tcPr>
            <w:tcW w:type="dxa" w:w="1440"/>
            <w:tcMar>
              <w:top w:w="60" w:type="dxa"/>
              <w:left w:w="110" w:type="dxa"/>
              <w:bottom w:w="60" w:type="dxa"/>
              <w:right w:w="110" w:type="dxa"/>
            </w:tcMar>
          </w:tcPr>
          <w:p>
            <w:pPr>
              <w:spacing w:after="0"/>
            </w:pPr>
            <w:r>
              <w:rPr>
                <w:b/>
                <w:i w:val="0"/>
                <w:color w:val="1F8B5C"/>
                <w:sz w:val="19"/>
              </w:rPr>
              <w:t>Specified</w:t>
            </w:r>
          </w:p>
        </w:tc>
      </w:tr>
      <w:tr>
        <w:tc>
          <w:tcPr>
            <w:tcW w:type="dxa" w:w="3888"/>
            <w:tcMar>
              <w:top w:w="60" w:type="dxa"/>
              <w:left w:w="110" w:type="dxa"/>
              <w:bottom w:w="60" w:type="dxa"/>
              <w:right w:w="110" w:type="dxa"/>
            </w:tcMar>
            <w:shd w:val="clear" w:color="auto" w:fill="F5F7F5"/>
          </w:tcPr>
          <w:p>
            <w:pPr>
              <w:spacing w:after="0"/>
            </w:pPr>
            <w:r>
              <w:rPr>
                <w:b w:val="0"/>
                <w:i w:val="0"/>
                <w:color w:val="16261F"/>
                <w:sz w:val="19"/>
              </w:rPr>
              <w:t>Zoho — connection, sync config, history, error log</w:t>
            </w:r>
          </w:p>
        </w:tc>
        <w:tc>
          <w:tcPr>
            <w:tcW w:type="dxa" w:w="3312"/>
            <w:tcMar>
              <w:top w:w="60" w:type="dxa"/>
              <w:left w:w="110" w:type="dxa"/>
              <w:bottom w:w="60" w:type="dxa"/>
              <w:right w:w="110" w:type="dxa"/>
            </w:tcMar>
            <w:shd w:val="clear" w:color="auto" w:fill="F5F7F5"/>
          </w:tcPr>
          <w:p>
            <w:pPr>
              <w:spacing w:after="0"/>
            </w:pPr>
            <w:r>
              <w:rPr>
                <w:b w:val="0"/>
                <w:i w:val="0"/>
                <w:color w:val="16261F"/>
                <w:sz w:val="19"/>
              </w:rPr>
              <w:t>FR-ZHO-001..024</w:t>
            </w:r>
          </w:p>
        </w:tc>
        <w:tc>
          <w:tcPr>
            <w:tcW w:type="dxa" w:w="1440"/>
            <w:tcMar>
              <w:top w:w="60" w:type="dxa"/>
              <w:left w:w="110" w:type="dxa"/>
              <w:bottom w:w="60" w:type="dxa"/>
              <w:right w:w="110" w:type="dxa"/>
            </w:tcMar>
            <w:shd w:val="clear" w:color="auto" w:fill="F5F7F5"/>
          </w:tcPr>
          <w:p>
            <w:pPr>
              <w:spacing w:after="0"/>
            </w:pPr>
            <w:r>
              <w:rPr>
                <w:b/>
                <w:i w:val="0"/>
                <w:color w:val="1F8B5C"/>
                <w:sz w:val="19"/>
              </w:rPr>
              <w:t>Specified</w:t>
            </w:r>
          </w:p>
        </w:tc>
      </w:tr>
      <w:tr>
        <w:tc>
          <w:tcPr>
            <w:tcW w:type="dxa" w:w="3888"/>
            <w:tcMar>
              <w:top w:w="60" w:type="dxa"/>
              <w:left w:w="110" w:type="dxa"/>
              <w:bottom w:w="60" w:type="dxa"/>
              <w:right w:w="110" w:type="dxa"/>
            </w:tcMar>
          </w:tcPr>
          <w:p>
            <w:pPr>
              <w:spacing w:after="0"/>
            </w:pPr>
            <w:r>
              <w:rPr>
                <w:b w:val="0"/>
                <w:i w:val="0"/>
                <w:color w:val="16261F"/>
                <w:sz w:val="19"/>
              </w:rPr>
              <w:t>Payment gateway — listing payment gateway</w:t>
            </w:r>
          </w:p>
        </w:tc>
        <w:tc>
          <w:tcPr>
            <w:tcW w:type="dxa" w:w="3312"/>
            <w:tcMar>
              <w:top w:w="60" w:type="dxa"/>
              <w:left w:w="110" w:type="dxa"/>
              <w:bottom w:w="60" w:type="dxa"/>
              <w:right w:w="110" w:type="dxa"/>
            </w:tcMar>
          </w:tcPr>
          <w:p>
            <w:pPr>
              <w:spacing w:after="0"/>
            </w:pPr>
            <w:r>
              <w:rPr>
                <w:b w:val="0"/>
                <w:i w:val="0"/>
                <w:color w:val="16261F"/>
                <w:sz w:val="19"/>
              </w:rPr>
              <w:t>FR-GTW-001..008</w:t>
            </w:r>
          </w:p>
        </w:tc>
        <w:tc>
          <w:tcPr>
            <w:tcW w:type="dxa" w:w="1440"/>
            <w:tcMar>
              <w:top w:w="60" w:type="dxa"/>
              <w:left w:w="110" w:type="dxa"/>
              <w:bottom w:w="60" w:type="dxa"/>
              <w:right w:w="110" w:type="dxa"/>
            </w:tcMar>
          </w:tcPr>
          <w:p>
            <w:pPr>
              <w:spacing w:after="0"/>
            </w:pPr>
            <w:r>
              <w:rPr>
                <w:b/>
                <w:i w:val="0"/>
                <w:color w:val="1F8B5C"/>
                <w:sz w:val="19"/>
              </w:rPr>
              <w:t>Specified</w:t>
            </w:r>
          </w:p>
        </w:tc>
      </w:tr>
      <w:tr>
        <w:tc>
          <w:tcPr>
            <w:tcW w:type="dxa" w:w="3888"/>
            <w:tcMar>
              <w:top w:w="60" w:type="dxa"/>
              <w:left w:w="110" w:type="dxa"/>
              <w:bottom w:w="60" w:type="dxa"/>
              <w:right w:w="110" w:type="dxa"/>
            </w:tcMar>
            <w:shd w:val="clear" w:color="auto" w:fill="F5F7F5"/>
          </w:tcPr>
          <w:p>
            <w:pPr>
              <w:spacing w:after="0"/>
            </w:pPr>
            <w:r>
              <w:rPr>
                <w:b w:val="0"/>
                <w:i w:val="0"/>
                <w:color w:val="16261F"/>
                <w:sz w:val="19"/>
              </w:rPr>
              <w:t>Account authorization from Numbers</w:t>
            </w:r>
          </w:p>
        </w:tc>
        <w:tc>
          <w:tcPr>
            <w:tcW w:type="dxa" w:w="3312"/>
            <w:tcMar>
              <w:top w:w="60" w:type="dxa"/>
              <w:left w:w="110" w:type="dxa"/>
              <w:bottom w:w="60" w:type="dxa"/>
              <w:right w:w="110" w:type="dxa"/>
            </w:tcMar>
            <w:shd w:val="clear" w:color="auto" w:fill="F5F7F5"/>
          </w:tcPr>
          <w:p>
            <w:pPr>
              <w:spacing w:after="0"/>
            </w:pPr>
            <w:r>
              <w:rPr>
                <w:b w:val="0"/>
                <w:i w:val="0"/>
                <w:color w:val="16261F"/>
                <w:sz w:val="19"/>
              </w:rPr>
              <w:t>FR-GTW-001, FR-GTW-003..006</w:t>
            </w:r>
          </w:p>
        </w:tc>
        <w:tc>
          <w:tcPr>
            <w:tcW w:type="dxa" w:w="1440"/>
            <w:tcMar>
              <w:top w:w="60" w:type="dxa"/>
              <w:left w:w="110" w:type="dxa"/>
              <w:bottom w:w="60" w:type="dxa"/>
              <w:right w:w="110" w:type="dxa"/>
            </w:tcMar>
            <w:shd w:val="clear" w:color="auto" w:fill="F5F7F5"/>
          </w:tcPr>
          <w:p>
            <w:pPr>
              <w:spacing w:after="0"/>
            </w:pPr>
            <w:r>
              <w:rPr>
                <w:b/>
                <w:i w:val="0"/>
                <w:color w:val="C7862B"/>
                <w:sz w:val="19"/>
              </w:rPr>
              <w:t>Specified</w:t>
            </w:r>
          </w:p>
        </w:tc>
      </w:tr>
      <w:tr>
        <w:tc>
          <w:tcPr>
            <w:tcW w:type="dxa" w:w="3888"/>
            <w:tcMar>
              <w:top w:w="60" w:type="dxa"/>
              <w:left w:w="110" w:type="dxa"/>
              <w:bottom w:w="60" w:type="dxa"/>
              <w:right w:w="110" w:type="dxa"/>
            </w:tcMar>
          </w:tcPr>
          <w:p>
            <w:pPr>
              <w:spacing w:after="0"/>
            </w:pPr>
            <w:r>
              <w:rPr>
                <w:b w:val="0"/>
                <w:i w:val="0"/>
                <w:color w:val="16261F"/>
                <w:sz w:val="19"/>
              </w:rPr>
              <w:t>Payment gateway success / failure pages</w:t>
            </w:r>
          </w:p>
        </w:tc>
        <w:tc>
          <w:tcPr>
            <w:tcW w:type="dxa" w:w="3312"/>
            <w:tcMar>
              <w:top w:w="60" w:type="dxa"/>
              <w:left w:w="110" w:type="dxa"/>
              <w:bottom w:w="60" w:type="dxa"/>
              <w:right w:w="110" w:type="dxa"/>
            </w:tcMar>
          </w:tcPr>
          <w:p>
            <w:pPr>
              <w:spacing w:after="0"/>
            </w:pPr>
            <w:r>
              <w:rPr>
                <w:b w:val="0"/>
                <w:i w:val="0"/>
                <w:color w:val="16261F"/>
                <w:sz w:val="19"/>
              </w:rPr>
              <w:t>FR-PAY-011, FR-PAY-012, FR-CFG-024, FR-CFG-025</w:t>
            </w:r>
          </w:p>
        </w:tc>
        <w:tc>
          <w:tcPr>
            <w:tcW w:type="dxa" w:w="1440"/>
            <w:tcMar>
              <w:top w:w="60" w:type="dxa"/>
              <w:left w:w="110" w:type="dxa"/>
              <w:bottom w:w="60" w:type="dxa"/>
              <w:right w:w="110" w:type="dxa"/>
            </w:tcMar>
          </w:tcPr>
          <w:p>
            <w:pPr>
              <w:spacing w:after="0"/>
            </w:pPr>
            <w:r>
              <w:rPr>
                <w:b/>
                <w:i w:val="0"/>
                <w:color w:val="1F8B5C"/>
                <w:sz w:val="19"/>
              </w:rPr>
              <w:t>Specified</w:t>
            </w:r>
          </w:p>
        </w:tc>
      </w:tr>
      <w:tr>
        <w:tc>
          <w:tcPr>
            <w:tcW w:type="dxa" w:w="3888"/>
            <w:tcMar>
              <w:top w:w="60" w:type="dxa"/>
              <w:left w:w="110" w:type="dxa"/>
              <w:bottom w:w="60" w:type="dxa"/>
              <w:right w:w="110" w:type="dxa"/>
            </w:tcMar>
            <w:shd w:val="clear" w:color="auto" w:fill="F5F7F5"/>
          </w:tcPr>
          <w:p>
            <w:pPr>
              <w:spacing w:after="0"/>
            </w:pPr>
            <w:r>
              <w:rPr>
                <w:b w:val="0"/>
                <w:i w:val="0"/>
                <w:color w:val="16261F"/>
                <w:sz w:val="19"/>
              </w:rPr>
              <w:t>Pay Now — email, landing, card, result, PDF</w:t>
            </w:r>
          </w:p>
        </w:tc>
        <w:tc>
          <w:tcPr>
            <w:tcW w:type="dxa" w:w="3312"/>
            <w:tcMar>
              <w:top w:w="60" w:type="dxa"/>
              <w:left w:w="110" w:type="dxa"/>
              <w:bottom w:w="60" w:type="dxa"/>
              <w:right w:w="110" w:type="dxa"/>
            </w:tcMar>
            <w:shd w:val="clear" w:color="auto" w:fill="F5F7F5"/>
          </w:tcPr>
          <w:p>
            <w:pPr>
              <w:spacing w:after="0"/>
            </w:pPr>
            <w:r>
              <w:rPr>
                <w:b w:val="0"/>
                <w:i w:val="0"/>
                <w:color w:val="16261F"/>
                <w:sz w:val="19"/>
              </w:rPr>
              <w:t>FR-PAY-001..024</w:t>
            </w:r>
          </w:p>
        </w:tc>
        <w:tc>
          <w:tcPr>
            <w:tcW w:type="dxa" w:w="1440"/>
            <w:tcMar>
              <w:top w:w="60" w:type="dxa"/>
              <w:left w:w="110" w:type="dxa"/>
              <w:bottom w:w="60" w:type="dxa"/>
              <w:right w:w="110" w:type="dxa"/>
            </w:tcMar>
            <w:shd w:val="clear" w:color="auto" w:fill="F5F7F5"/>
          </w:tcPr>
          <w:p>
            <w:pPr>
              <w:spacing w:after="0"/>
            </w:pPr>
            <w:r>
              <w:rPr>
                <w:b/>
                <w:i w:val="0"/>
                <w:color w:val="1F8B5C"/>
                <w:sz w:val="19"/>
              </w:rPr>
              <w:t>Specified</w:t>
            </w:r>
          </w:p>
        </w:tc>
      </w:tr>
      <w:tr>
        <w:tc>
          <w:tcPr>
            <w:tcW w:type="dxa" w:w="3888"/>
            <w:tcMar>
              <w:top w:w="60" w:type="dxa"/>
              <w:left w:w="110" w:type="dxa"/>
              <w:bottom w:w="60" w:type="dxa"/>
              <w:right w:w="110" w:type="dxa"/>
            </w:tcMar>
          </w:tcPr>
          <w:p>
            <w:pPr>
              <w:spacing w:after="0"/>
            </w:pPr>
            <w:r>
              <w:rPr>
                <w:b w:val="0"/>
                <w:i w:val="0"/>
                <w:color w:val="16261F"/>
                <w:sz w:val="19"/>
              </w:rPr>
              <w:t>Dashboard — filters, totals, brand list, charts</w:t>
            </w:r>
          </w:p>
        </w:tc>
        <w:tc>
          <w:tcPr>
            <w:tcW w:type="dxa" w:w="3312"/>
            <w:tcMar>
              <w:top w:w="60" w:type="dxa"/>
              <w:left w:w="110" w:type="dxa"/>
              <w:bottom w:w="60" w:type="dxa"/>
              <w:right w:w="110" w:type="dxa"/>
            </w:tcMar>
          </w:tcPr>
          <w:p>
            <w:pPr>
              <w:spacing w:after="0"/>
            </w:pPr>
            <w:r>
              <w:rPr>
                <w:b w:val="0"/>
                <w:i w:val="0"/>
                <w:color w:val="16261F"/>
                <w:sz w:val="19"/>
              </w:rPr>
              <w:t>FR-DSH-001..018</w:t>
            </w:r>
          </w:p>
        </w:tc>
        <w:tc>
          <w:tcPr>
            <w:tcW w:type="dxa" w:w="1440"/>
            <w:tcMar>
              <w:top w:w="60" w:type="dxa"/>
              <w:left w:w="110" w:type="dxa"/>
              <w:bottom w:w="60" w:type="dxa"/>
              <w:right w:w="110" w:type="dxa"/>
            </w:tcMar>
          </w:tcPr>
          <w:p>
            <w:pPr>
              <w:spacing w:after="0"/>
            </w:pPr>
            <w:r>
              <w:rPr>
                <w:b/>
                <w:i w:val="0"/>
                <w:color w:val="1F8B5C"/>
                <w:sz w:val="19"/>
              </w:rPr>
              <w:t>Specified</w:t>
            </w:r>
          </w:p>
        </w:tc>
      </w:tr>
      <w:tr>
        <w:tc>
          <w:tcPr>
            <w:tcW w:type="dxa" w:w="3888"/>
            <w:tcMar>
              <w:top w:w="60" w:type="dxa"/>
              <w:left w:w="110" w:type="dxa"/>
              <w:bottom w:w="60" w:type="dxa"/>
              <w:right w:w="110" w:type="dxa"/>
            </w:tcMar>
            <w:shd w:val="clear" w:color="auto" w:fill="F5F7F5"/>
          </w:tcPr>
          <w:p>
            <w:pPr>
              <w:spacing w:after="0"/>
            </w:pPr>
            <w:r>
              <w:rPr>
                <w:b w:val="0"/>
                <w:i w:val="0"/>
                <w:color w:val="16261F"/>
                <w:sz w:val="19"/>
              </w:rPr>
              <w:t>User management — role management</w:t>
            </w:r>
          </w:p>
        </w:tc>
        <w:tc>
          <w:tcPr>
            <w:tcW w:type="dxa" w:w="3312"/>
            <w:tcMar>
              <w:top w:w="60" w:type="dxa"/>
              <w:left w:w="110" w:type="dxa"/>
              <w:bottom w:w="60" w:type="dxa"/>
              <w:right w:w="110" w:type="dxa"/>
            </w:tcMar>
            <w:shd w:val="clear" w:color="auto" w:fill="F5F7F5"/>
          </w:tcPr>
          <w:p>
            <w:pPr>
              <w:spacing w:after="0"/>
            </w:pPr>
            <w:r>
              <w:rPr>
                <w:b w:val="0"/>
                <w:i w:val="0"/>
                <w:color w:val="16261F"/>
                <w:sz w:val="19"/>
              </w:rPr>
              <w:t>FR-AUTH-020..027, FR-ORG-010..016</w:t>
            </w:r>
          </w:p>
        </w:tc>
        <w:tc>
          <w:tcPr>
            <w:tcW w:type="dxa" w:w="1440"/>
            <w:tcMar>
              <w:top w:w="60" w:type="dxa"/>
              <w:left w:w="110" w:type="dxa"/>
              <w:bottom w:w="60" w:type="dxa"/>
              <w:right w:w="110" w:type="dxa"/>
            </w:tcMar>
            <w:shd w:val="clear" w:color="auto" w:fill="F5F7F5"/>
          </w:tcPr>
          <w:p>
            <w:pPr>
              <w:spacing w:after="0"/>
            </w:pPr>
            <w:r>
              <w:rPr>
                <w:b/>
                <w:i w:val="0"/>
                <w:color w:val="1F8B5C"/>
                <w:sz w:val="19"/>
              </w:rPr>
              <w:t>Specified</w:t>
            </w:r>
          </w:p>
        </w:tc>
      </w:tr>
    </w:tbl>
    <w:p>
      <w:r>
        <w:br w:type="page"/>
      </w:r>
    </w:p>
    <w:p>
      <w:pPr>
        <w:pStyle w:val="Heading1"/>
      </w:pPr>
      <w:r>
        <w:t>3. Actors, roles and permissions</w:t>
      </w:r>
    </w:p>
    <w:p>
      <w:pPr>
        <w:pStyle w:val="Heading2"/>
      </w:pPr>
      <w:r>
        <w:t>3.1 Actors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872"/>
            <w:shd w:val="clear" w:color="auto" w:fill="16261F"/>
            <w:tcMar>
              <w:top w:w="70" w:type="dxa"/>
              <w:left w:w="110" w:type="dxa"/>
              <w:bottom w:w="70" w:type="dxa"/>
              <w:right w:w="110" w:type="dxa"/>
            </w:tcMar>
          </w:tcPr>
          <w:p>
            <w:pPr>
              <w:spacing w:after="0"/>
            </w:pPr>
            <w:r>
              <w:rPr>
                <w:rFonts w:ascii="Calibri" w:hAnsi="Calibri"/>
                <w:b/>
                <w:color w:val="FFFFFF"/>
                <w:sz w:val="18"/>
              </w:rPr>
              <w:t>Actor</w:t>
            </w:r>
          </w:p>
        </w:tc>
        <w:tc>
          <w:tcPr>
            <w:tcW w:type="dxa" w:w="5616"/>
            <w:shd w:val="clear" w:color="auto" w:fill="16261F"/>
            <w:tcMar>
              <w:top w:w="70" w:type="dxa"/>
              <w:left w:w="110" w:type="dxa"/>
              <w:bottom w:w="70" w:type="dxa"/>
              <w:right w:w="110" w:type="dxa"/>
            </w:tcMar>
          </w:tcPr>
          <w:p>
            <w:pPr>
              <w:spacing w:after="0"/>
            </w:pPr>
            <w:r>
              <w:rPr>
                <w:rFonts w:ascii="Calibri" w:hAnsi="Calibri"/>
                <w:b/>
                <w:color w:val="FFFFFF"/>
                <w:sz w:val="18"/>
              </w:rPr>
              <w:t>Description</w:t>
            </w:r>
          </w:p>
        </w:tc>
        <w:tc>
          <w:tcPr>
            <w:tcW w:type="dxa" w:w="1872"/>
            <w:shd w:val="clear" w:color="auto" w:fill="16261F"/>
            <w:tcMar>
              <w:top w:w="70" w:type="dxa"/>
              <w:left w:w="110" w:type="dxa"/>
              <w:bottom w:w="70" w:type="dxa"/>
              <w:right w:w="110" w:type="dxa"/>
            </w:tcMar>
          </w:tcPr>
          <w:p>
            <w:pPr>
              <w:spacing w:after="0"/>
            </w:pPr>
            <w:r>
              <w:rPr>
                <w:rFonts w:ascii="Calibri" w:hAnsi="Calibri"/>
                <w:b/>
                <w:color w:val="FFFFFF"/>
                <w:sz w:val="18"/>
              </w:rPr>
              <w:t>Authenticates?</w:t>
            </w:r>
          </w:p>
        </w:tc>
      </w:tr>
      <w:tr>
        <w:tc>
          <w:tcPr>
            <w:tcW w:type="dxa" w:w="1872"/>
            <w:tcMar>
              <w:top w:w="60" w:type="dxa"/>
              <w:left w:w="110" w:type="dxa"/>
              <w:bottom w:w="60" w:type="dxa"/>
              <w:right w:w="110" w:type="dxa"/>
            </w:tcMar>
          </w:tcPr>
          <w:p>
            <w:pPr>
              <w:spacing w:after="0"/>
            </w:pPr>
            <w:r>
              <w:rPr>
                <w:b w:val="0"/>
                <w:i w:val="0"/>
                <w:color w:val="16261F"/>
                <w:sz w:val="19"/>
              </w:rPr>
              <w:t>Merchant staff</w:t>
            </w:r>
          </w:p>
        </w:tc>
        <w:tc>
          <w:tcPr>
            <w:tcW w:type="dxa" w:w="5616"/>
            <w:tcMar>
              <w:top w:w="60" w:type="dxa"/>
              <w:left w:w="110" w:type="dxa"/>
              <w:bottom w:w="60" w:type="dxa"/>
              <w:right w:w="110" w:type="dxa"/>
            </w:tcMar>
          </w:tcPr>
          <w:p>
            <w:pPr>
              <w:spacing w:after="0"/>
            </w:pPr>
            <w:r>
              <w:rPr>
                <w:b w:val="0"/>
                <w:i w:val="0"/>
                <w:color w:val="16261F"/>
                <w:sz w:val="19"/>
              </w:rPr>
              <w:t>Employees of the merchant organisation operating the platform across one or more brands.</w:t>
            </w:r>
          </w:p>
        </w:tc>
        <w:tc>
          <w:tcPr>
            <w:tcW w:type="dxa" w:w="1872"/>
            <w:tcMar>
              <w:top w:w="60" w:type="dxa"/>
              <w:left w:w="110" w:type="dxa"/>
              <w:bottom w:w="60" w:type="dxa"/>
              <w:right w:w="110" w:type="dxa"/>
            </w:tcMar>
          </w:tcPr>
          <w:p>
            <w:pPr>
              <w:spacing w:after="0"/>
            </w:pPr>
            <w:r>
              <w:rPr>
                <w:b w:val="0"/>
                <w:i w:val="0"/>
                <w:color w:val="16261F"/>
                <w:sz w:val="19"/>
              </w:rPr>
              <w:t>Yes — platform login</w:t>
            </w:r>
          </w:p>
        </w:tc>
      </w:tr>
      <w:tr>
        <w:tc>
          <w:tcPr>
            <w:tcW w:type="dxa" w:w="1872"/>
            <w:tcMar>
              <w:top w:w="60" w:type="dxa"/>
              <w:left w:w="110" w:type="dxa"/>
              <w:bottom w:w="60" w:type="dxa"/>
              <w:right w:w="110" w:type="dxa"/>
            </w:tcMar>
            <w:shd w:val="clear" w:color="auto" w:fill="F5F7F5"/>
          </w:tcPr>
          <w:p>
            <w:pPr>
              <w:spacing w:after="0"/>
            </w:pPr>
            <w:r>
              <w:rPr>
                <w:b w:val="0"/>
                <w:i w:val="0"/>
                <w:color w:val="16261F"/>
                <w:sz w:val="19"/>
              </w:rPr>
              <w:t>Customer</w:t>
            </w:r>
          </w:p>
        </w:tc>
        <w:tc>
          <w:tcPr>
            <w:tcW w:type="dxa" w:w="5616"/>
            <w:tcMar>
              <w:top w:w="60" w:type="dxa"/>
              <w:left w:w="110" w:type="dxa"/>
              <w:bottom w:w="60" w:type="dxa"/>
              <w:right w:w="110" w:type="dxa"/>
            </w:tcMar>
            <w:shd w:val="clear" w:color="auto" w:fill="F5F7F5"/>
          </w:tcPr>
          <w:p>
            <w:pPr>
              <w:spacing w:after="0"/>
            </w:pPr>
            <w:r>
              <w:rPr>
                <w:b w:val="0"/>
                <w:i w:val="0"/>
                <w:color w:val="16261F"/>
                <w:sz w:val="19"/>
              </w:rPr>
              <w:t>A business that receives an invoice from a brand and pays it. Interacts only with the branded payment experience.</w:t>
            </w:r>
          </w:p>
        </w:tc>
        <w:tc>
          <w:tcPr>
            <w:tcW w:type="dxa" w:w="1872"/>
            <w:tcMar>
              <w:top w:w="60" w:type="dxa"/>
              <w:left w:w="110" w:type="dxa"/>
              <w:bottom w:w="60" w:type="dxa"/>
              <w:right w:w="110" w:type="dxa"/>
            </w:tcMar>
            <w:shd w:val="clear" w:color="auto" w:fill="F5F7F5"/>
          </w:tcPr>
          <w:p>
            <w:pPr>
              <w:spacing w:after="0"/>
            </w:pPr>
            <w:r>
              <w:rPr>
                <w:b w:val="0"/>
                <w:i w:val="0"/>
                <w:color w:val="16261F"/>
                <w:sz w:val="19"/>
              </w:rPr>
              <w:t>No — access via signed invoice link</w:t>
            </w:r>
          </w:p>
        </w:tc>
      </w:tr>
      <w:tr>
        <w:tc>
          <w:tcPr>
            <w:tcW w:type="dxa" w:w="1872"/>
            <w:tcMar>
              <w:top w:w="60" w:type="dxa"/>
              <w:left w:w="110" w:type="dxa"/>
              <w:bottom w:w="60" w:type="dxa"/>
              <w:right w:w="110" w:type="dxa"/>
            </w:tcMar>
          </w:tcPr>
          <w:p>
            <w:pPr>
              <w:spacing w:after="0"/>
            </w:pPr>
            <w:r>
              <w:rPr>
                <w:b w:val="0"/>
                <w:i w:val="0"/>
                <w:color w:val="16261F"/>
                <w:sz w:val="19"/>
              </w:rPr>
              <w:t>Vendor</w:t>
            </w:r>
          </w:p>
        </w:tc>
        <w:tc>
          <w:tcPr>
            <w:tcW w:type="dxa" w:w="5616"/>
            <w:tcMar>
              <w:top w:w="60" w:type="dxa"/>
              <w:left w:w="110" w:type="dxa"/>
              <w:bottom w:w="60" w:type="dxa"/>
              <w:right w:w="110" w:type="dxa"/>
            </w:tcMar>
          </w:tcPr>
          <w:p>
            <w:pPr>
              <w:spacing w:after="0"/>
            </w:pPr>
            <w:r>
              <w:rPr>
                <w:b w:val="0"/>
                <w:i w:val="0"/>
                <w:color w:val="16261F"/>
                <w:sz w:val="19"/>
              </w:rPr>
              <w:t>A business the merchant owes money to. Phase 3; receives no platform access in the current scope.</w:t>
            </w:r>
          </w:p>
        </w:tc>
        <w:tc>
          <w:tcPr>
            <w:tcW w:type="dxa" w:w="1872"/>
            <w:tcMar>
              <w:top w:w="60" w:type="dxa"/>
              <w:left w:w="110" w:type="dxa"/>
              <w:bottom w:w="60" w:type="dxa"/>
              <w:right w:w="110" w:type="dxa"/>
            </w:tcMar>
          </w:tcPr>
          <w:p>
            <w:pPr>
              <w:spacing w:after="0"/>
            </w:pPr>
            <w:r>
              <w:rPr>
                <w:b w:val="0"/>
                <w:i w:val="0"/>
                <w:color w:val="16261F"/>
                <w:sz w:val="19"/>
              </w:rPr>
              <w:t>No</w:t>
            </w:r>
          </w:p>
        </w:tc>
      </w:tr>
      <w:tr>
        <w:tc>
          <w:tcPr>
            <w:tcW w:type="dxa" w:w="1872"/>
            <w:tcMar>
              <w:top w:w="60" w:type="dxa"/>
              <w:left w:w="110" w:type="dxa"/>
              <w:bottom w:w="60" w:type="dxa"/>
              <w:right w:w="110" w:type="dxa"/>
            </w:tcMar>
            <w:shd w:val="clear" w:color="auto" w:fill="F5F7F5"/>
          </w:tcPr>
          <w:p>
            <w:pPr>
              <w:spacing w:after="0"/>
            </w:pPr>
            <w:r>
              <w:rPr>
                <w:b w:val="0"/>
                <w:i w:val="0"/>
                <w:color w:val="16261F"/>
                <w:sz w:val="19"/>
              </w:rPr>
              <w:t>System</w:t>
            </w:r>
          </w:p>
        </w:tc>
        <w:tc>
          <w:tcPr>
            <w:tcW w:type="dxa" w:w="5616"/>
            <w:tcMar>
              <w:top w:w="60" w:type="dxa"/>
              <w:left w:w="110" w:type="dxa"/>
              <w:bottom w:w="60" w:type="dxa"/>
              <w:right w:w="110" w:type="dxa"/>
            </w:tcMar>
            <w:shd w:val="clear" w:color="auto" w:fill="F5F7F5"/>
          </w:tcPr>
          <w:p>
            <w:pPr>
              <w:spacing w:after="0"/>
            </w:pPr>
            <w:r>
              <w:rPr>
                <w:b w:val="0"/>
                <w:i w:val="0"/>
                <w:color w:val="16261F"/>
                <w:sz w:val="19"/>
              </w:rPr>
              <w:t>Scheduled jobs, webhook receivers and synchronisation workers acting without a human operator.</w:t>
            </w:r>
          </w:p>
        </w:tc>
        <w:tc>
          <w:tcPr>
            <w:tcW w:type="dxa" w:w="1872"/>
            <w:tcMar>
              <w:top w:w="60" w:type="dxa"/>
              <w:left w:w="110" w:type="dxa"/>
              <w:bottom w:w="60" w:type="dxa"/>
              <w:right w:w="110" w:type="dxa"/>
            </w:tcMar>
            <w:shd w:val="clear" w:color="auto" w:fill="F5F7F5"/>
          </w:tcPr>
          <w:p>
            <w:pPr>
              <w:spacing w:after="0"/>
            </w:pPr>
            <w:r>
              <w:rPr>
                <w:b w:val="0"/>
                <w:i w:val="0"/>
                <w:color w:val="16261F"/>
                <w:sz w:val="19"/>
              </w:rPr>
              <w:t>Service credentials</w:t>
            </w:r>
          </w:p>
        </w:tc>
      </w:tr>
      <w:tr>
        <w:tc>
          <w:tcPr>
            <w:tcW w:type="dxa" w:w="1872"/>
            <w:tcMar>
              <w:top w:w="60" w:type="dxa"/>
              <w:left w:w="110" w:type="dxa"/>
              <w:bottom w:w="60" w:type="dxa"/>
              <w:right w:w="110" w:type="dxa"/>
            </w:tcMar>
          </w:tcPr>
          <w:p>
            <w:pPr>
              <w:spacing w:after="0"/>
            </w:pPr>
            <w:r>
              <w:rPr>
                <w:b w:val="0"/>
                <w:i w:val="0"/>
                <w:color w:val="16261F"/>
                <w:sz w:val="19"/>
              </w:rPr>
              <w:t>Platform administrator</w:t>
            </w:r>
          </w:p>
        </w:tc>
        <w:tc>
          <w:tcPr>
            <w:tcW w:type="dxa" w:w="5616"/>
            <w:tcMar>
              <w:top w:w="60" w:type="dxa"/>
              <w:left w:w="110" w:type="dxa"/>
              <w:bottom w:w="60" w:type="dxa"/>
              <w:right w:w="110" w:type="dxa"/>
            </w:tcMar>
          </w:tcPr>
          <w:p>
            <w:pPr>
              <w:spacing w:after="0"/>
            </w:pPr>
            <w:r>
              <w:rPr>
                <w:b w:val="0"/>
                <w:i w:val="0"/>
                <w:color w:val="16261F"/>
                <w:sz w:val="19"/>
              </w:rPr>
              <w:t>Platform operations staff with cross-tenant access for support and incident response.</w:t>
            </w:r>
          </w:p>
        </w:tc>
        <w:tc>
          <w:tcPr>
            <w:tcW w:type="dxa" w:w="1872"/>
            <w:tcMar>
              <w:top w:w="60" w:type="dxa"/>
              <w:left w:w="110" w:type="dxa"/>
              <w:bottom w:w="60" w:type="dxa"/>
              <w:right w:w="110" w:type="dxa"/>
            </w:tcMar>
          </w:tcPr>
          <w:p>
            <w:pPr>
              <w:spacing w:after="0"/>
            </w:pPr>
            <w:r>
              <w:rPr>
                <w:b w:val="0"/>
                <w:i w:val="0"/>
                <w:color w:val="16261F"/>
                <w:sz w:val="19"/>
              </w:rPr>
              <w:t>Yes — separate admin realm</w:t>
            </w:r>
          </w:p>
        </w:tc>
      </w:tr>
    </w:tbl>
    <w:p>
      <w:pPr>
        <w:pStyle w:val="Heading2"/>
      </w:pPr>
      <w:r>
        <w:t>3.2 Role reconciliation</w:t>
      </w:r>
    </w:p>
    <w:p>
      <w:pPr>
        <w:spacing w:after="140"/>
      </w:pPr>
      <w:r>
        <w:rPr>
          <w:b w:val="0"/>
          <w:i w:val="0"/>
          <w:color w:val="16261F"/>
          <w:sz w:val="21"/>
        </w:rPr>
        <w:t>The signed MVP defines three roles. The prototype presents five, with no overlap in naming and no Brand Admin. The following six-role model is the reconciliation and supersedes both.</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584"/>
            <w:shd w:val="clear" w:color="auto" w:fill="16261F"/>
            <w:tcMar>
              <w:top w:w="70" w:type="dxa"/>
              <w:left w:w="110" w:type="dxa"/>
              <w:bottom w:w="70" w:type="dxa"/>
              <w:right w:w="110" w:type="dxa"/>
            </w:tcMar>
          </w:tcPr>
          <w:p>
            <w:pPr>
              <w:spacing w:after="0"/>
            </w:pPr>
            <w:r>
              <w:rPr>
                <w:rFonts w:ascii="Calibri" w:hAnsi="Calibri"/>
                <w:b/>
                <w:color w:val="FFFFFF"/>
                <w:sz w:val="18"/>
              </w:rPr>
              <w:t>Role</w:t>
            </w:r>
          </w:p>
        </w:tc>
        <w:tc>
          <w:tcPr>
            <w:tcW w:type="dxa" w:w="2232"/>
            <w:shd w:val="clear" w:color="auto" w:fill="16261F"/>
            <w:tcMar>
              <w:top w:w="70" w:type="dxa"/>
              <w:left w:w="110" w:type="dxa"/>
              <w:bottom w:w="70" w:type="dxa"/>
              <w:right w:w="110" w:type="dxa"/>
            </w:tcMar>
          </w:tcPr>
          <w:p>
            <w:pPr>
              <w:spacing w:after="0"/>
            </w:pPr>
            <w:r>
              <w:rPr>
                <w:rFonts w:ascii="Calibri" w:hAnsi="Calibri"/>
                <w:b/>
                <w:color w:val="FFFFFF"/>
                <w:sz w:val="18"/>
              </w:rPr>
              <w:t>Origin</w:t>
            </w:r>
          </w:p>
        </w:tc>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Brand scope</w:t>
            </w:r>
          </w:p>
        </w:tc>
        <w:tc>
          <w:tcPr>
            <w:tcW w:type="dxa" w:w="4176"/>
            <w:shd w:val="clear" w:color="auto" w:fill="16261F"/>
            <w:tcMar>
              <w:top w:w="70" w:type="dxa"/>
              <w:left w:w="110" w:type="dxa"/>
              <w:bottom w:w="70" w:type="dxa"/>
              <w:right w:w="110" w:type="dxa"/>
            </w:tcMar>
          </w:tcPr>
          <w:p>
            <w:pPr>
              <w:spacing w:after="0"/>
            </w:pPr>
            <w:r>
              <w:rPr>
                <w:rFonts w:ascii="Calibri" w:hAnsi="Calibri"/>
                <w:b/>
                <w:color w:val="FFFFFF"/>
                <w:sz w:val="18"/>
              </w:rPr>
              <w:t>Capability summary</w:t>
            </w:r>
          </w:p>
        </w:tc>
      </w:tr>
      <w:tr>
        <w:tc>
          <w:tcPr>
            <w:tcW w:type="dxa" w:w="1584"/>
            <w:tcMar>
              <w:top w:w="60" w:type="dxa"/>
              <w:left w:w="110" w:type="dxa"/>
              <w:bottom w:w="60" w:type="dxa"/>
              <w:right w:w="110" w:type="dxa"/>
            </w:tcMar>
          </w:tcPr>
          <w:p>
            <w:pPr>
              <w:spacing w:after="0"/>
            </w:pPr>
            <w:r>
              <w:rPr>
                <w:b w:val="0"/>
                <w:i w:val="0"/>
                <w:color w:val="16261F"/>
                <w:sz w:val="19"/>
              </w:rPr>
              <w:t>Merchant Owner</w:t>
            </w:r>
          </w:p>
        </w:tc>
        <w:tc>
          <w:tcPr>
            <w:tcW w:type="dxa" w:w="2232"/>
            <w:tcMar>
              <w:top w:w="60" w:type="dxa"/>
              <w:left w:w="110" w:type="dxa"/>
              <w:bottom w:w="60" w:type="dxa"/>
              <w:right w:w="110" w:type="dxa"/>
            </w:tcMar>
          </w:tcPr>
          <w:p>
            <w:pPr>
              <w:spacing w:after="0"/>
            </w:pPr>
            <w:r>
              <w:rPr>
                <w:b w:val="0"/>
                <w:i w:val="0"/>
                <w:color w:val="16261F"/>
                <w:sz w:val="19"/>
              </w:rPr>
              <w:t>MVP 'Merchant Role'; prototype 'Merchant Owner'</w:t>
            </w:r>
          </w:p>
        </w:tc>
        <w:tc>
          <w:tcPr>
            <w:tcW w:type="dxa" w:w="1368"/>
            <w:tcMar>
              <w:top w:w="60" w:type="dxa"/>
              <w:left w:w="110" w:type="dxa"/>
              <w:bottom w:w="60" w:type="dxa"/>
              <w:right w:w="110" w:type="dxa"/>
            </w:tcMar>
          </w:tcPr>
          <w:p>
            <w:pPr>
              <w:spacing w:after="0"/>
            </w:pPr>
            <w:r>
              <w:rPr>
                <w:b w:val="0"/>
                <w:i w:val="0"/>
                <w:color w:val="16261F"/>
                <w:sz w:val="19"/>
              </w:rPr>
              <w:t>All brands</w:t>
            </w:r>
          </w:p>
        </w:tc>
        <w:tc>
          <w:tcPr>
            <w:tcW w:type="dxa" w:w="4176"/>
            <w:tcMar>
              <w:top w:w="60" w:type="dxa"/>
              <w:left w:w="110" w:type="dxa"/>
              <w:bottom w:w="60" w:type="dxa"/>
              <w:right w:w="110" w:type="dxa"/>
            </w:tcMar>
          </w:tcPr>
          <w:p>
            <w:pPr>
              <w:spacing w:after="0"/>
            </w:pPr>
            <w:r>
              <w:rPr>
                <w:b w:val="0"/>
                <w:i w:val="0"/>
                <w:color w:val="16261F"/>
                <w:sz w:val="19"/>
              </w:rPr>
              <w:t>Unrestricted. Sole role able to manage billing, plan and organisation deletion.</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Merchant Admin</w:t>
            </w:r>
          </w:p>
        </w:tc>
        <w:tc>
          <w:tcPr>
            <w:tcW w:type="dxa" w:w="2232"/>
            <w:tcMar>
              <w:top w:w="60" w:type="dxa"/>
              <w:left w:w="110" w:type="dxa"/>
              <w:bottom w:w="60" w:type="dxa"/>
              <w:right w:w="110" w:type="dxa"/>
            </w:tcMar>
            <w:shd w:val="clear" w:color="auto" w:fill="F5F7F5"/>
          </w:tcPr>
          <w:p>
            <w:pPr>
              <w:spacing w:after="0"/>
            </w:pPr>
            <w:r>
              <w:rPr>
                <w:b w:val="0"/>
                <w:i w:val="0"/>
                <w:color w:val="16261F"/>
                <w:sz w:val="19"/>
              </w:rPr>
              <w:t>MVP and prototype (both)</w:t>
            </w:r>
          </w:p>
        </w:tc>
        <w:tc>
          <w:tcPr>
            <w:tcW w:type="dxa" w:w="1368"/>
            <w:tcMar>
              <w:top w:w="60" w:type="dxa"/>
              <w:left w:w="110" w:type="dxa"/>
              <w:bottom w:w="60" w:type="dxa"/>
              <w:right w:w="110" w:type="dxa"/>
            </w:tcMar>
            <w:shd w:val="clear" w:color="auto" w:fill="F5F7F5"/>
          </w:tcPr>
          <w:p>
            <w:pPr>
              <w:spacing w:after="0"/>
            </w:pPr>
            <w:r>
              <w:rPr>
                <w:b w:val="0"/>
                <w:i w:val="0"/>
                <w:color w:val="16261F"/>
                <w:sz w:val="19"/>
              </w:rPr>
              <w:t>All brands</w:t>
            </w:r>
          </w:p>
        </w:tc>
        <w:tc>
          <w:tcPr>
            <w:tcW w:type="dxa" w:w="4176"/>
            <w:tcMar>
              <w:top w:w="60" w:type="dxa"/>
              <w:left w:w="110" w:type="dxa"/>
              <w:bottom w:w="60" w:type="dxa"/>
              <w:right w:w="110" w:type="dxa"/>
            </w:tcMar>
            <w:shd w:val="clear" w:color="auto" w:fill="F5F7F5"/>
          </w:tcPr>
          <w:p>
            <w:pPr>
              <w:spacing w:after="0"/>
            </w:pPr>
            <w:r>
              <w:rPr>
                <w:b w:val="0"/>
                <w:i w:val="0"/>
                <w:color w:val="16261F"/>
                <w:sz w:val="19"/>
              </w:rPr>
              <w:t>Full operational and configuration rights on every brand. Cannot change plan or delete the organisation.</w:t>
            </w:r>
          </w:p>
        </w:tc>
      </w:tr>
      <w:tr>
        <w:tc>
          <w:tcPr>
            <w:tcW w:type="dxa" w:w="1584"/>
            <w:tcMar>
              <w:top w:w="60" w:type="dxa"/>
              <w:left w:w="110" w:type="dxa"/>
              <w:bottom w:w="60" w:type="dxa"/>
              <w:right w:w="110" w:type="dxa"/>
            </w:tcMar>
          </w:tcPr>
          <w:p>
            <w:pPr>
              <w:spacing w:after="0"/>
            </w:pPr>
            <w:r>
              <w:rPr>
                <w:b w:val="0"/>
                <w:i w:val="0"/>
                <w:color w:val="16261F"/>
                <w:sz w:val="19"/>
              </w:rPr>
              <w:t>Brand Admin</w:t>
            </w:r>
          </w:p>
        </w:tc>
        <w:tc>
          <w:tcPr>
            <w:tcW w:type="dxa" w:w="2232"/>
            <w:tcMar>
              <w:top w:w="60" w:type="dxa"/>
              <w:left w:w="110" w:type="dxa"/>
              <w:bottom w:w="60" w:type="dxa"/>
              <w:right w:w="110" w:type="dxa"/>
            </w:tcMar>
          </w:tcPr>
          <w:p>
            <w:pPr>
              <w:spacing w:after="0"/>
            </w:pPr>
            <w:r>
              <w:rPr>
                <w:b w:val="0"/>
                <w:i w:val="0"/>
                <w:color w:val="16261F"/>
                <w:sz w:val="19"/>
              </w:rPr>
              <w:t>MVP only — absent from prototype</w:t>
            </w:r>
          </w:p>
        </w:tc>
        <w:tc>
          <w:tcPr>
            <w:tcW w:type="dxa" w:w="1368"/>
            <w:tcMar>
              <w:top w:w="60" w:type="dxa"/>
              <w:left w:w="110" w:type="dxa"/>
              <w:bottom w:w="60" w:type="dxa"/>
              <w:right w:w="110" w:type="dxa"/>
            </w:tcMar>
          </w:tcPr>
          <w:p>
            <w:pPr>
              <w:spacing w:after="0"/>
            </w:pPr>
            <w:r>
              <w:rPr>
                <w:b w:val="0"/>
                <w:i w:val="0"/>
                <w:color w:val="16261F"/>
                <w:sz w:val="19"/>
              </w:rPr>
              <w:t>Assigned brands</w:t>
            </w:r>
          </w:p>
        </w:tc>
        <w:tc>
          <w:tcPr>
            <w:tcW w:type="dxa" w:w="4176"/>
            <w:tcMar>
              <w:top w:w="60" w:type="dxa"/>
              <w:left w:w="110" w:type="dxa"/>
              <w:bottom w:w="60" w:type="dxa"/>
              <w:right w:w="110" w:type="dxa"/>
            </w:tcMar>
          </w:tcPr>
          <w:p>
            <w:pPr>
              <w:spacing w:after="0"/>
            </w:pPr>
            <w:r>
              <w:rPr>
                <w:b w:val="0"/>
                <w:i w:val="0"/>
                <w:color w:val="16261F"/>
                <w:sz w:val="19"/>
              </w:rPr>
              <w:t>Full rights within assigned brands, including brand configuration, templates, domain and integrations.</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Finance User</w:t>
            </w:r>
          </w:p>
        </w:tc>
        <w:tc>
          <w:tcPr>
            <w:tcW w:type="dxa" w:w="2232"/>
            <w:tcMar>
              <w:top w:w="60" w:type="dxa"/>
              <w:left w:w="110" w:type="dxa"/>
              <w:bottom w:w="60" w:type="dxa"/>
              <w:right w:w="110" w:type="dxa"/>
            </w:tcMar>
            <w:shd w:val="clear" w:color="auto" w:fill="F5F7F5"/>
          </w:tcPr>
          <w:p>
            <w:pPr>
              <w:spacing w:after="0"/>
            </w:pPr>
            <w:r>
              <w:rPr>
                <w:b w:val="0"/>
                <w:i w:val="0"/>
                <w:color w:val="16261F"/>
                <w:sz w:val="19"/>
              </w:rPr>
              <w:t>Prototype only</w:t>
            </w:r>
          </w:p>
        </w:tc>
        <w:tc>
          <w:tcPr>
            <w:tcW w:type="dxa" w:w="1368"/>
            <w:tcMar>
              <w:top w:w="60" w:type="dxa"/>
              <w:left w:w="110" w:type="dxa"/>
              <w:bottom w:w="60" w:type="dxa"/>
              <w:right w:w="110" w:type="dxa"/>
            </w:tcMar>
            <w:shd w:val="clear" w:color="auto" w:fill="F5F7F5"/>
          </w:tcPr>
          <w:p>
            <w:pPr>
              <w:spacing w:after="0"/>
            </w:pPr>
            <w:r>
              <w:rPr>
                <w:b w:val="0"/>
                <w:i w:val="0"/>
                <w:color w:val="16261F"/>
                <w:sz w:val="19"/>
              </w:rPr>
              <w:t>Assigned brands</w:t>
            </w:r>
          </w:p>
        </w:tc>
        <w:tc>
          <w:tcPr>
            <w:tcW w:type="dxa" w:w="4176"/>
            <w:tcMar>
              <w:top w:w="60" w:type="dxa"/>
              <w:left w:w="110" w:type="dxa"/>
              <w:bottom w:w="60" w:type="dxa"/>
              <w:right w:w="110" w:type="dxa"/>
            </w:tcMar>
            <w:shd w:val="clear" w:color="auto" w:fill="F5F7F5"/>
          </w:tcPr>
          <w:p>
            <w:pPr>
              <w:spacing w:after="0"/>
            </w:pPr>
            <w:r>
              <w:rPr>
                <w:b w:val="0"/>
                <w:i w:val="0"/>
                <w:color w:val="16261F"/>
                <w:sz w:val="19"/>
              </w:rPr>
              <w:t>Create and edit invoices, record and reconcile payments, approve or reject checks. No configuration rights.</w:t>
            </w:r>
          </w:p>
        </w:tc>
      </w:tr>
      <w:tr>
        <w:tc>
          <w:tcPr>
            <w:tcW w:type="dxa" w:w="1584"/>
            <w:tcMar>
              <w:top w:w="60" w:type="dxa"/>
              <w:left w:w="110" w:type="dxa"/>
              <w:bottom w:w="60" w:type="dxa"/>
              <w:right w:w="110" w:type="dxa"/>
            </w:tcMar>
          </w:tcPr>
          <w:p>
            <w:pPr>
              <w:spacing w:after="0"/>
            </w:pPr>
            <w:r>
              <w:rPr>
                <w:b w:val="0"/>
                <w:i w:val="0"/>
                <w:color w:val="16261F"/>
                <w:sz w:val="19"/>
              </w:rPr>
              <w:t>Sales User</w:t>
            </w:r>
          </w:p>
        </w:tc>
        <w:tc>
          <w:tcPr>
            <w:tcW w:type="dxa" w:w="2232"/>
            <w:tcMar>
              <w:top w:w="60" w:type="dxa"/>
              <w:left w:w="110" w:type="dxa"/>
              <w:bottom w:w="60" w:type="dxa"/>
              <w:right w:w="110" w:type="dxa"/>
            </w:tcMar>
          </w:tcPr>
          <w:p>
            <w:pPr>
              <w:spacing w:after="0"/>
            </w:pPr>
            <w:r>
              <w:rPr>
                <w:b w:val="0"/>
                <w:i w:val="0"/>
                <w:color w:val="16261F"/>
                <w:sz w:val="19"/>
              </w:rPr>
              <w:t>Prototype only</w:t>
            </w:r>
          </w:p>
        </w:tc>
        <w:tc>
          <w:tcPr>
            <w:tcW w:type="dxa" w:w="1368"/>
            <w:tcMar>
              <w:top w:w="60" w:type="dxa"/>
              <w:left w:w="110" w:type="dxa"/>
              <w:bottom w:w="60" w:type="dxa"/>
              <w:right w:w="110" w:type="dxa"/>
            </w:tcMar>
          </w:tcPr>
          <w:p>
            <w:pPr>
              <w:spacing w:after="0"/>
            </w:pPr>
            <w:r>
              <w:rPr>
                <w:b w:val="0"/>
                <w:i w:val="0"/>
                <w:color w:val="16261F"/>
                <w:sz w:val="19"/>
              </w:rPr>
              <w:t>Assigned brands</w:t>
            </w:r>
          </w:p>
        </w:tc>
        <w:tc>
          <w:tcPr>
            <w:tcW w:type="dxa" w:w="4176"/>
            <w:tcMar>
              <w:top w:w="60" w:type="dxa"/>
              <w:left w:w="110" w:type="dxa"/>
              <w:bottom w:w="60" w:type="dxa"/>
              <w:right w:w="110" w:type="dxa"/>
            </w:tcMar>
          </w:tcPr>
          <w:p>
            <w:pPr>
              <w:spacing w:after="0"/>
            </w:pPr>
            <w:r>
              <w:rPr>
                <w:b w:val="0"/>
                <w:i w:val="0"/>
                <w:color w:val="16261F"/>
                <w:sz w:val="19"/>
              </w:rPr>
              <w:t>Create and edit customers and invoices. May send invoices. View-only on payments. No configuration rights.</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Read Only User</w:t>
            </w:r>
          </w:p>
        </w:tc>
        <w:tc>
          <w:tcPr>
            <w:tcW w:type="dxa" w:w="2232"/>
            <w:tcMar>
              <w:top w:w="60" w:type="dxa"/>
              <w:left w:w="110" w:type="dxa"/>
              <w:bottom w:w="60" w:type="dxa"/>
              <w:right w:w="110" w:type="dxa"/>
            </w:tcMar>
            <w:shd w:val="clear" w:color="auto" w:fill="F5F7F5"/>
          </w:tcPr>
          <w:p>
            <w:pPr>
              <w:spacing w:after="0"/>
            </w:pPr>
            <w:r>
              <w:rPr>
                <w:b w:val="0"/>
                <w:i w:val="0"/>
                <w:color w:val="16261F"/>
                <w:sz w:val="19"/>
              </w:rPr>
              <w:t>Prototype only</w:t>
            </w:r>
          </w:p>
        </w:tc>
        <w:tc>
          <w:tcPr>
            <w:tcW w:type="dxa" w:w="1368"/>
            <w:tcMar>
              <w:top w:w="60" w:type="dxa"/>
              <w:left w:w="110" w:type="dxa"/>
              <w:bottom w:w="60" w:type="dxa"/>
              <w:right w:w="110" w:type="dxa"/>
            </w:tcMar>
            <w:shd w:val="clear" w:color="auto" w:fill="F5F7F5"/>
          </w:tcPr>
          <w:p>
            <w:pPr>
              <w:spacing w:after="0"/>
            </w:pPr>
            <w:r>
              <w:rPr>
                <w:b w:val="0"/>
                <w:i w:val="0"/>
                <w:color w:val="16261F"/>
                <w:sz w:val="19"/>
              </w:rPr>
              <w:t>Assigned brands</w:t>
            </w:r>
          </w:p>
        </w:tc>
        <w:tc>
          <w:tcPr>
            <w:tcW w:type="dxa" w:w="4176"/>
            <w:tcMar>
              <w:top w:w="60" w:type="dxa"/>
              <w:left w:w="110" w:type="dxa"/>
              <w:bottom w:w="60" w:type="dxa"/>
              <w:right w:w="110" w:type="dxa"/>
            </w:tcMar>
            <w:shd w:val="clear" w:color="auto" w:fill="F5F7F5"/>
          </w:tcPr>
          <w:p>
            <w:pPr>
              <w:spacing w:after="0"/>
            </w:pPr>
            <w:r>
              <w:rPr>
                <w:b w:val="0"/>
                <w:i w:val="0"/>
                <w:color w:val="16261F"/>
                <w:sz w:val="19"/>
              </w:rPr>
              <w:t>View invoices, customers, payments and reports. No mutation of any kind. No access to configuration.</w:t>
            </w:r>
          </w:p>
        </w:tc>
      </w:tr>
    </w:tbl>
    <w:p>
      <w:pPr>
        <w:pStyle w:val="Heading2"/>
      </w:pPr>
      <w:r>
        <w:t>3.3 Permission matrix</w:t>
      </w:r>
    </w:p>
    <w:p>
      <w:pPr>
        <w:spacing w:after="140"/>
      </w:pPr>
      <w:r>
        <w:rPr>
          <w:b w:val="0"/>
          <w:i w:val="0"/>
          <w:color w:val="16261F"/>
          <w:sz w:val="21"/>
        </w:rPr>
        <w:t>Read = R, Create/Update = W, Delete/Void = D, Approve = A, no access = blank. All rights are further constrained by brand assignment.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337"/>
        <w:gridCol w:w="1337"/>
        <w:gridCol w:w="1337"/>
        <w:gridCol w:w="1337"/>
        <w:gridCol w:w="1337"/>
        <w:gridCol w:w="1337"/>
        <w:gridCol w:w="1337"/>
      </w:tblGrid>
      <w:tr>
        <w:trPr>
          <w:tblHeader w:val="true"/>
        </w:trPr>
        <w:tc>
          <w:tcPr>
            <w:tcW w:type="dxa" w:w="2880"/>
            <w:shd w:val="clear" w:color="auto" w:fill="16261F"/>
            <w:tcMar>
              <w:top w:w="70" w:type="dxa"/>
              <w:left w:w="110" w:type="dxa"/>
              <w:bottom w:w="70" w:type="dxa"/>
              <w:right w:w="110" w:type="dxa"/>
            </w:tcMar>
          </w:tcPr>
          <w:p>
            <w:pPr>
              <w:spacing w:after="0"/>
            </w:pPr>
            <w:r>
              <w:rPr>
                <w:rFonts w:ascii="Calibri" w:hAnsi="Calibri"/>
                <w:b/>
                <w:color w:val="FFFFFF"/>
                <w:sz w:val="18"/>
              </w:rPr>
              <w:t>Resource</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Owner</w:t>
            </w:r>
          </w:p>
        </w:tc>
        <w:tc>
          <w:tcPr>
            <w:tcW w:type="dxa" w:w="1123"/>
            <w:shd w:val="clear" w:color="auto" w:fill="16261F"/>
            <w:tcMar>
              <w:top w:w="70" w:type="dxa"/>
              <w:left w:w="110" w:type="dxa"/>
              <w:bottom w:w="70" w:type="dxa"/>
              <w:right w:w="110" w:type="dxa"/>
            </w:tcMar>
          </w:tcPr>
          <w:p>
            <w:pPr>
              <w:spacing w:after="0"/>
              <w:jc w:val="center"/>
            </w:pPr>
            <w:r>
              <w:rPr>
                <w:rFonts w:ascii="Calibri" w:hAnsi="Calibri"/>
                <w:b/>
                <w:color w:val="FFFFFF"/>
                <w:sz w:val="18"/>
              </w:rPr>
              <w:t>M.Admin</w:t>
            </w:r>
          </w:p>
        </w:tc>
        <w:tc>
          <w:tcPr>
            <w:tcW w:type="dxa" w:w="1123"/>
            <w:shd w:val="clear" w:color="auto" w:fill="16261F"/>
            <w:tcMar>
              <w:top w:w="70" w:type="dxa"/>
              <w:left w:w="110" w:type="dxa"/>
              <w:bottom w:w="70" w:type="dxa"/>
              <w:right w:w="110" w:type="dxa"/>
            </w:tcMar>
          </w:tcPr>
          <w:p>
            <w:pPr>
              <w:spacing w:after="0"/>
              <w:jc w:val="center"/>
            </w:pPr>
            <w:r>
              <w:rPr>
                <w:rFonts w:ascii="Calibri" w:hAnsi="Calibri"/>
                <w:b/>
                <w:color w:val="FFFFFF"/>
                <w:sz w:val="18"/>
              </w:rPr>
              <w:t>B.Admin</w:t>
            </w:r>
          </w:p>
        </w:tc>
        <w:tc>
          <w:tcPr>
            <w:tcW w:type="dxa" w:w="1080"/>
            <w:shd w:val="clear" w:color="auto" w:fill="16261F"/>
            <w:tcMar>
              <w:top w:w="70" w:type="dxa"/>
              <w:left w:w="110" w:type="dxa"/>
              <w:bottom w:w="70" w:type="dxa"/>
              <w:right w:w="110" w:type="dxa"/>
            </w:tcMar>
          </w:tcPr>
          <w:p>
            <w:pPr>
              <w:spacing w:after="0"/>
              <w:jc w:val="center"/>
            </w:pPr>
            <w:r>
              <w:rPr>
                <w:rFonts w:ascii="Calibri" w:hAnsi="Calibri"/>
                <w:b/>
                <w:color w:val="FFFFFF"/>
                <w:sz w:val="18"/>
              </w:rPr>
              <w:t>Finance</w:t>
            </w:r>
          </w:p>
        </w:tc>
        <w:tc>
          <w:tcPr>
            <w:tcW w:type="dxa" w:w="907"/>
            <w:shd w:val="clear" w:color="auto" w:fill="16261F"/>
            <w:tcMar>
              <w:top w:w="70" w:type="dxa"/>
              <w:left w:w="110" w:type="dxa"/>
              <w:bottom w:w="70" w:type="dxa"/>
              <w:right w:w="110" w:type="dxa"/>
            </w:tcMar>
          </w:tcPr>
          <w:p>
            <w:pPr>
              <w:spacing w:after="0"/>
              <w:jc w:val="center"/>
            </w:pPr>
            <w:r>
              <w:rPr>
                <w:rFonts w:ascii="Calibri" w:hAnsi="Calibri"/>
                <w:b/>
                <w:color w:val="FFFFFF"/>
                <w:sz w:val="18"/>
              </w:rPr>
              <w:t>Sales</w:t>
            </w:r>
          </w:p>
        </w:tc>
        <w:tc>
          <w:tcPr>
            <w:tcW w:type="dxa" w:w="864"/>
            <w:shd w:val="clear" w:color="auto" w:fill="16261F"/>
            <w:tcMar>
              <w:top w:w="70" w:type="dxa"/>
              <w:left w:w="110" w:type="dxa"/>
              <w:bottom w:w="70" w:type="dxa"/>
              <w:right w:w="110" w:type="dxa"/>
            </w:tcMar>
          </w:tcPr>
          <w:p>
            <w:pPr>
              <w:spacing w:after="0"/>
              <w:jc w:val="center"/>
            </w:pPr>
            <w:r>
              <w:rPr>
                <w:rFonts w:ascii="Calibri" w:hAnsi="Calibri"/>
                <w:b/>
                <w:color w:val="FFFFFF"/>
                <w:sz w:val="18"/>
              </w:rPr>
              <w:t>Read</w:t>
            </w:r>
          </w:p>
        </w:tc>
      </w:tr>
      <w:tr>
        <w:tc>
          <w:tcPr>
            <w:tcW w:type="dxa" w:w="2880"/>
            <w:tcMar>
              <w:top w:w="60" w:type="dxa"/>
              <w:left w:w="110" w:type="dxa"/>
              <w:bottom w:w="60" w:type="dxa"/>
              <w:right w:w="110" w:type="dxa"/>
            </w:tcMar>
          </w:tcPr>
          <w:p>
            <w:pPr>
              <w:spacing w:after="0"/>
            </w:pPr>
            <w:r>
              <w:rPr>
                <w:b w:val="0"/>
                <w:i w:val="0"/>
                <w:color w:val="16261F"/>
                <w:sz w:val="19"/>
              </w:rPr>
              <w:t>Organisation profile</w:t>
            </w:r>
          </w:p>
        </w:tc>
        <w:tc>
          <w:tcPr>
            <w:tcW w:type="dxa" w:w="1037"/>
            <w:tcMar>
              <w:top w:w="60" w:type="dxa"/>
              <w:left w:w="110" w:type="dxa"/>
              <w:bottom w:w="60" w:type="dxa"/>
              <w:right w:w="110" w:type="dxa"/>
            </w:tcMar>
          </w:tcPr>
          <w:p>
            <w:pPr>
              <w:spacing w:after="0"/>
              <w:jc w:val="center"/>
            </w:pPr>
            <w:r>
              <w:rPr>
                <w:b w:val="0"/>
                <w:i w:val="0"/>
                <w:color w:val="16261F"/>
                <w:sz w:val="19"/>
              </w:rPr>
              <w:t>RWD</w:t>
            </w:r>
          </w:p>
        </w:tc>
        <w:tc>
          <w:tcPr>
            <w:tcW w:type="dxa" w:w="1123"/>
            <w:tcMar>
              <w:top w:w="60" w:type="dxa"/>
              <w:left w:w="110" w:type="dxa"/>
              <w:bottom w:w="60" w:type="dxa"/>
              <w:right w:w="110" w:type="dxa"/>
            </w:tcMar>
          </w:tcPr>
          <w:p>
            <w:pPr>
              <w:spacing w:after="0"/>
              <w:jc w:val="center"/>
            </w:pPr>
            <w:r>
              <w:rPr>
                <w:b w:val="0"/>
                <w:i w:val="0"/>
                <w:color w:val="16261F"/>
                <w:sz w:val="19"/>
              </w:rPr>
              <w:t>R</w:t>
            </w:r>
          </w:p>
        </w:tc>
        <w:tc>
          <w:tcPr>
            <w:tcW w:type="dxa" w:w="1123"/>
            <w:tcMar>
              <w:top w:w="60" w:type="dxa"/>
              <w:left w:w="110" w:type="dxa"/>
              <w:bottom w:w="60" w:type="dxa"/>
              <w:right w:w="110" w:type="dxa"/>
            </w:tcMar>
          </w:tcPr>
          <w:p>
            <w:pPr>
              <w:spacing w:after="0"/>
              <w:jc w:val="center"/>
            </w:pPr>
            <w:r>
              <w:rPr>
                <w:b w:val="0"/>
                <w:i w:val="0"/>
                <w:color w:val="16261F"/>
                <w:sz w:val="19"/>
              </w:rPr>
              <w:t>R</w:t>
            </w:r>
          </w:p>
        </w:tc>
        <w:tc>
          <w:tcPr>
            <w:tcW w:type="dxa" w:w="1080"/>
            <w:tcMar>
              <w:top w:w="60" w:type="dxa"/>
              <w:left w:w="110" w:type="dxa"/>
              <w:bottom w:w="60" w:type="dxa"/>
              <w:right w:w="110" w:type="dxa"/>
            </w:tcMar>
          </w:tcPr>
          <w:p>
            <w:pPr>
              <w:spacing w:after="0"/>
              <w:jc w:val="center"/>
            </w:pPr>
            <w:r>
              <w:rPr>
                <w:b w:val="0"/>
                <w:i w:val="0"/>
                <w:color w:val="16261F"/>
                <w:sz w:val="19"/>
              </w:rPr>
              <w:t>R</w:t>
            </w:r>
          </w:p>
        </w:tc>
        <w:tc>
          <w:tcPr>
            <w:tcW w:type="dxa" w:w="907"/>
            <w:tcMar>
              <w:top w:w="60" w:type="dxa"/>
              <w:left w:w="110" w:type="dxa"/>
              <w:bottom w:w="60" w:type="dxa"/>
              <w:right w:w="110" w:type="dxa"/>
            </w:tcMar>
          </w:tcPr>
          <w:p>
            <w:pPr>
              <w:spacing w:after="0"/>
              <w:jc w:val="center"/>
            </w:pPr>
            <w:r>
              <w:rPr>
                <w:b w:val="0"/>
                <w:i w:val="0"/>
                <w:color w:val="16261F"/>
                <w:sz w:val="19"/>
              </w:rPr>
              <w:t>R</w:t>
            </w:r>
          </w:p>
        </w:tc>
        <w:tc>
          <w:tcPr>
            <w:tcW w:type="dxa" w:w="864"/>
            <w:tcMar>
              <w:top w:w="60" w:type="dxa"/>
              <w:left w:w="110" w:type="dxa"/>
              <w:bottom w:w="60" w:type="dxa"/>
              <w:right w:w="110" w:type="dxa"/>
            </w:tcMar>
          </w:tcPr>
          <w:p>
            <w:pPr>
              <w:spacing w:after="0"/>
              <w:jc w:val="center"/>
            </w:pPr>
            <w:r>
              <w:rPr>
                <w:b w:val="0"/>
                <w:i w:val="0"/>
                <w:color w:val="16261F"/>
                <w:sz w:val="19"/>
              </w:rPr>
              <w:t>R</w:t>
            </w:r>
          </w:p>
        </w:tc>
      </w:tr>
      <w:tr>
        <w:tc>
          <w:tcPr>
            <w:tcW w:type="dxa" w:w="2880"/>
            <w:tcMar>
              <w:top w:w="60" w:type="dxa"/>
              <w:left w:w="110" w:type="dxa"/>
              <w:bottom w:w="60" w:type="dxa"/>
              <w:right w:w="110" w:type="dxa"/>
            </w:tcMar>
            <w:shd w:val="clear" w:color="auto" w:fill="F5F7F5"/>
          </w:tcPr>
          <w:p>
            <w:pPr>
              <w:spacing w:after="0"/>
            </w:pPr>
            <w:r>
              <w:rPr>
                <w:b w:val="0"/>
                <w:i w:val="0"/>
                <w:color w:val="16261F"/>
                <w:sz w:val="19"/>
              </w:rPr>
              <w:t>Plan and billing</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9"/>
              </w:rPr>
            </w:r>
          </w:p>
        </w:tc>
      </w:tr>
      <w:tr>
        <w:tc>
          <w:tcPr>
            <w:tcW w:type="dxa" w:w="2880"/>
            <w:tcMar>
              <w:top w:w="60" w:type="dxa"/>
              <w:left w:w="110" w:type="dxa"/>
              <w:bottom w:w="60" w:type="dxa"/>
              <w:right w:w="110" w:type="dxa"/>
            </w:tcMar>
          </w:tcPr>
          <w:p>
            <w:pPr>
              <w:spacing w:after="0"/>
            </w:pPr>
            <w:r>
              <w:rPr>
                <w:b w:val="0"/>
                <w:i w:val="0"/>
                <w:color w:val="16261F"/>
                <w:sz w:val="19"/>
              </w:rPr>
              <w:t>Users and role assignment</w:t>
            </w:r>
          </w:p>
        </w:tc>
        <w:tc>
          <w:tcPr>
            <w:tcW w:type="dxa" w:w="1037"/>
            <w:tcMar>
              <w:top w:w="60" w:type="dxa"/>
              <w:left w:w="110" w:type="dxa"/>
              <w:bottom w:w="60" w:type="dxa"/>
              <w:right w:w="110" w:type="dxa"/>
            </w:tcMar>
          </w:tcPr>
          <w:p>
            <w:pPr>
              <w:spacing w:after="0"/>
              <w:jc w:val="center"/>
            </w:pPr>
            <w:r>
              <w:rPr>
                <w:b w:val="0"/>
                <w:i w:val="0"/>
                <w:color w:val="16261F"/>
                <w:sz w:val="19"/>
              </w:rPr>
              <w:t>RWD</w:t>
            </w:r>
          </w:p>
        </w:tc>
        <w:tc>
          <w:tcPr>
            <w:tcW w:type="dxa" w:w="1123"/>
            <w:tcMar>
              <w:top w:w="60" w:type="dxa"/>
              <w:left w:w="110" w:type="dxa"/>
              <w:bottom w:w="60" w:type="dxa"/>
              <w:right w:w="110" w:type="dxa"/>
            </w:tcMar>
          </w:tcPr>
          <w:p>
            <w:pPr>
              <w:spacing w:after="0"/>
              <w:jc w:val="center"/>
            </w:pPr>
            <w:r>
              <w:rPr>
                <w:b w:val="0"/>
                <w:i w:val="0"/>
                <w:color w:val="16261F"/>
                <w:sz w:val="19"/>
              </w:rPr>
              <w:t>RWD</w:t>
            </w:r>
          </w:p>
        </w:tc>
        <w:tc>
          <w:tcPr>
            <w:tcW w:type="dxa" w:w="1123"/>
            <w:tcMar>
              <w:top w:w="60" w:type="dxa"/>
              <w:left w:w="110" w:type="dxa"/>
              <w:bottom w:w="60" w:type="dxa"/>
              <w:right w:w="110" w:type="dxa"/>
            </w:tcMar>
          </w:tcPr>
          <w:p>
            <w:pPr>
              <w:spacing w:after="0"/>
              <w:jc w:val="center"/>
            </w:pPr>
            <w:r>
              <w:rPr>
                <w:b w:val="0"/>
                <w:i w:val="0"/>
                <w:color w:val="16261F"/>
                <w:sz w:val="19"/>
              </w:rPr>
              <w:t>RW*</w:t>
            </w:r>
          </w:p>
        </w:tc>
        <w:tc>
          <w:tcPr>
            <w:tcW w:type="dxa" w:w="1080"/>
            <w:tcMar>
              <w:top w:w="60" w:type="dxa"/>
              <w:left w:w="110" w:type="dxa"/>
              <w:bottom w:w="60" w:type="dxa"/>
              <w:right w:w="110" w:type="dxa"/>
            </w:tcMar>
          </w:tcPr>
          <w:p>
            <w:pPr>
              <w:spacing w:after="0"/>
              <w:jc w:val="center"/>
            </w:pPr>
            <w:r>
              <w:rPr>
                <w:b w:val="0"/>
                <w:i w:val="0"/>
                <w:color w:val="16261F"/>
                <w:sz w:val="19"/>
              </w:rPr>
            </w:r>
          </w:p>
        </w:tc>
        <w:tc>
          <w:tcPr>
            <w:tcW w:type="dxa" w:w="907"/>
            <w:tcMar>
              <w:top w:w="60" w:type="dxa"/>
              <w:left w:w="110" w:type="dxa"/>
              <w:bottom w:w="60" w:type="dxa"/>
              <w:right w:w="110" w:type="dxa"/>
            </w:tcMar>
          </w:tcPr>
          <w:p>
            <w:pPr>
              <w:spacing w:after="0"/>
              <w:jc w:val="center"/>
            </w:pPr>
            <w:r>
              <w:rPr>
                <w:b w:val="0"/>
                <w:i w:val="0"/>
                <w:color w:val="16261F"/>
                <w:sz w:val="19"/>
              </w:rPr>
            </w:r>
          </w:p>
        </w:tc>
        <w:tc>
          <w:tcPr>
            <w:tcW w:type="dxa" w:w="864"/>
            <w:tcMar>
              <w:top w:w="60" w:type="dxa"/>
              <w:left w:w="110" w:type="dxa"/>
              <w:bottom w:w="60" w:type="dxa"/>
              <w:right w:w="110" w:type="dxa"/>
            </w:tcMar>
          </w:tcPr>
          <w:p>
            <w:pPr>
              <w:spacing w:after="0"/>
              <w:jc w:val="center"/>
            </w:pPr>
            <w:r>
              <w:rPr>
                <w:b w:val="0"/>
                <w:i w:val="0"/>
                <w:color w:val="16261F"/>
                <w:sz w:val="19"/>
              </w:rPr>
            </w:r>
          </w:p>
        </w:tc>
      </w:tr>
      <w:tr>
        <w:tc>
          <w:tcPr>
            <w:tcW w:type="dxa" w:w="2880"/>
            <w:tcMar>
              <w:top w:w="60" w:type="dxa"/>
              <w:left w:w="110" w:type="dxa"/>
              <w:bottom w:w="60" w:type="dxa"/>
              <w:right w:w="110" w:type="dxa"/>
            </w:tcMar>
            <w:shd w:val="clear" w:color="auto" w:fill="F5F7F5"/>
          </w:tcPr>
          <w:p>
            <w:pPr>
              <w:spacing w:after="0"/>
            </w:pPr>
            <w:r>
              <w:rPr>
                <w:b w:val="0"/>
                <w:i w:val="0"/>
                <w:color w:val="16261F"/>
                <w:sz w:val="19"/>
              </w:rPr>
              <w:t>Brands — create / archive</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9"/>
              </w:rPr>
            </w:r>
          </w:p>
        </w:tc>
      </w:tr>
      <w:tr>
        <w:tc>
          <w:tcPr>
            <w:tcW w:type="dxa" w:w="2880"/>
            <w:tcMar>
              <w:top w:w="60" w:type="dxa"/>
              <w:left w:w="110" w:type="dxa"/>
              <w:bottom w:w="60" w:type="dxa"/>
              <w:right w:w="110" w:type="dxa"/>
            </w:tcMar>
          </w:tcPr>
          <w:p>
            <w:pPr>
              <w:spacing w:after="0"/>
            </w:pPr>
            <w:r>
              <w:rPr>
                <w:b w:val="0"/>
                <w:i w:val="0"/>
                <w:color w:val="16261F"/>
                <w:sz w:val="19"/>
              </w:rPr>
              <w:t>Brand configuration</w:t>
            </w:r>
          </w:p>
        </w:tc>
        <w:tc>
          <w:tcPr>
            <w:tcW w:type="dxa" w:w="1037"/>
            <w:tcMar>
              <w:top w:w="60" w:type="dxa"/>
              <w:left w:w="110" w:type="dxa"/>
              <w:bottom w:w="60" w:type="dxa"/>
              <w:right w:w="110" w:type="dxa"/>
            </w:tcMar>
          </w:tcPr>
          <w:p>
            <w:pPr>
              <w:spacing w:after="0"/>
              <w:jc w:val="center"/>
            </w:pPr>
            <w:r>
              <w:rPr>
                <w:b w:val="0"/>
                <w:i w:val="0"/>
                <w:color w:val="16261F"/>
                <w:sz w:val="19"/>
              </w:rPr>
              <w:t>RWD</w:t>
            </w:r>
          </w:p>
        </w:tc>
        <w:tc>
          <w:tcPr>
            <w:tcW w:type="dxa" w:w="1123"/>
            <w:tcMar>
              <w:top w:w="60" w:type="dxa"/>
              <w:left w:w="110" w:type="dxa"/>
              <w:bottom w:w="60" w:type="dxa"/>
              <w:right w:w="110" w:type="dxa"/>
            </w:tcMar>
          </w:tcPr>
          <w:p>
            <w:pPr>
              <w:spacing w:after="0"/>
              <w:jc w:val="center"/>
            </w:pPr>
            <w:r>
              <w:rPr>
                <w:b w:val="0"/>
                <w:i w:val="0"/>
                <w:color w:val="16261F"/>
                <w:sz w:val="19"/>
              </w:rPr>
              <w:t>RWD</w:t>
            </w:r>
          </w:p>
        </w:tc>
        <w:tc>
          <w:tcPr>
            <w:tcW w:type="dxa" w:w="1123"/>
            <w:tcMar>
              <w:top w:w="60" w:type="dxa"/>
              <w:left w:w="110" w:type="dxa"/>
              <w:bottom w:w="60" w:type="dxa"/>
              <w:right w:w="110" w:type="dxa"/>
            </w:tcMar>
          </w:tcPr>
          <w:p>
            <w:pPr>
              <w:spacing w:after="0"/>
              <w:jc w:val="center"/>
            </w:pPr>
            <w:r>
              <w:rPr>
                <w:b w:val="0"/>
                <w:i w:val="0"/>
                <w:color w:val="16261F"/>
                <w:sz w:val="19"/>
              </w:rPr>
              <w:t>RWD</w:t>
            </w:r>
          </w:p>
        </w:tc>
        <w:tc>
          <w:tcPr>
            <w:tcW w:type="dxa" w:w="1080"/>
            <w:tcMar>
              <w:top w:w="60" w:type="dxa"/>
              <w:left w:w="110" w:type="dxa"/>
              <w:bottom w:w="60" w:type="dxa"/>
              <w:right w:w="110" w:type="dxa"/>
            </w:tcMar>
          </w:tcPr>
          <w:p>
            <w:pPr>
              <w:spacing w:after="0"/>
              <w:jc w:val="center"/>
            </w:pPr>
            <w:r>
              <w:rPr>
                <w:b w:val="0"/>
                <w:i w:val="0"/>
                <w:color w:val="16261F"/>
                <w:sz w:val="19"/>
              </w:rPr>
              <w:t>R</w:t>
            </w:r>
          </w:p>
        </w:tc>
        <w:tc>
          <w:tcPr>
            <w:tcW w:type="dxa" w:w="907"/>
            <w:tcMar>
              <w:top w:w="60" w:type="dxa"/>
              <w:left w:w="110" w:type="dxa"/>
              <w:bottom w:w="60" w:type="dxa"/>
              <w:right w:w="110" w:type="dxa"/>
            </w:tcMar>
          </w:tcPr>
          <w:p>
            <w:pPr>
              <w:spacing w:after="0"/>
              <w:jc w:val="center"/>
            </w:pPr>
            <w:r>
              <w:rPr>
                <w:b w:val="0"/>
                <w:i w:val="0"/>
                <w:color w:val="16261F"/>
                <w:sz w:val="19"/>
              </w:rPr>
              <w:t>R</w:t>
            </w:r>
          </w:p>
        </w:tc>
        <w:tc>
          <w:tcPr>
            <w:tcW w:type="dxa" w:w="864"/>
            <w:tcMar>
              <w:top w:w="60" w:type="dxa"/>
              <w:left w:w="110" w:type="dxa"/>
              <w:bottom w:w="60" w:type="dxa"/>
              <w:right w:w="110" w:type="dxa"/>
            </w:tcMar>
          </w:tcPr>
          <w:p>
            <w:pPr>
              <w:spacing w:after="0"/>
              <w:jc w:val="center"/>
            </w:pPr>
            <w:r>
              <w:rPr>
                <w:b w:val="0"/>
                <w:i w:val="0"/>
                <w:color w:val="16261F"/>
                <w:sz w:val="19"/>
              </w:rPr>
              <w:t>R</w:t>
            </w:r>
          </w:p>
        </w:tc>
      </w:tr>
      <w:tr>
        <w:tc>
          <w:tcPr>
            <w:tcW w:type="dxa" w:w="2880"/>
            <w:tcMar>
              <w:top w:w="60" w:type="dxa"/>
              <w:left w:w="110" w:type="dxa"/>
              <w:bottom w:w="60" w:type="dxa"/>
              <w:right w:w="110" w:type="dxa"/>
            </w:tcMar>
            <w:shd w:val="clear" w:color="auto" w:fill="F5F7F5"/>
          </w:tcPr>
          <w:p>
            <w:pPr>
              <w:spacing w:after="0"/>
            </w:pPr>
            <w:r>
              <w:rPr>
                <w:b w:val="0"/>
                <w:i w:val="0"/>
                <w:color w:val="16261F"/>
                <w:sz w:val="19"/>
              </w:rPr>
              <w:t>Templates and page designer</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9"/>
              </w:rPr>
              <w:t>R</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9"/>
              </w:rPr>
              <w:t>R</w:t>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9"/>
              </w:rPr>
              <w:t>R</w:t>
            </w:r>
          </w:p>
        </w:tc>
      </w:tr>
      <w:tr>
        <w:tc>
          <w:tcPr>
            <w:tcW w:type="dxa" w:w="2880"/>
            <w:tcMar>
              <w:top w:w="60" w:type="dxa"/>
              <w:left w:w="110" w:type="dxa"/>
              <w:bottom w:w="60" w:type="dxa"/>
              <w:right w:w="110" w:type="dxa"/>
            </w:tcMar>
          </w:tcPr>
          <w:p>
            <w:pPr>
              <w:spacing w:after="0"/>
            </w:pPr>
            <w:r>
              <w:rPr>
                <w:b w:val="0"/>
                <w:i w:val="0"/>
                <w:color w:val="16261F"/>
                <w:sz w:val="19"/>
              </w:rPr>
              <w:t>Custom domain</w:t>
            </w:r>
          </w:p>
        </w:tc>
        <w:tc>
          <w:tcPr>
            <w:tcW w:type="dxa" w:w="1037"/>
            <w:tcMar>
              <w:top w:w="60" w:type="dxa"/>
              <w:left w:w="110" w:type="dxa"/>
              <w:bottom w:w="60" w:type="dxa"/>
              <w:right w:w="110" w:type="dxa"/>
            </w:tcMar>
          </w:tcPr>
          <w:p>
            <w:pPr>
              <w:spacing w:after="0"/>
              <w:jc w:val="center"/>
            </w:pPr>
            <w:r>
              <w:rPr>
                <w:b w:val="0"/>
                <w:i w:val="0"/>
                <w:color w:val="16261F"/>
                <w:sz w:val="19"/>
              </w:rPr>
              <w:t>RWD</w:t>
            </w:r>
          </w:p>
        </w:tc>
        <w:tc>
          <w:tcPr>
            <w:tcW w:type="dxa" w:w="1123"/>
            <w:tcMar>
              <w:top w:w="60" w:type="dxa"/>
              <w:left w:w="110" w:type="dxa"/>
              <w:bottom w:w="60" w:type="dxa"/>
              <w:right w:w="110" w:type="dxa"/>
            </w:tcMar>
          </w:tcPr>
          <w:p>
            <w:pPr>
              <w:spacing w:after="0"/>
              <w:jc w:val="center"/>
            </w:pPr>
            <w:r>
              <w:rPr>
                <w:b w:val="0"/>
                <w:i w:val="0"/>
                <w:color w:val="16261F"/>
                <w:sz w:val="19"/>
              </w:rPr>
              <w:t>RWD</w:t>
            </w:r>
          </w:p>
        </w:tc>
        <w:tc>
          <w:tcPr>
            <w:tcW w:type="dxa" w:w="1123"/>
            <w:tcMar>
              <w:top w:w="60" w:type="dxa"/>
              <w:left w:w="110" w:type="dxa"/>
              <w:bottom w:w="60" w:type="dxa"/>
              <w:right w:w="110" w:type="dxa"/>
            </w:tcMar>
          </w:tcPr>
          <w:p>
            <w:pPr>
              <w:spacing w:after="0"/>
              <w:jc w:val="center"/>
            </w:pPr>
            <w:r>
              <w:rPr>
                <w:b w:val="0"/>
                <w:i w:val="0"/>
                <w:color w:val="16261F"/>
                <w:sz w:val="19"/>
              </w:rPr>
              <w:t>RWD</w:t>
            </w:r>
          </w:p>
        </w:tc>
        <w:tc>
          <w:tcPr>
            <w:tcW w:type="dxa" w:w="1080"/>
            <w:tcMar>
              <w:top w:w="60" w:type="dxa"/>
              <w:left w:w="110" w:type="dxa"/>
              <w:bottom w:w="60" w:type="dxa"/>
              <w:right w:w="110" w:type="dxa"/>
            </w:tcMar>
          </w:tcPr>
          <w:p>
            <w:pPr>
              <w:spacing w:after="0"/>
              <w:jc w:val="center"/>
            </w:pPr>
            <w:r>
              <w:rPr>
                <w:b w:val="0"/>
                <w:i w:val="0"/>
                <w:color w:val="16261F"/>
                <w:sz w:val="19"/>
              </w:rPr>
            </w:r>
          </w:p>
        </w:tc>
        <w:tc>
          <w:tcPr>
            <w:tcW w:type="dxa" w:w="907"/>
            <w:tcMar>
              <w:top w:w="60" w:type="dxa"/>
              <w:left w:w="110" w:type="dxa"/>
              <w:bottom w:w="60" w:type="dxa"/>
              <w:right w:w="110" w:type="dxa"/>
            </w:tcMar>
          </w:tcPr>
          <w:p>
            <w:pPr>
              <w:spacing w:after="0"/>
              <w:jc w:val="center"/>
            </w:pPr>
            <w:r>
              <w:rPr>
                <w:b w:val="0"/>
                <w:i w:val="0"/>
                <w:color w:val="16261F"/>
                <w:sz w:val="19"/>
              </w:rPr>
            </w:r>
          </w:p>
        </w:tc>
        <w:tc>
          <w:tcPr>
            <w:tcW w:type="dxa" w:w="864"/>
            <w:tcMar>
              <w:top w:w="60" w:type="dxa"/>
              <w:left w:w="110" w:type="dxa"/>
              <w:bottom w:w="60" w:type="dxa"/>
              <w:right w:w="110" w:type="dxa"/>
            </w:tcMar>
          </w:tcPr>
          <w:p>
            <w:pPr>
              <w:spacing w:after="0"/>
              <w:jc w:val="center"/>
            </w:pPr>
            <w:r>
              <w:rPr>
                <w:b w:val="0"/>
                <w:i w:val="0"/>
                <w:color w:val="16261F"/>
                <w:sz w:val="19"/>
              </w:rPr>
            </w:r>
          </w:p>
        </w:tc>
      </w:tr>
      <w:tr>
        <w:tc>
          <w:tcPr>
            <w:tcW w:type="dxa" w:w="2880"/>
            <w:tcMar>
              <w:top w:w="60" w:type="dxa"/>
              <w:left w:w="110" w:type="dxa"/>
              <w:bottom w:w="60" w:type="dxa"/>
              <w:right w:w="110" w:type="dxa"/>
            </w:tcMar>
            <w:shd w:val="clear" w:color="auto" w:fill="F5F7F5"/>
          </w:tcPr>
          <w:p>
            <w:pPr>
              <w:spacing w:after="0"/>
            </w:pPr>
            <w:r>
              <w:rPr>
                <w:b w:val="0"/>
                <w:i w:val="0"/>
                <w:color w:val="16261F"/>
                <w:sz w:val="19"/>
              </w:rPr>
              <w:t>Integrations and credentials</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9"/>
              </w:rPr>
              <w:t>R</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9"/>
              </w:rPr>
            </w:r>
          </w:p>
        </w:tc>
      </w:tr>
      <w:tr>
        <w:tc>
          <w:tcPr>
            <w:tcW w:type="dxa" w:w="2880"/>
            <w:tcMar>
              <w:top w:w="60" w:type="dxa"/>
              <w:left w:w="110" w:type="dxa"/>
              <w:bottom w:w="60" w:type="dxa"/>
              <w:right w:w="110" w:type="dxa"/>
            </w:tcMar>
          </w:tcPr>
          <w:p>
            <w:pPr>
              <w:spacing w:after="0"/>
            </w:pPr>
            <w:r>
              <w:rPr>
                <w:b w:val="0"/>
                <w:i w:val="0"/>
                <w:color w:val="16261F"/>
                <w:sz w:val="19"/>
              </w:rPr>
              <w:t>Customers</w:t>
            </w:r>
          </w:p>
        </w:tc>
        <w:tc>
          <w:tcPr>
            <w:tcW w:type="dxa" w:w="1037"/>
            <w:tcMar>
              <w:top w:w="60" w:type="dxa"/>
              <w:left w:w="110" w:type="dxa"/>
              <w:bottom w:w="60" w:type="dxa"/>
              <w:right w:w="110" w:type="dxa"/>
            </w:tcMar>
          </w:tcPr>
          <w:p>
            <w:pPr>
              <w:spacing w:after="0"/>
              <w:jc w:val="center"/>
            </w:pPr>
            <w:r>
              <w:rPr>
                <w:b w:val="0"/>
                <w:i w:val="0"/>
                <w:color w:val="16261F"/>
                <w:sz w:val="19"/>
              </w:rPr>
              <w:t>RWD</w:t>
            </w:r>
          </w:p>
        </w:tc>
        <w:tc>
          <w:tcPr>
            <w:tcW w:type="dxa" w:w="1123"/>
            <w:tcMar>
              <w:top w:w="60" w:type="dxa"/>
              <w:left w:w="110" w:type="dxa"/>
              <w:bottom w:w="60" w:type="dxa"/>
              <w:right w:w="110" w:type="dxa"/>
            </w:tcMar>
          </w:tcPr>
          <w:p>
            <w:pPr>
              <w:spacing w:after="0"/>
              <w:jc w:val="center"/>
            </w:pPr>
            <w:r>
              <w:rPr>
                <w:b w:val="0"/>
                <w:i w:val="0"/>
                <w:color w:val="16261F"/>
                <w:sz w:val="19"/>
              </w:rPr>
              <w:t>RWD</w:t>
            </w:r>
          </w:p>
        </w:tc>
        <w:tc>
          <w:tcPr>
            <w:tcW w:type="dxa" w:w="1123"/>
            <w:tcMar>
              <w:top w:w="60" w:type="dxa"/>
              <w:left w:w="110" w:type="dxa"/>
              <w:bottom w:w="60" w:type="dxa"/>
              <w:right w:w="110" w:type="dxa"/>
            </w:tcMar>
          </w:tcPr>
          <w:p>
            <w:pPr>
              <w:spacing w:after="0"/>
              <w:jc w:val="center"/>
            </w:pPr>
            <w:r>
              <w:rPr>
                <w:b w:val="0"/>
                <w:i w:val="0"/>
                <w:color w:val="16261F"/>
                <w:sz w:val="19"/>
              </w:rPr>
              <w:t>RWD</w:t>
            </w:r>
          </w:p>
        </w:tc>
        <w:tc>
          <w:tcPr>
            <w:tcW w:type="dxa" w:w="1080"/>
            <w:tcMar>
              <w:top w:w="60" w:type="dxa"/>
              <w:left w:w="110" w:type="dxa"/>
              <w:bottom w:w="60" w:type="dxa"/>
              <w:right w:w="110" w:type="dxa"/>
            </w:tcMar>
          </w:tcPr>
          <w:p>
            <w:pPr>
              <w:spacing w:after="0"/>
              <w:jc w:val="center"/>
            </w:pPr>
            <w:r>
              <w:rPr>
                <w:b w:val="0"/>
                <w:i w:val="0"/>
                <w:color w:val="16261F"/>
                <w:sz w:val="19"/>
              </w:rPr>
              <w:t>RW</w:t>
            </w:r>
          </w:p>
        </w:tc>
        <w:tc>
          <w:tcPr>
            <w:tcW w:type="dxa" w:w="907"/>
            <w:tcMar>
              <w:top w:w="60" w:type="dxa"/>
              <w:left w:w="110" w:type="dxa"/>
              <w:bottom w:w="60" w:type="dxa"/>
              <w:right w:w="110" w:type="dxa"/>
            </w:tcMar>
          </w:tcPr>
          <w:p>
            <w:pPr>
              <w:spacing w:after="0"/>
              <w:jc w:val="center"/>
            </w:pPr>
            <w:r>
              <w:rPr>
                <w:b w:val="0"/>
                <w:i w:val="0"/>
                <w:color w:val="16261F"/>
                <w:sz w:val="19"/>
              </w:rPr>
              <w:t>RW</w:t>
            </w:r>
          </w:p>
        </w:tc>
        <w:tc>
          <w:tcPr>
            <w:tcW w:type="dxa" w:w="864"/>
            <w:tcMar>
              <w:top w:w="60" w:type="dxa"/>
              <w:left w:w="110" w:type="dxa"/>
              <w:bottom w:w="60" w:type="dxa"/>
              <w:right w:w="110" w:type="dxa"/>
            </w:tcMar>
          </w:tcPr>
          <w:p>
            <w:pPr>
              <w:spacing w:after="0"/>
              <w:jc w:val="center"/>
            </w:pPr>
            <w:r>
              <w:rPr>
                <w:b w:val="0"/>
                <w:i w:val="0"/>
                <w:color w:val="16261F"/>
                <w:sz w:val="19"/>
              </w:rPr>
              <w:t>R</w:t>
            </w:r>
          </w:p>
        </w:tc>
      </w:tr>
      <w:tr>
        <w:tc>
          <w:tcPr>
            <w:tcW w:type="dxa" w:w="2880"/>
            <w:tcMar>
              <w:top w:w="60" w:type="dxa"/>
              <w:left w:w="110" w:type="dxa"/>
              <w:bottom w:w="60" w:type="dxa"/>
              <w:right w:w="110" w:type="dxa"/>
            </w:tcMar>
            <w:shd w:val="clear" w:color="auto" w:fill="F5F7F5"/>
          </w:tcPr>
          <w:p>
            <w:pPr>
              <w:spacing w:after="0"/>
            </w:pPr>
            <w:r>
              <w:rPr>
                <w:b w:val="0"/>
                <w:i w:val="0"/>
                <w:color w:val="16261F"/>
                <w:sz w:val="19"/>
              </w:rPr>
              <w:t>Invoices</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9"/>
              </w:rPr>
              <w:t>RWDA</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RWDA</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RWDA</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9"/>
              </w:rPr>
              <w:t>RW</w:t>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9"/>
              </w:rPr>
              <w:t>R</w:t>
            </w:r>
          </w:p>
        </w:tc>
      </w:tr>
      <w:tr>
        <w:tc>
          <w:tcPr>
            <w:tcW w:type="dxa" w:w="2880"/>
            <w:tcMar>
              <w:top w:w="60" w:type="dxa"/>
              <w:left w:w="110" w:type="dxa"/>
              <w:bottom w:w="60" w:type="dxa"/>
              <w:right w:w="110" w:type="dxa"/>
            </w:tcMar>
          </w:tcPr>
          <w:p>
            <w:pPr>
              <w:spacing w:after="0"/>
            </w:pPr>
            <w:r>
              <w:rPr>
                <w:b w:val="0"/>
                <w:i w:val="0"/>
                <w:color w:val="16261F"/>
                <w:sz w:val="19"/>
              </w:rPr>
              <w:t>Invoice send / resend</w:t>
            </w:r>
          </w:p>
        </w:tc>
        <w:tc>
          <w:tcPr>
            <w:tcW w:type="dxa" w:w="1037"/>
            <w:tcMar>
              <w:top w:w="60" w:type="dxa"/>
              <w:left w:w="110" w:type="dxa"/>
              <w:bottom w:w="60" w:type="dxa"/>
              <w:right w:w="110" w:type="dxa"/>
            </w:tcMar>
          </w:tcPr>
          <w:p>
            <w:pPr>
              <w:spacing w:after="0"/>
              <w:jc w:val="center"/>
            </w:pPr>
            <w:r>
              <w:rPr>
                <w:b w:val="0"/>
                <w:i w:val="0"/>
                <w:color w:val="16261F"/>
                <w:sz w:val="19"/>
              </w:rPr>
              <w:t>W</w:t>
            </w:r>
          </w:p>
        </w:tc>
        <w:tc>
          <w:tcPr>
            <w:tcW w:type="dxa" w:w="1123"/>
            <w:tcMar>
              <w:top w:w="60" w:type="dxa"/>
              <w:left w:w="110" w:type="dxa"/>
              <w:bottom w:w="60" w:type="dxa"/>
              <w:right w:w="110" w:type="dxa"/>
            </w:tcMar>
          </w:tcPr>
          <w:p>
            <w:pPr>
              <w:spacing w:after="0"/>
              <w:jc w:val="center"/>
            </w:pPr>
            <w:r>
              <w:rPr>
                <w:b w:val="0"/>
                <w:i w:val="0"/>
                <w:color w:val="16261F"/>
                <w:sz w:val="19"/>
              </w:rPr>
              <w:t>W</w:t>
            </w:r>
          </w:p>
        </w:tc>
        <w:tc>
          <w:tcPr>
            <w:tcW w:type="dxa" w:w="1123"/>
            <w:tcMar>
              <w:top w:w="60" w:type="dxa"/>
              <w:left w:w="110" w:type="dxa"/>
              <w:bottom w:w="60" w:type="dxa"/>
              <w:right w:w="110" w:type="dxa"/>
            </w:tcMar>
          </w:tcPr>
          <w:p>
            <w:pPr>
              <w:spacing w:after="0"/>
              <w:jc w:val="center"/>
            </w:pPr>
            <w:r>
              <w:rPr>
                <w:b w:val="0"/>
                <w:i w:val="0"/>
                <w:color w:val="16261F"/>
                <w:sz w:val="19"/>
              </w:rPr>
              <w:t>W</w:t>
            </w:r>
          </w:p>
        </w:tc>
        <w:tc>
          <w:tcPr>
            <w:tcW w:type="dxa" w:w="1080"/>
            <w:tcMar>
              <w:top w:w="60" w:type="dxa"/>
              <w:left w:w="110" w:type="dxa"/>
              <w:bottom w:w="60" w:type="dxa"/>
              <w:right w:w="110" w:type="dxa"/>
            </w:tcMar>
          </w:tcPr>
          <w:p>
            <w:pPr>
              <w:spacing w:after="0"/>
              <w:jc w:val="center"/>
            </w:pPr>
            <w:r>
              <w:rPr>
                <w:b w:val="0"/>
                <w:i w:val="0"/>
                <w:color w:val="16261F"/>
                <w:sz w:val="19"/>
              </w:rPr>
              <w:t>W</w:t>
            </w:r>
          </w:p>
        </w:tc>
        <w:tc>
          <w:tcPr>
            <w:tcW w:type="dxa" w:w="907"/>
            <w:tcMar>
              <w:top w:w="60" w:type="dxa"/>
              <w:left w:w="110" w:type="dxa"/>
              <w:bottom w:w="60" w:type="dxa"/>
              <w:right w:w="110" w:type="dxa"/>
            </w:tcMar>
          </w:tcPr>
          <w:p>
            <w:pPr>
              <w:spacing w:after="0"/>
              <w:jc w:val="center"/>
            </w:pPr>
            <w:r>
              <w:rPr>
                <w:b w:val="0"/>
                <w:i w:val="0"/>
                <w:color w:val="16261F"/>
                <w:sz w:val="19"/>
              </w:rPr>
              <w:t>W</w:t>
            </w:r>
          </w:p>
        </w:tc>
        <w:tc>
          <w:tcPr>
            <w:tcW w:type="dxa" w:w="864"/>
            <w:tcMar>
              <w:top w:w="60" w:type="dxa"/>
              <w:left w:w="110" w:type="dxa"/>
              <w:bottom w:w="60" w:type="dxa"/>
              <w:right w:w="110" w:type="dxa"/>
            </w:tcMar>
          </w:tcPr>
          <w:p>
            <w:pPr>
              <w:spacing w:after="0"/>
              <w:jc w:val="center"/>
            </w:pPr>
            <w:r>
              <w:rPr>
                <w:b w:val="0"/>
                <w:i w:val="0"/>
                <w:color w:val="16261F"/>
                <w:sz w:val="19"/>
              </w:rPr>
            </w:r>
          </w:p>
        </w:tc>
      </w:tr>
      <w:tr>
        <w:tc>
          <w:tcPr>
            <w:tcW w:type="dxa" w:w="2880"/>
            <w:tcMar>
              <w:top w:w="60" w:type="dxa"/>
              <w:left w:w="110" w:type="dxa"/>
              <w:bottom w:w="60" w:type="dxa"/>
              <w:right w:w="110" w:type="dxa"/>
            </w:tcMar>
            <w:shd w:val="clear" w:color="auto" w:fill="F5F7F5"/>
          </w:tcPr>
          <w:p>
            <w:pPr>
              <w:spacing w:after="0"/>
            </w:pPr>
            <w:r>
              <w:rPr>
                <w:b w:val="0"/>
                <w:i w:val="0"/>
                <w:color w:val="16261F"/>
                <w:sz w:val="19"/>
              </w:rPr>
              <w:t>Payments and refunds</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9"/>
              </w:rPr>
              <w:t>RWDA</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RWDA</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RWDA</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9"/>
              </w:rPr>
              <w:t>RWA</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9"/>
              </w:rPr>
              <w:t>R</w:t>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9"/>
              </w:rPr>
              <w:t>R</w:t>
            </w:r>
          </w:p>
        </w:tc>
      </w:tr>
      <w:tr>
        <w:tc>
          <w:tcPr>
            <w:tcW w:type="dxa" w:w="2880"/>
            <w:tcMar>
              <w:top w:w="60" w:type="dxa"/>
              <w:left w:w="110" w:type="dxa"/>
              <w:bottom w:w="60" w:type="dxa"/>
              <w:right w:w="110" w:type="dxa"/>
            </w:tcMar>
          </w:tcPr>
          <w:p>
            <w:pPr>
              <w:spacing w:after="0"/>
            </w:pPr>
            <w:r>
              <w:rPr>
                <w:b w:val="0"/>
                <w:i w:val="0"/>
                <w:color w:val="16261F"/>
                <w:sz w:val="19"/>
              </w:rPr>
              <w:t>Check approval</w:t>
            </w:r>
          </w:p>
        </w:tc>
        <w:tc>
          <w:tcPr>
            <w:tcW w:type="dxa" w:w="1037"/>
            <w:tcMar>
              <w:top w:w="60" w:type="dxa"/>
              <w:left w:w="110" w:type="dxa"/>
              <w:bottom w:w="60" w:type="dxa"/>
              <w:right w:w="110" w:type="dxa"/>
            </w:tcMar>
          </w:tcPr>
          <w:p>
            <w:pPr>
              <w:spacing w:after="0"/>
              <w:jc w:val="center"/>
            </w:pPr>
            <w:r>
              <w:rPr>
                <w:b w:val="0"/>
                <w:i w:val="0"/>
                <w:color w:val="16261F"/>
                <w:sz w:val="19"/>
              </w:rPr>
              <w:t>A</w:t>
            </w:r>
          </w:p>
        </w:tc>
        <w:tc>
          <w:tcPr>
            <w:tcW w:type="dxa" w:w="1123"/>
            <w:tcMar>
              <w:top w:w="60" w:type="dxa"/>
              <w:left w:w="110" w:type="dxa"/>
              <w:bottom w:w="60" w:type="dxa"/>
              <w:right w:w="110" w:type="dxa"/>
            </w:tcMar>
          </w:tcPr>
          <w:p>
            <w:pPr>
              <w:spacing w:after="0"/>
              <w:jc w:val="center"/>
            </w:pPr>
            <w:r>
              <w:rPr>
                <w:b w:val="0"/>
                <w:i w:val="0"/>
                <w:color w:val="16261F"/>
                <w:sz w:val="19"/>
              </w:rPr>
              <w:t>A</w:t>
            </w:r>
          </w:p>
        </w:tc>
        <w:tc>
          <w:tcPr>
            <w:tcW w:type="dxa" w:w="1123"/>
            <w:tcMar>
              <w:top w:w="60" w:type="dxa"/>
              <w:left w:w="110" w:type="dxa"/>
              <w:bottom w:w="60" w:type="dxa"/>
              <w:right w:w="110" w:type="dxa"/>
            </w:tcMar>
          </w:tcPr>
          <w:p>
            <w:pPr>
              <w:spacing w:after="0"/>
              <w:jc w:val="center"/>
            </w:pPr>
            <w:r>
              <w:rPr>
                <w:b w:val="0"/>
                <w:i w:val="0"/>
                <w:color w:val="16261F"/>
                <w:sz w:val="19"/>
              </w:rPr>
              <w:t>A</w:t>
            </w:r>
          </w:p>
        </w:tc>
        <w:tc>
          <w:tcPr>
            <w:tcW w:type="dxa" w:w="1080"/>
            <w:tcMar>
              <w:top w:w="60" w:type="dxa"/>
              <w:left w:w="110" w:type="dxa"/>
              <w:bottom w:w="60" w:type="dxa"/>
              <w:right w:w="110" w:type="dxa"/>
            </w:tcMar>
          </w:tcPr>
          <w:p>
            <w:pPr>
              <w:spacing w:after="0"/>
              <w:jc w:val="center"/>
            </w:pPr>
            <w:r>
              <w:rPr>
                <w:b w:val="0"/>
                <w:i w:val="0"/>
                <w:color w:val="16261F"/>
                <w:sz w:val="19"/>
              </w:rPr>
              <w:t>A</w:t>
            </w:r>
          </w:p>
        </w:tc>
        <w:tc>
          <w:tcPr>
            <w:tcW w:type="dxa" w:w="907"/>
            <w:tcMar>
              <w:top w:w="60" w:type="dxa"/>
              <w:left w:w="110" w:type="dxa"/>
              <w:bottom w:w="60" w:type="dxa"/>
              <w:right w:w="110" w:type="dxa"/>
            </w:tcMar>
          </w:tcPr>
          <w:p>
            <w:pPr>
              <w:spacing w:after="0"/>
              <w:jc w:val="center"/>
            </w:pPr>
            <w:r>
              <w:rPr>
                <w:b w:val="0"/>
                <w:i w:val="0"/>
                <w:color w:val="16261F"/>
                <w:sz w:val="19"/>
              </w:rPr>
            </w:r>
          </w:p>
        </w:tc>
        <w:tc>
          <w:tcPr>
            <w:tcW w:type="dxa" w:w="864"/>
            <w:tcMar>
              <w:top w:w="60" w:type="dxa"/>
              <w:left w:w="110" w:type="dxa"/>
              <w:bottom w:w="60" w:type="dxa"/>
              <w:right w:w="110" w:type="dxa"/>
            </w:tcMar>
          </w:tcPr>
          <w:p>
            <w:pPr>
              <w:spacing w:after="0"/>
              <w:jc w:val="center"/>
            </w:pPr>
            <w:r>
              <w:rPr>
                <w:b w:val="0"/>
                <w:i w:val="0"/>
                <w:color w:val="16261F"/>
                <w:sz w:val="19"/>
              </w:rPr>
            </w:r>
          </w:p>
        </w:tc>
      </w:tr>
      <w:tr>
        <w:tc>
          <w:tcPr>
            <w:tcW w:type="dxa" w:w="2880"/>
            <w:tcMar>
              <w:top w:w="60" w:type="dxa"/>
              <w:left w:w="110" w:type="dxa"/>
              <w:bottom w:w="60" w:type="dxa"/>
              <w:right w:w="110" w:type="dxa"/>
            </w:tcMar>
            <w:shd w:val="clear" w:color="auto" w:fill="F5F7F5"/>
          </w:tcPr>
          <w:p>
            <w:pPr>
              <w:spacing w:after="0"/>
            </w:pPr>
            <w:r>
              <w:rPr>
                <w:b w:val="0"/>
                <w:i w:val="0"/>
                <w:color w:val="16261F"/>
                <w:sz w:val="19"/>
              </w:rPr>
              <w:t>Tax and card fee configuration</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RWD</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9"/>
              </w:rPr>
              <w:t>R</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9"/>
              </w:rPr>
            </w:r>
          </w:p>
        </w:tc>
      </w:tr>
      <w:tr>
        <w:tc>
          <w:tcPr>
            <w:tcW w:type="dxa" w:w="2880"/>
            <w:tcMar>
              <w:top w:w="60" w:type="dxa"/>
              <w:left w:w="110" w:type="dxa"/>
              <w:bottom w:w="60" w:type="dxa"/>
              <w:right w:w="110" w:type="dxa"/>
            </w:tcMar>
          </w:tcPr>
          <w:p>
            <w:pPr>
              <w:spacing w:after="0"/>
            </w:pPr>
            <w:r>
              <w:rPr>
                <w:b w:val="0"/>
                <w:i w:val="0"/>
                <w:color w:val="16261F"/>
                <w:sz w:val="19"/>
              </w:rPr>
              <w:t>Reports and dashboard</w:t>
            </w:r>
          </w:p>
        </w:tc>
        <w:tc>
          <w:tcPr>
            <w:tcW w:type="dxa" w:w="1037"/>
            <w:tcMar>
              <w:top w:w="60" w:type="dxa"/>
              <w:left w:w="110" w:type="dxa"/>
              <w:bottom w:w="60" w:type="dxa"/>
              <w:right w:w="110" w:type="dxa"/>
            </w:tcMar>
          </w:tcPr>
          <w:p>
            <w:pPr>
              <w:spacing w:after="0"/>
              <w:jc w:val="center"/>
            </w:pPr>
            <w:r>
              <w:rPr>
                <w:b w:val="0"/>
                <w:i w:val="0"/>
                <w:color w:val="16261F"/>
                <w:sz w:val="19"/>
              </w:rPr>
              <w:t>R</w:t>
            </w:r>
          </w:p>
        </w:tc>
        <w:tc>
          <w:tcPr>
            <w:tcW w:type="dxa" w:w="1123"/>
            <w:tcMar>
              <w:top w:w="60" w:type="dxa"/>
              <w:left w:w="110" w:type="dxa"/>
              <w:bottom w:w="60" w:type="dxa"/>
              <w:right w:w="110" w:type="dxa"/>
            </w:tcMar>
          </w:tcPr>
          <w:p>
            <w:pPr>
              <w:spacing w:after="0"/>
              <w:jc w:val="center"/>
            </w:pPr>
            <w:r>
              <w:rPr>
                <w:b w:val="0"/>
                <w:i w:val="0"/>
                <w:color w:val="16261F"/>
                <w:sz w:val="19"/>
              </w:rPr>
              <w:t>R</w:t>
            </w:r>
          </w:p>
        </w:tc>
        <w:tc>
          <w:tcPr>
            <w:tcW w:type="dxa" w:w="1123"/>
            <w:tcMar>
              <w:top w:w="60" w:type="dxa"/>
              <w:left w:w="110" w:type="dxa"/>
              <w:bottom w:w="60" w:type="dxa"/>
              <w:right w:w="110" w:type="dxa"/>
            </w:tcMar>
          </w:tcPr>
          <w:p>
            <w:pPr>
              <w:spacing w:after="0"/>
              <w:jc w:val="center"/>
            </w:pPr>
            <w:r>
              <w:rPr>
                <w:b w:val="0"/>
                <w:i w:val="0"/>
                <w:color w:val="16261F"/>
                <w:sz w:val="19"/>
              </w:rPr>
              <w:t>R</w:t>
            </w:r>
          </w:p>
        </w:tc>
        <w:tc>
          <w:tcPr>
            <w:tcW w:type="dxa" w:w="1080"/>
            <w:tcMar>
              <w:top w:w="60" w:type="dxa"/>
              <w:left w:w="110" w:type="dxa"/>
              <w:bottom w:w="60" w:type="dxa"/>
              <w:right w:w="110" w:type="dxa"/>
            </w:tcMar>
          </w:tcPr>
          <w:p>
            <w:pPr>
              <w:spacing w:after="0"/>
              <w:jc w:val="center"/>
            </w:pPr>
            <w:r>
              <w:rPr>
                <w:b w:val="0"/>
                <w:i w:val="0"/>
                <w:color w:val="16261F"/>
                <w:sz w:val="19"/>
              </w:rPr>
              <w:t>R</w:t>
            </w:r>
          </w:p>
        </w:tc>
        <w:tc>
          <w:tcPr>
            <w:tcW w:type="dxa" w:w="907"/>
            <w:tcMar>
              <w:top w:w="60" w:type="dxa"/>
              <w:left w:w="110" w:type="dxa"/>
              <w:bottom w:w="60" w:type="dxa"/>
              <w:right w:w="110" w:type="dxa"/>
            </w:tcMar>
          </w:tcPr>
          <w:p>
            <w:pPr>
              <w:spacing w:after="0"/>
              <w:jc w:val="center"/>
            </w:pPr>
            <w:r>
              <w:rPr>
                <w:b w:val="0"/>
                <w:i w:val="0"/>
                <w:color w:val="16261F"/>
                <w:sz w:val="19"/>
              </w:rPr>
              <w:t>R</w:t>
            </w:r>
          </w:p>
        </w:tc>
        <w:tc>
          <w:tcPr>
            <w:tcW w:type="dxa" w:w="864"/>
            <w:tcMar>
              <w:top w:w="60" w:type="dxa"/>
              <w:left w:w="110" w:type="dxa"/>
              <w:bottom w:w="60" w:type="dxa"/>
              <w:right w:w="110" w:type="dxa"/>
            </w:tcMar>
          </w:tcPr>
          <w:p>
            <w:pPr>
              <w:spacing w:after="0"/>
              <w:jc w:val="center"/>
            </w:pPr>
            <w:r>
              <w:rPr>
                <w:b w:val="0"/>
                <w:i w:val="0"/>
                <w:color w:val="16261F"/>
                <w:sz w:val="19"/>
              </w:rPr>
              <w:t>R</w:t>
            </w:r>
          </w:p>
        </w:tc>
      </w:tr>
      <w:tr>
        <w:tc>
          <w:tcPr>
            <w:tcW w:type="dxa" w:w="2880"/>
            <w:tcMar>
              <w:top w:w="60" w:type="dxa"/>
              <w:left w:w="110" w:type="dxa"/>
              <w:bottom w:w="60" w:type="dxa"/>
              <w:right w:w="110" w:type="dxa"/>
            </w:tcMar>
            <w:shd w:val="clear" w:color="auto" w:fill="F5F7F5"/>
          </w:tcPr>
          <w:p>
            <w:pPr>
              <w:spacing w:after="0"/>
            </w:pPr>
            <w:r>
              <w:rPr>
                <w:b w:val="0"/>
                <w:i w:val="0"/>
                <w:color w:val="16261F"/>
                <w:sz w:val="19"/>
              </w:rPr>
              <w:t>Audit log</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9"/>
              </w:rPr>
              <w:t>R</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9"/>
              </w:rPr>
              <w:t>R**</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9"/>
              </w:rPr>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9"/>
              </w:rPr>
            </w:r>
          </w:p>
        </w:tc>
      </w:tr>
      <w:tr>
        <w:tc>
          <w:tcPr>
            <w:tcW w:type="dxa" w:w="2880"/>
            <w:tcMar>
              <w:top w:w="60" w:type="dxa"/>
              <w:left w:w="110" w:type="dxa"/>
              <w:bottom w:w="60" w:type="dxa"/>
              <w:right w:w="110" w:type="dxa"/>
            </w:tcMar>
          </w:tcPr>
          <w:p>
            <w:pPr>
              <w:spacing w:after="0"/>
            </w:pPr>
            <w:r>
              <w:rPr>
                <w:b w:val="0"/>
                <w:i w:val="0"/>
                <w:color w:val="16261F"/>
                <w:sz w:val="19"/>
              </w:rPr>
              <w:t>System administration</w:t>
            </w:r>
          </w:p>
        </w:tc>
        <w:tc>
          <w:tcPr>
            <w:tcW w:type="dxa" w:w="1037"/>
            <w:tcMar>
              <w:top w:w="60" w:type="dxa"/>
              <w:left w:w="110" w:type="dxa"/>
              <w:bottom w:w="60" w:type="dxa"/>
              <w:right w:w="110" w:type="dxa"/>
            </w:tcMar>
          </w:tcPr>
          <w:p>
            <w:pPr>
              <w:spacing w:after="0"/>
              <w:jc w:val="center"/>
            </w:pPr>
            <w:r>
              <w:rPr>
                <w:b w:val="0"/>
                <w:i w:val="0"/>
                <w:color w:val="16261F"/>
                <w:sz w:val="19"/>
              </w:rPr>
              <w:t>RWD</w:t>
            </w:r>
          </w:p>
        </w:tc>
        <w:tc>
          <w:tcPr>
            <w:tcW w:type="dxa" w:w="1123"/>
            <w:tcMar>
              <w:top w:w="60" w:type="dxa"/>
              <w:left w:w="110" w:type="dxa"/>
              <w:bottom w:w="60" w:type="dxa"/>
              <w:right w:w="110" w:type="dxa"/>
            </w:tcMar>
          </w:tcPr>
          <w:p>
            <w:pPr>
              <w:spacing w:after="0"/>
              <w:jc w:val="center"/>
            </w:pPr>
            <w:r>
              <w:rPr>
                <w:b w:val="0"/>
                <w:i w:val="0"/>
                <w:color w:val="16261F"/>
                <w:sz w:val="19"/>
              </w:rPr>
              <w:t>R</w:t>
            </w:r>
          </w:p>
        </w:tc>
        <w:tc>
          <w:tcPr>
            <w:tcW w:type="dxa" w:w="1123"/>
            <w:tcMar>
              <w:top w:w="60" w:type="dxa"/>
              <w:left w:w="110" w:type="dxa"/>
              <w:bottom w:w="60" w:type="dxa"/>
              <w:right w:w="110" w:type="dxa"/>
            </w:tcMar>
          </w:tcPr>
          <w:p>
            <w:pPr>
              <w:spacing w:after="0"/>
              <w:jc w:val="center"/>
            </w:pPr>
            <w:r>
              <w:rPr>
                <w:b w:val="0"/>
                <w:i w:val="0"/>
                <w:color w:val="16261F"/>
                <w:sz w:val="19"/>
              </w:rPr>
            </w:r>
          </w:p>
        </w:tc>
        <w:tc>
          <w:tcPr>
            <w:tcW w:type="dxa" w:w="1080"/>
            <w:tcMar>
              <w:top w:w="60" w:type="dxa"/>
              <w:left w:w="110" w:type="dxa"/>
              <w:bottom w:w="60" w:type="dxa"/>
              <w:right w:w="110" w:type="dxa"/>
            </w:tcMar>
          </w:tcPr>
          <w:p>
            <w:pPr>
              <w:spacing w:after="0"/>
              <w:jc w:val="center"/>
            </w:pPr>
            <w:r>
              <w:rPr>
                <w:b w:val="0"/>
                <w:i w:val="0"/>
                <w:color w:val="16261F"/>
                <w:sz w:val="19"/>
              </w:rPr>
            </w:r>
          </w:p>
        </w:tc>
        <w:tc>
          <w:tcPr>
            <w:tcW w:type="dxa" w:w="907"/>
            <w:tcMar>
              <w:top w:w="60" w:type="dxa"/>
              <w:left w:w="110" w:type="dxa"/>
              <w:bottom w:w="60" w:type="dxa"/>
              <w:right w:w="110" w:type="dxa"/>
            </w:tcMar>
          </w:tcPr>
          <w:p>
            <w:pPr>
              <w:spacing w:after="0"/>
              <w:jc w:val="center"/>
            </w:pPr>
            <w:r>
              <w:rPr>
                <w:b w:val="0"/>
                <w:i w:val="0"/>
                <w:color w:val="16261F"/>
                <w:sz w:val="19"/>
              </w:rPr>
            </w:r>
          </w:p>
        </w:tc>
        <w:tc>
          <w:tcPr>
            <w:tcW w:type="dxa" w:w="864"/>
            <w:tcMar>
              <w:top w:w="60" w:type="dxa"/>
              <w:left w:w="110" w:type="dxa"/>
              <w:bottom w:w="60" w:type="dxa"/>
              <w:right w:w="110" w:type="dxa"/>
            </w:tcMar>
          </w:tcPr>
          <w:p>
            <w:pPr>
              <w:spacing w:after="0"/>
              <w:jc w:val="center"/>
            </w:pPr>
            <w:r>
              <w:rPr>
                <w:b w:val="0"/>
                <w:i w:val="0"/>
                <w:color w:val="16261F"/>
                <w:sz w:val="19"/>
              </w:rPr>
            </w:r>
          </w:p>
        </w:tc>
      </w:tr>
    </w:tbl>
    <w:p>
      <w:pPr>
        <w:spacing w:after="140"/>
      </w:pPr>
      <w:r>
        <w:rPr>
          <w:b/>
          <w:i w:val="0"/>
          <w:color w:val="16261F"/>
          <w:sz w:val="18"/>
        </w:rPr>
        <w:t xml:space="preserve">* </w:t>
      </w:r>
      <w:r>
        <w:rPr>
          <w:b w:val="0"/>
          <w:i w:val="0"/>
          <w:color w:val="5B6B63"/>
          <w:sz w:val="18"/>
        </w:rPr>
        <w:t xml:space="preserve">Brand Admin may assign users only to brands they administer, and only to roles at or below their own. </w:t>
      </w:r>
      <w:r>
        <w:rPr>
          <w:b/>
          <w:i w:val="0"/>
          <w:color w:val="16261F"/>
          <w:sz w:val="18"/>
        </w:rPr>
        <w:t xml:space="preserve">** </w:t>
      </w:r>
      <w:r>
        <w:rPr>
          <w:b w:val="0"/>
          <w:i w:val="0"/>
          <w:color w:val="5B6B63"/>
          <w:sz w:val="18"/>
        </w:rPr>
        <w:t>Brand Admin sees audit entries for their assigned brands only.</w:t>
      </w:r>
    </w:p>
    <w:p>
      <w:r>
        <w:br w:type="page"/>
      </w:r>
    </w:p>
    <w:p>
      <w:pPr>
        <w:pStyle w:val="Heading1"/>
      </w:pPr>
      <w:r>
        <w:t>4. Domain model and key terminology</w:t>
      </w:r>
    </w:p>
    <w:p>
      <w:pPr>
        <w:pBdr>
          <w:left w:val="single" w:sz="18" w:space="10" w:color="C7862B"/>
        </w:pBdr>
        <w:shd w:val="clear" w:color="auto" w:fill="FBF0DF"/>
        <w:spacing w:before="160" w:after="180"/>
        <w:ind w:left="173"/>
      </w:pPr>
      <w:r>
        <w:rPr>
          <w:b/>
          <w:color w:val="C7862B"/>
          <w:sz w:val="17"/>
        </w:rPr>
        <w:t xml:space="preserve">TERMINOLOGY DECISION  </w:t>
      </w:r>
      <w:r>
        <w:rPr>
          <w:color w:val="16261F"/>
          <w:sz w:val="20"/>
        </w:rPr>
        <w:t>The prototype uses the word 'Vendor' for the party that receives and pays an invoice. This is inverted with respect to both the signed MVP Feature List and Zoho Books, where a Vendor is a party the business pays. This specification adopts the accounting-correct model: Customers are invoiced and pay us; Vendors are billed by us and we pay them. The prototype's 'Vendor' screens become 'Customers' — see GAP-002.</w:t>
      </w:r>
    </w:p>
    <w:p>
      <w:pPr>
        <w:pStyle w:val="Heading2"/>
      </w:pPr>
      <w:r>
        <w:t>4.1 Core entities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Entity</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8"/>
              </w:rPr>
              <w:t>Definition</w:t>
            </w:r>
          </w:p>
        </w:tc>
        <w:tc>
          <w:tcPr>
            <w:tcW w:type="dxa" w:w="1944"/>
            <w:shd w:val="clear" w:color="auto" w:fill="16261F"/>
            <w:tcMar>
              <w:top w:w="70" w:type="dxa"/>
              <w:left w:w="110" w:type="dxa"/>
              <w:bottom w:w="70" w:type="dxa"/>
              <w:right w:w="110" w:type="dxa"/>
            </w:tcMar>
          </w:tcPr>
          <w:p>
            <w:pPr>
              <w:spacing w:after="0"/>
            </w:pPr>
            <w:r>
              <w:rPr>
                <w:rFonts w:ascii="Calibri" w:hAnsi="Calibri"/>
                <w:b/>
                <w:color w:val="FFFFFF"/>
                <w:sz w:val="18"/>
              </w:rPr>
              <w:t>Owns</w:t>
            </w:r>
          </w:p>
        </w:tc>
        <w:tc>
          <w:tcPr>
            <w:tcW w:type="dxa" w:w="1008"/>
            <w:shd w:val="clear" w:color="auto" w:fill="16261F"/>
            <w:tcMar>
              <w:top w:w="70" w:type="dxa"/>
              <w:left w:w="110" w:type="dxa"/>
              <w:bottom w:w="70" w:type="dxa"/>
              <w:right w:w="110" w:type="dxa"/>
            </w:tcMar>
          </w:tcPr>
          <w:p>
            <w:pPr>
              <w:spacing w:after="0"/>
            </w:pPr>
            <w:r>
              <w:rPr>
                <w:rFonts w:ascii="Calibri" w:hAnsi="Calibri"/>
                <w:b/>
                <w:color w:val="FFFFFF"/>
                <w:sz w:val="18"/>
              </w:rPr>
              <w:t>Phase</w:t>
            </w:r>
          </w:p>
        </w:tc>
      </w:tr>
      <w:tr>
        <w:tc>
          <w:tcPr>
            <w:tcW w:type="dxa" w:w="1368"/>
            <w:tcMar>
              <w:top w:w="60" w:type="dxa"/>
              <w:left w:w="110" w:type="dxa"/>
              <w:bottom w:w="60" w:type="dxa"/>
              <w:right w:w="110" w:type="dxa"/>
            </w:tcMar>
          </w:tcPr>
          <w:p>
            <w:pPr>
              <w:spacing w:after="0"/>
            </w:pPr>
            <w:r>
              <w:rPr>
                <w:b w:val="0"/>
                <w:i w:val="0"/>
                <w:color w:val="16261F"/>
                <w:sz w:val="19"/>
              </w:rPr>
              <w:t>Merchant</w:t>
            </w:r>
          </w:p>
        </w:tc>
        <w:tc>
          <w:tcPr>
            <w:tcW w:type="dxa" w:w="4752"/>
            <w:tcMar>
              <w:top w:w="60" w:type="dxa"/>
              <w:left w:w="110" w:type="dxa"/>
              <w:bottom w:w="60" w:type="dxa"/>
              <w:right w:w="110" w:type="dxa"/>
            </w:tcMar>
          </w:tcPr>
          <w:p>
            <w:pPr>
              <w:spacing w:after="0"/>
            </w:pPr>
            <w:r>
              <w:rPr>
                <w:b w:val="0"/>
                <w:i w:val="0"/>
                <w:color w:val="16261F"/>
                <w:sz w:val="19"/>
              </w:rPr>
              <w:t>The top-level tenant. One per client organisation. Holds plan, billing and organisation-wide users.</w:t>
            </w:r>
          </w:p>
        </w:tc>
        <w:tc>
          <w:tcPr>
            <w:tcW w:type="dxa" w:w="1944"/>
            <w:tcMar>
              <w:top w:w="60" w:type="dxa"/>
              <w:left w:w="110" w:type="dxa"/>
              <w:bottom w:w="60" w:type="dxa"/>
              <w:right w:w="110" w:type="dxa"/>
            </w:tcMar>
          </w:tcPr>
          <w:p>
            <w:pPr>
              <w:spacing w:after="0"/>
            </w:pPr>
            <w:r>
              <w:rPr>
                <w:b w:val="0"/>
                <w:i w:val="0"/>
                <w:color w:val="16261F"/>
                <w:sz w:val="19"/>
              </w:rPr>
              <w:t>Brands, Users</w:t>
            </w:r>
          </w:p>
        </w:tc>
        <w:tc>
          <w:tcPr>
            <w:tcW w:type="dxa" w:w="1008"/>
            <w:tcMar>
              <w:top w:w="60" w:type="dxa"/>
              <w:left w:w="110" w:type="dxa"/>
              <w:bottom w:w="60" w:type="dxa"/>
              <w:right w:w="110" w:type="dxa"/>
            </w:tcMar>
          </w:tcPr>
          <w:p>
            <w:pPr>
              <w:spacing w:after="0"/>
            </w:pPr>
            <w:r>
              <w:rPr>
                <w:b/>
                <w:i w:val="0"/>
                <w:color w:val="2D6A6A"/>
                <w:sz w:val="17"/>
              </w:rPr>
              <w:t>MVP</w:t>
            </w:r>
          </w:p>
        </w:tc>
      </w:tr>
      <w:tr>
        <w:tc>
          <w:tcPr>
            <w:tcW w:type="dxa" w:w="1368"/>
            <w:tcMar>
              <w:top w:w="60" w:type="dxa"/>
              <w:left w:w="110" w:type="dxa"/>
              <w:bottom w:w="60" w:type="dxa"/>
              <w:right w:w="110" w:type="dxa"/>
            </w:tcMar>
            <w:shd w:val="clear" w:color="auto" w:fill="F5F7F5"/>
          </w:tcPr>
          <w:p>
            <w:pPr>
              <w:spacing w:after="0"/>
            </w:pPr>
            <w:r>
              <w:rPr>
                <w:b w:val="0"/>
                <w:i w:val="0"/>
                <w:color w:val="16261F"/>
                <w:sz w:val="19"/>
              </w:rPr>
              <w:t>Brand</w:t>
            </w:r>
          </w:p>
        </w:tc>
        <w:tc>
          <w:tcPr>
            <w:tcW w:type="dxa" w:w="4752"/>
            <w:tcMar>
              <w:top w:w="60" w:type="dxa"/>
              <w:left w:w="110" w:type="dxa"/>
              <w:bottom w:w="60" w:type="dxa"/>
              <w:right w:w="110" w:type="dxa"/>
            </w:tcMar>
            <w:shd w:val="clear" w:color="auto" w:fill="F5F7F5"/>
          </w:tcPr>
          <w:p>
            <w:pPr>
              <w:spacing w:after="0"/>
            </w:pPr>
            <w:r>
              <w:rPr>
                <w:b w:val="0"/>
                <w:i w:val="0"/>
                <w:color w:val="16261F"/>
                <w:sz w:val="19"/>
              </w:rPr>
              <w:t>An operating identity within the merchant. Carries its own customers, invoices, templates, domain, integrations and payment configuration.</w:t>
            </w:r>
          </w:p>
        </w:tc>
        <w:tc>
          <w:tcPr>
            <w:tcW w:type="dxa" w:w="1944"/>
            <w:tcMar>
              <w:top w:w="60" w:type="dxa"/>
              <w:left w:w="110" w:type="dxa"/>
              <w:bottom w:w="60" w:type="dxa"/>
              <w:right w:w="110" w:type="dxa"/>
            </w:tcMar>
            <w:shd w:val="clear" w:color="auto" w:fill="F5F7F5"/>
          </w:tcPr>
          <w:p>
            <w:pPr>
              <w:spacing w:after="0"/>
            </w:pPr>
            <w:r>
              <w:rPr>
                <w:b w:val="0"/>
                <w:i w:val="0"/>
                <w:color w:val="16261F"/>
                <w:sz w:val="19"/>
              </w:rPr>
              <w:t>Customers, Invoices, Config</w:t>
            </w:r>
          </w:p>
        </w:tc>
        <w:tc>
          <w:tcPr>
            <w:tcW w:type="dxa" w:w="1008"/>
            <w:tcMar>
              <w:top w:w="60" w:type="dxa"/>
              <w:left w:w="110" w:type="dxa"/>
              <w:bottom w:w="60" w:type="dxa"/>
              <w:right w:w="110" w:type="dxa"/>
            </w:tcMar>
            <w:shd w:val="clear" w:color="auto" w:fill="F5F7F5"/>
          </w:tcPr>
          <w:p>
            <w:pPr>
              <w:spacing w:after="0"/>
            </w:pPr>
            <w:r>
              <w:rPr>
                <w:b/>
                <w:i w:val="0"/>
                <w:color w:val="2D6A6A"/>
                <w:sz w:val="17"/>
              </w:rPr>
              <w:t>MVP</w:t>
            </w:r>
          </w:p>
        </w:tc>
      </w:tr>
      <w:tr>
        <w:tc>
          <w:tcPr>
            <w:tcW w:type="dxa" w:w="1368"/>
            <w:tcMar>
              <w:top w:w="60" w:type="dxa"/>
              <w:left w:w="110" w:type="dxa"/>
              <w:bottom w:w="60" w:type="dxa"/>
              <w:right w:w="110" w:type="dxa"/>
            </w:tcMar>
          </w:tcPr>
          <w:p>
            <w:pPr>
              <w:spacing w:after="0"/>
            </w:pPr>
            <w:r>
              <w:rPr>
                <w:b w:val="0"/>
                <w:i w:val="0"/>
                <w:color w:val="16261F"/>
                <w:sz w:val="19"/>
              </w:rPr>
              <w:t>User</w:t>
            </w:r>
          </w:p>
        </w:tc>
        <w:tc>
          <w:tcPr>
            <w:tcW w:type="dxa" w:w="4752"/>
            <w:tcMar>
              <w:top w:w="60" w:type="dxa"/>
              <w:left w:w="110" w:type="dxa"/>
              <w:bottom w:w="60" w:type="dxa"/>
              <w:right w:w="110" w:type="dxa"/>
            </w:tcMar>
          </w:tcPr>
          <w:p>
            <w:pPr>
              <w:spacing w:after="0"/>
            </w:pPr>
            <w:r>
              <w:rPr>
                <w:b w:val="0"/>
                <w:i w:val="0"/>
                <w:color w:val="16261F"/>
                <w:sz w:val="19"/>
              </w:rPr>
              <w:t>A person who authenticates against the platform. Holds a role and a set of brand assignments.</w:t>
            </w:r>
          </w:p>
        </w:tc>
        <w:tc>
          <w:tcPr>
            <w:tcW w:type="dxa" w:w="1944"/>
            <w:tcMar>
              <w:top w:w="60" w:type="dxa"/>
              <w:left w:w="110" w:type="dxa"/>
              <w:bottom w:w="60" w:type="dxa"/>
              <w:right w:w="110" w:type="dxa"/>
            </w:tcMar>
          </w:tcPr>
          <w:p>
            <w:pPr>
              <w:spacing w:after="0"/>
            </w:pPr>
            <w:r>
              <w:rPr>
                <w:b w:val="0"/>
                <w:i w:val="0"/>
                <w:color w:val="16261F"/>
                <w:sz w:val="19"/>
              </w:rPr>
              <w:t>—</w:t>
            </w:r>
          </w:p>
        </w:tc>
        <w:tc>
          <w:tcPr>
            <w:tcW w:type="dxa" w:w="1008"/>
            <w:tcMar>
              <w:top w:w="60" w:type="dxa"/>
              <w:left w:w="110" w:type="dxa"/>
              <w:bottom w:w="60" w:type="dxa"/>
              <w:right w:w="110" w:type="dxa"/>
            </w:tcMar>
          </w:tcPr>
          <w:p>
            <w:pPr>
              <w:spacing w:after="0"/>
            </w:pPr>
            <w:r>
              <w:rPr>
                <w:b/>
                <w:i w:val="0"/>
                <w:color w:val="2D6A6A"/>
                <w:sz w:val="17"/>
              </w:rPr>
              <w:t>MVP</w:t>
            </w:r>
          </w:p>
        </w:tc>
      </w:tr>
      <w:tr>
        <w:tc>
          <w:tcPr>
            <w:tcW w:type="dxa" w:w="1368"/>
            <w:tcMar>
              <w:top w:w="60" w:type="dxa"/>
              <w:left w:w="110" w:type="dxa"/>
              <w:bottom w:w="60" w:type="dxa"/>
              <w:right w:w="110" w:type="dxa"/>
            </w:tcMar>
            <w:shd w:val="clear" w:color="auto" w:fill="F5F7F5"/>
          </w:tcPr>
          <w:p>
            <w:pPr>
              <w:spacing w:after="0"/>
            </w:pPr>
            <w:r>
              <w:rPr>
                <w:b w:val="0"/>
                <w:i w:val="0"/>
                <w:color w:val="16261F"/>
                <w:sz w:val="19"/>
              </w:rPr>
              <w:t>Customer</w:t>
            </w:r>
          </w:p>
        </w:tc>
        <w:tc>
          <w:tcPr>
            <w:tcW w:type="dxa" w:w="4752"/>
            <w:tcMar>
              <w:top w:w="60" w:type="dxa"/>
              <w:left w:w="110" w:type="dxa"/>
              <w:bottom w:w="60" w:type="dxa"/>
              <w:right w:w="110" w:type="dxa"/>
            </w:tcMar>
            <w:shd w:val="clear" w:color="auto" w:fill="F5F7F5"/>
          </w:tcPr>
          <w:p>
            <w:pPr>
              <w:spacing w:after="0"/>
            </w:pPr>
            <w:r>
              <w:rPr>
                <w:b w:val="0"/>
                <w:i w:val="0"/>
                <w:color w:val="16261F"/>
                <w:sz w:val="19"/>
              </w:rPr>
              <w:t>A business invoiced by a brand. Accounts receivable. Synchronised bidirectionally with Zoho Contacts of type Customer.</w:t>
            </w:r>
          </w:p>
        </w:tc>
        <w:tc>
          <w:tcPr>
            <w:tcW w:type="dxa" w:w="1944"/>
            <w:tcMar>
              <w:top w:w="60" w:type="dxa"/>
              <w:left w:w="110" w:type="dxa"/>
              <w:bottom w:w="60" w:type="dxa"/>
              <w:right w:w="110" w:type="dxa"/>
            </w:tcMar>
            <w:shd w:val="clear" w:color="auto" w:fill="F5F7F5"/>
          </w:tcPr>
          <w:p>
            <w:pPr>
              <w:spacing w:after="0"/>
            </w:pPr>
            <w:r>
              <w:rPr>
                <w:b w:val="0"/>
                <w:i w:val="0"/>
                <w:color w:val="16261F"/>
                <w:sz w:val="19"/>
              </w:rPr>
              <w:t>Invoices, Payments</w:t>
            </w:r>
          </w:p>
        </w:tc>
        <w:tc>
          <w:tcPr>
            <w:tcW w:type="dxa" w:w="1008"/>
            <w:tcMar>
              <w:top w:w="60" w:type="dxa"/>
              <w:left w:w="110" w:type="dxa"/>
              <w:bottom w:w="60" w:type="dxa"/>
              <w:right w:w="110" w:type="dxa"/>
            </w:tcMar>
            <w:shd w:val="clear" w:color="auto" w:fill="F5F7F5"/>
          </w:tcPr>
          <w:p>
            <w:pPr>
              <w:spacing w:after="0"/>
            </w:pPr>
            <w:r>
              <w:rPr>
                <w:b/>
                <w:i w:val="0"/>
                <w:color w:val="2D6A6A"/>
                <w:sz w:val="17"/>
              </w:rPr>
              <w:t>MVP</w:t>
            </w:r>
          </w:p>
        </w:tc>
      </w:tr>
      <w:tr>
        <w:tc>
          <w:tcPr>
            <w:tcW w:type="dxa" w:w="1368"/>
            <w:tcMar>
              <w:top w:w="60" w:type="dxa"/>
              <w:left w:w="110" w:type="dxa"/>
              <w:bottom w:w="60" w:type="dxa"/>
              <w:right w:w="110" w:type="dxa"/>
            </w:tcMar>
          </w:tcPr>
          <w:p>
            <w:pPr>
              <w:spacing w:after="0"/>
            </w:pPr>
            <w:r>
              <w:rPr>
                <w:b w:val="0"/>
                <w:i w:val="0"/>
                <w:color w:val="16261F"/>
                <w:sz w:val="19"/>
              </w:rPr>
              <w:t>Invoice</w:t>
            </w:r>
          </w:p>
        </w:tc>
        <w:tc>
          <w:tcPr>
            <w:tcW w:type="dxa" w:w="4752"/>
            <w:tcMar>
              <w:top w:w="60" w:type="dxa"/>
              <w:left w:w="110" w:type="dxa"/>
              <w:bottom w:w="60" w:type="dxa"/>
              <w:right w:w="110" w:type="dxa"/>
            </w:tcMar>
          </w:tcPr>
          <w:p>
            <w:pPr>
              <w:spacing w:after="0"/>
            </w:pPr>
            <w:r>
              <w:rPr>
                <w:b w:val="0"/>
                <w:i w:val="0"/>
                <w:color w:val="16261F"/>
                <w:sz w:val="19"/>
              </w:rPr>
              <w:t>A demand for payment issued by a brand to a customer. Carries line items, tax, card fee, status and lifecycle history.</w:t>
            </w:r>
          </w:p>
        </w:tc>
        <w:tc>
          <w:tcPr>
            <w:tcW w:type="dxa" w:w="1944"/>
            <w:tcMar>
              <w:top w:w="60" w:type="dxa"/>
              <w:left w:w="110" w:type="dxa"/>
              <w:bottom w:w="60" w:type="dxa"/>
              <w:right w:w="110" w:type="dxa"/>
            </w:tcMar>
          </w:tcPr>
          <w:p>
            <w:pPr>
              <w:spacing w:after="0"/>
            </w:pPr>
            <w:r>
              <w:rPr>
                <w:b w:val="0"/>
                <w:i w:val="0"/>
                <w:color w:val="16261F"/>
                <w:sz w:val="19"/>
              </w:rPr>
              <w:t>Line items, Payments</w:t>
            </w:r>
          </w:p>
        </w:tc>
        <w:tc>
          <w:tcPr>
            <w:tcW w:type="dxa" w:w="1008"/>
            <w:tcMar>
              <w:top w:w="60" w:type="dxa"/>
              <w:left w:w="110" w:type="dxa"/>
              <w:bottom w:w="60" w:type="dxa"/>
              <w:right w:w="110" w:type="dxa"/>
            </w:tcMar>
          </w:tcPr>
          <w:p>
            <w:pPr>
              <w:spacing w:after="0"/>
            </w:pPr>
            <w:r>
              <w:rPr>
                <w:b/>
                <w:i w:val="0"/>
                <w:color w:val="2D6A6A"/>
                <w:sz w:val="17"/>
              </w:rPr>
              <w:t>MVP</w:t>
            </w:r>
          </w:p>
        </w:tc>
      </w:tr>
      <w:tr>
        <w:tc>
          <w:tcPr>
            <w:tcW w:type="dxa" w:w="1368"/>
            <w:tcMar>
              <w:top w:w="60" w:type="dxa"/>
              <w:left w:w="110" w:type="dxa"/>
              <w:bottom w:w="60" w:type="dxa"/>
              <w:right w:w="110" w:type="dxa"/>
            </w:tcMar>
            <w:shd w:val="clear" w:color="auto" w:fill="F5F7F5"/>
          </w:tcPr>
          <w:p>
            <w:pPr>
              <w:spacing w:after="0"/>
            </w:pPr>
            <w:r>
              <w:rPr>
                <w:b w:val="0"/>
                <w:i w:val="0"/>
                <w:color w:val="16261F"/>
                <w:sz w:val="19"/>
              </w:rPr>
              <w:t>Line item</w:t>
            </w:r>
          </w:p>
        </w:tc>
        <w:tc>
          <w:tcPr>
            <w:tcW w:type="dxa" w:w="4752"/>
            <w:tcMar>
              <w:top w:w="60" w:type="dxa"/>
              <w:left w:w="110" w:type="dxa"/>
              <w:bottom w:w="60" w:type="dxa"/>
              <w:right w:w="110" w:type="dxa"/>
            </w:tcMar>
            <w:shd w:val="clear" w:color="auto" w:fill="F5F7F5"/>
          </w:tcPr>
          <w:p>
            <w:pPr>
              <w:spacing w:after="0"/>
            </w:pPr>
            <w:r>
              <w:rPr>
                <w:b w:val="0"/>
                <w:i w:val="0"/>
                <w:color w:val="16261F"/>
                <w:sz w:val="19"/>
              </w:rPr>
              <w:t>A single billable row: item, description, quantity, unit price, line total, tax treatment.</w:t>
            </w:r>
          </w:p>
        </w:tc>
        <w:tc>
          <w:tcPr>
            <w:tcW w:type="dxa" w:w="1944"/>
            <w:tcMar>
              <w:top w:w="60" w:type="dxa"/>
              <w:left w:w="110" w:type="dxa"/>
              <w:bottom w:w="60" w:type="dxa"/>
              <w:right w:w="110" w:type="dxa"/>
            </w:tcMar>
            <w:shd w:val="clear" w:color="auto" w:fill="F5F7F5"/>
          </w:tcPr>
          <w:p>
            <w:pPr>
              <w:spacing w:after="0"/>
            </w:pPr>
            <w:r>
              <w:rPr>
                <w:b w:val="0"/>
                <w:i w:val="0"/>
                <w:color w:val="16261F"/>
                <w:sz w:val="19"/>
              </w:rPr>
              <w:t>—</w:t>
            </w:r>
          </w:p>
        </w:tc>
        <w:tc>
          <w:tcPr>
            <w:tcW w:type="dxa" w:w="1008"/>
            <w:tcMar>
              <w:top w:w="60" w:type="dxa"/>
              <w:left w:w="110" w:type="dxa"/>
              <w:bottom w:w="60" w:type="dxa"/>
              <w:right w:w="110" w:type="dxa"/>
            </w:tcMar>
            <w:shd w:val="clear" w:color="auto" w:fill="F5F7F5"/>
          </w:tcPr>
          <w:p>
            <w:pPr>
              <w:spacing w:after="0"/>
            </w:pPr>
            <w:r>
              <w:rPr>
                <w:b/>
                <w:i w:val="0"/>
                <w:color w:val="2D6A6A"/>
                <w:sz w:val="17"/>
              </w:rPr>
              <w:t>MVP</w:t>
            </w:r>
          </w:p>
        </w:tc>
      </w:tr>
      <w:tr>
        <w:tc>
          <w:tcPr>
            <w:tcW w:type="dxa" w:w="1368"/>
            <w:tcMar>
              <w:top w:w="60" w:type="dxa"/>
              <w:left w:w="110" w:type="dxa"/>
              <w:bottom w:w="60" w:type="dxa"/>
              <w:right w:w="110" w:type="dxa"/>
            </w:tcMar>
          </w:tcPr>
          <w:p>
            <w:pPr>
              <w:spacing w:after="0"/>
            </w:pPr>
            <w:r>
              <w:rPr>
                <w:b w:val="0"/>
                <w:i w:val="0"/>
                <w:color w:val="16261F"/>
                <w:sz w:val="19"/>
              </w:rPr>
              <w:t>Payment</w:t>
            </w:r>
          </w:p>
        </w:tc>
        <w:tc>
          <w:tcPr>
            <w:tcW w:type="dxa" w:w="4752"/>
            <w:tcMar>
              <w:top w:w="60" w:type="dxa"/>
              <w:left w:w="110" w:type="dxa"/>
              <w:bottom w:w="60" w:type="dxa"/>
              <w:right w:w="110" w:type="dxa"/>
            </w:tcMar>
          </w:tcPr>
          <w:p>
            <w:pPr>
              <w:spacing w:after="0"/>
            </w:pPr>
            <w:r>
              <w:rPr>
                <w:b w:val="0"/>
                <w:i w:val="0"/>
                <w:color w:val="16261F"/>
                <w:sz w:val="19"/>
              </w:rPr>
              <w:t>A recorded settlement against an invoice. Full or partial. Carries method, gateway reference and reconciliation state.</w:t>
            </w:r>
          </w:p>
        </w:tc>
        <w:tc>
          <w:tcPr>
            <w:tcW w:type="dxa" w:w="1944"/>
            <w:tcMar>
              <w:top w:w="60" w:type="dxa"/>
              <w:left w:w="110" w:type="dxa"/>
              <w:bottom w:w="60" w:type="dxa"/>
              <w:right w:w="110" w:type="dxa"/>
            </w:tcMar>
          </w:tcPr>
          <w:p>
            <w:pPr>
              <w:spacing w:after="0"/>
            </w:pPr>
            <w:r>
              <w:rPr>
                <w:b w:val="0"/>
                <w:i w:val="0"/>
                <w:color w:val="16261F"/>
                <w:sz w:val="19"/>
              </w:rPr>
              <w:t>—</w:t>
            </w:r>
          </w:p>
        </w:tc>
        <w:tc>
          <w:tcPr>
            <w:tcW w:type="dxa" w:w="1008"/>
            <w:tcMar>
              <w:top w:w="60" w:type="dxa"/>
              <w:left w:w="110" w:type="dxa"/>
              <w:bottom w:w="60" w:type="dxa"/>
              <w:right w:w="110" w:type="dxa"/>
            </w:tcMar>
          </w:tcPr>
          <w:p>
            <w:pPr>
              <w:spacing w:after="0"/>
            </w:pPr>
            <w:r>
              <w:rPr>
                <w:b/>
                <w:i w:val="0"/>
                <w:color w:val="2D6A6A"/>
                <w:sz w:val="17"/>
              </w:rPr>
              <w:t>MVP</w:t>
            </w:r>
          </w:p>
        </w:tc>
      </w:tr>
      <w:tr>
        <w:tc>
          <w:tcPr>
            <w:tcW w:type="dxa" w:w="1368"/>
            <w:tcMar>
              <w:top w:w="60" w:type="dxa"/>
              <w:left w:w="110" w:type="dxa"/>
              <w:bottom w:w="60" w:type="dxa"/>
              <w:right w:w="110" w:type="dxa"/>
            </w:tcMar>
            <w:shd w:val="clear" w:color="auto" w:fill="F5F7F5"/>
          </w:tcPr>
          <w:p>
            <w:pPr>
              <w:spacing w:after="0"/>
            </w:pPr>
            <w:r>
              <w:rPr>
                <w:b w:val="0"/>
                <w:i w:val="0"/>
                <w:color w:val="16261F"/>
                <w:sz w:val="19"/>
              </w:rPr>
              <w:t>Check</w:t>
            </w:r>
          </w:p>
        </w:tc>
        <w:tc>
          <w:tcPr>
            <w:tcW w:type="dxa" w:w="4752"/>
            <w:tcMar>
              <w:top w:w="60" w:type="dxa"/>
              <w:left w:w="110" w:type="dxa"/>
              <w:bottom w:w="60" w:type="dxa"/>
              <w:right w:w="110" w:type="dxa"/>
            </w:tcMar>
            <w:shd w:val="clear" w:color="auto" w:fill="F5F7F5"/>
          </w:tcPr>
          <w:p>
            <w:pPr>
              <w:spacing w:after="0"/>
            </w:pPr>
            <w:r>
              <w:rPr>
                <w:b w:val="0"/>
                <w:i w:val="0"/>
                <w:color w:val="16261F"/>
                <w:sz w:val="19"/>
              </w:rPr>
              <w:t>A customer-uploaded check image awaiting merchant approval before it is recorded as a payment.</w:t>
            </w:r>
          </w:p>
        </w:tc>
        <w:tc>
          <w:tcPr>
            <w:tcW w:type="dxa" w:w="1944"/>
            <w:tcMar>
              <w:top w:w="60" w:type="dxa"/>
              <w:left w:w="110" w:type="dxa"/>
              <w:bottom w:w="60" w:type="dxa"/>
              <w:right w:w="110" w:type="dxa"/>
            </w:tcMar>
            <w:shd w:val="clear" w:color="auto" w:fill="F5F7F5"/>
          </w:tcPr>
          <w:p>
            <w:pPr>
              <w:spacing w:after="0"/>
            </w:pPr>
            <w:r>
              <w:rPr>
                <w:b w:val="0"/>
                <w:i w:val="0"/>
                <w:color w:val="16261F"/>
                <w:sz w:val="19"/>
              </w:rPr>
              <w:t>—</w:t>
            </w:r>
          </w:p>
        </w:tc>
        <w:tc>
          <w:tcPr>
            <w:tcW w:type="dxa" w:w="1008"/>
            <w:tcMar>
              <w:top w:w="60" w:type="dxa"/>
              <w:left w:w="110" w:type="dxa"/>
              <w:bottom w:w="60" w:type="dxa"/>
              <w:right w:w="110" w:type="dxa"/>
            </w:tcMar>
            <w:shd w:val="clear" w:color="auto" w:fill="F5F7F5"/>
          </w:tcPr>
          <w:p>
            <w:pPr>
              <w:spacing w:after="0"/>
            </w:pPr>
            <w:r>
              <w:rPr>
                <w:b/>
                <w:i w:val="0"/>
                <w:color w:val="3A6FA8"/>
                <w:sz w:val="17"/>
              </w:rPr>
              <w:t>Phase 2</w:t>
            </w:r>
          </w:p>
        </w:tc>
      </w:tr>
      <w:tr>
        <w:tc>
          <w:tcPr>
            <w:tcW w:type="dxa" w:w="1368"/>
            <w:tcMar>
              <w:top w:w="60" w:type="dxa"/>
              <w:left w:w="110" w:type="dxa"/>
              <w:bottom w:w="60" w:type="dxa"/>
              <w:right w:w="110" w:type="dxa"/>
            </w:tcMar>
          </w:tcPr>
          <w:p>
            <w:pPr>
              <w:spacing w:after="0"/>
            </w:pPr>
            <w:r>
              <w:rPr>
                <w:b w:val="0"/>
                <w:i w:val="0"/>
                <w:color w:val="16261F"/>
                <w:sz w:val="19"/>
              </w:rPr>
              <w:t>Vendor</w:t>
            </w:r>
          </w:p>
        </w:tc>
        <w:tc>
          <w:tcPr>
            <w:tcW w:type="dxa" w:w="4752"/>
            <w:tcMar>
              <w:top w:w="60" w:type="dxa"/>
              <w:left w:w="110" w:type="dxa"/>
              <w:bottom w:w="60" w:type="dxa"/>
              <w:right w:w="110" w:type="dxa"/>
            </w:tcMar>
          </w:tcPr>
          <w:p>
            <w:pPr>
              <w:spacing w:after="0"/>
            </w:pPr>
            <w:r>
              <w:rPr>
                <w:b w:val="0"/>
                <w:i w:val="0"/>
                <w:color w:val="16261F"/>
                <w:sz w:val="19"/>
              </w:rPr>
              <w:t>A business the merchant owes money to. Accounts payable. Maps to Zoho Contacts of type Vendor.</w:t>
            </w:r>
          </w:p>
        </w:tc>
        <w:tc>
          <w:tcPr>
            <w:tcW w:type="dxa" w:w="1944"/>
            <w:tcMar>
              <w:top w:w="60" w:type="dxa"/>
              <w:left w:w="110" w:type="dxa"/>
              <w:bottom w:w="60" w:type="dxa"/>
              <w:right w:w="110" w:type="dxa"/>
            </w:tcMar>
          </w:tcPr>
          <w:p>
            <w:pPr>
              <w:spacing w:after="0"/>
            </w:pPr>
            <w:r>
              <w:rPr>
                <w:b w:val="0"/>
                <w:i w:val="0"/>
                <w:color w:val="16261F"/>
                <w:sz w:val="19"/>
              </w:rPr>
              <w:t>Bills</w:t>
            </w:r>
          </w:p>
        </w:tc>
        <w:tc>
          <w:tcPr>
            <w:tcW w:type="dxa" w:w="1008"/>
            <w:tcMar>
              <w:top w:w="60" w:type="dxa"/>
              <w:left w:w="110" w:type="dxa"/>
              <w:bottom w:w="60" w:type="dxa"/>
              <w:right w:w="110" w:type="dxa"/>
            </w:tcMar>
          </w:tcPr>
          <w:p>
            <w:pPr>
              <w:spacing w:after="0"/>
            </w:pPr>
            <w:r>
              <w:rPr>
                <w:b/>
                <w:i w:val="0"/>
                <w:color w:val="6B5B95"/>
                <w:sz w:val="17"/>
              </w:rPr>
              <w:t>Phase 3</w:t>
            </w:r>
          </w:p>
        </w:tc>
      </w:tr>
      <w:tr>
        <w:tc>
          <w:tcPr>
            <w:tcW w:type="dxa" w:w="1368"/>
            <w:tcMar>
              <w:top w:w="60" w:type="dxa"/>
              <w:left w:w="110" w:type="dxa"/>
              <w:bottom w:w="60" w:type="dxa"/>
              <w:right w:w="110" w:type="dxa"/>
            </w:tcMar>
            <w:shd w:val="clear" w:color="auto" w:fill="F5F7F5"/>
          </w:tcPr>
          <w:p>
            <w:pPr>
              <w:spacing w:after="0"/>
            </w:pPr>
            <w:r>
              <w:rPr>
                <w:b w:val="0"/>
                <w:i w:val="0"/>
                <w:color w:val="16261F"/>
                <w:sz w:val="19"/>
              </w:rPr>
              <w:t>Bill</w:t>
            </w:r>
          </w:p>
        </w:tc>
        <w:tc>
          <w:tcPr>
            <w:tcW w:type="dxa" w:w="4752"/>
            <w:tcMar>
              <w:top w:w="60" w:type="dxa"/>
              <w:left w:w="110" w:type="dxa"/>
              <w:bottom w:w="60" w:type="dxa"/>
              <w:right w:w="110" w:type="dxa"/>
            </w:tcMar>
            <w:shd w:val="clear" w:color="auto" w:fill="F5F7F5"/>
          </w:tcPr>
          <w:p>
            <w:pPr>
              <w:spacing w:after="0"/>
            </w:pPr>
            <w:r>
              <w:rPr>
                <w:b w:val="0"/>
                <w:i w:val="0"/>
                <w:color w:val="16261F"/>
                <w:sz w:val="19"/>
              </w:rPr>
              <w:t>A payable owed by the merchant to a vendor. The AP mirror of an invoice.</w:t>
            </w:r>
          </w:p>
        </w:tc>
        <w:tc>
          <w:tcPr>
            <w:tcW w:type="dxa" w:w="1944"/>
            <w:tcMar>
              <w:top w:w="60" w:type="dxa"/>
              <w:left w:w="110" w:type="dxa"/>
              <w:bottom w:w="60" w:type="dxa"/>
              <w:right w:w="110" w:type="dxa"/>
            </w:tcMar>
            <w:shd w:val="clear" w:color="auto" w:fill="F5F7F5"/>
          </w:tcPr>
          <w:p>
            <w:pPr>
              <w:spacing w:after="0"/>
            </w:pPr>
            <w:r>
              <w:rPr>
                <w:b w:val="0"/>
                <w:i w:val="0"/>
                <w:color w:val="16261F"/>
                <w:sz w:val="19"/>
              </w:rPr>
              <w:t>—</w:t>
            </w:r>
          </w:p>
        </w:tc>
        <w:tc>
          <w:tcPr>
            <w:tcW w:type="dxa" w:w="1008"/>
            <w:tcMar>
              <w:top w:w="60" w:type="dxa"/>
              <w:left w:w="110" w:type="dxa"/>
              <w:bottom w:w="60" w:type="dxa"/>
              <w:right w:w="110" w:type="dxa"/>
            </w:tcMar>
            <w:shd w:val="clear" w:color="auto" w:fill="F5F7F5"/>
          </w:tcPr>
          <w:p>
            <w:pPr>
              <w:spacing w:after="0"/>
            </w:pPr>
            <w:r>
              <w:rPr>
                <w:b/>
                <w:i w:val="0"/>
                <w:color w:val="6B5B95"/>
                <w:sz w:val="17"/>
              </w:rPr>
              <w:t>Phase 3</w:t>
            </w:r>
          </w:p>
        </w:tc>
      </w:tr>
    </w:tbl>
    <w:p>
      <w:pPr>
        <w:pStyle w:val="Heading2"/>
      </w:pPr>
      <w:r>
        <w:t>4.2 Multi-tenancy and isolation rule</w:t>
      </w:r>
    </w:p>
    <w:p>
      <w:pPr>
        <w:pBdr>
          <w:left w:val="single" w:sz="18" w:space="10" w:color="2D6A6A"/>
        </w:pBdr>
        <w:shd w:val="clear" w:color="auto" w:fill="EDF1EE"/>
        <w:spacing w:before="160" w:after="180"/>
        <w:ind w:left="173"/>
      </w:pPr>
      <w:r>
        <w:rPr>
          <w:b/>
          <w:color w:val="2D6A6A"/>
          <w:sz w:val="17"/>
        </w:rPr>
        <w:t xml:space="preserve">RULE  </w:t>
      </w:r>
      <w:r>
        <w:rPr>
          <w:color w:val="16261F"/>
          <w:sz w:val="20"/>
        </w:rPr>
        <w:t>Every customer, invoice, payment, template, domain, integration credential and audit entry belongs to exactly one brand, and every brand belongs to exactly one merchant. No query may return data across a brand boundary unless the acting user holds a role scoped to both brands, and no query may cross a merchant boundary under any circumstance.</w:t>
      </w:r>
    </w:p>
    <w:p>
      <w:pPr>
        <w:pStyle w:val="Heading2"/>
      </w:pPr>
      <w:r>
        <w:t>4.3 Invoice status model</w:t>
      </w:r>
    </w:p>
    <w:p>
      <w:pPr>
        <w:spacing w:after="140"/>
      </w:pPr>
      <w:r>
        <w:rPr>
          <w:b w:val="0"/>
          <w:i w:val="0"/>
          <w:color w:val="16261F"/>
          <w:sz w:val="21"/>
        </w:rPr>
        <w:t>The prototype presents eight statuses. The MVP Feature List asks for four list tabs (Due, Unpaid, Opened, Paid). Both are satisfied by a single underlying status set with a presentation-layer tab mapping.</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656"/>
            <w:shd w:val="clear" w:color="auto" w:fill="16261F"/>
            <w:tcMar>
              <w:top w:w="70" w:type="dxa"/>
              <w:left w:w="110" w:type="dxa"/>
              <w:bottom w:w="70" w:type="dxa"/>
              <w:right w:w="110" w:type="dxa"/>
            </w:tcMar>
          </w:tcPr>
          <w:p>
            <w:pPr>
              <w:spacing w:after="0"/>
            </w:pPr>
            <w:r>
              <w:rPr>
                <w:rFonts w:ascii="Calibri" w:hAnsi="Calibri"/>
                <w:b/>
                <w:color w:val="FFFFFF"/>
                <w:sz w:val="18"/>
              </w:rPr>
              <w:t>Status</w:t>
            </w:r>
          </w:p>
        </w:tc>
        <w:tc>
          <w:tcPr>
            <w:tcW w:type="dxa" w:w="4320"/>
            <w:shd w:val="clear" w:color="auto" w:fill="16261F"/>
            <w:tcMar>
              <w:top w:w="70" w:type="dxa"/>
              <w:left w:w="110" w:type="dxa"/>
              <w:bottom w:w="70" w:type="dxa"/>
              <w:right w:w="110" w:type="dxa"/>
            </w:tcMar>
          </w:tcPr>
          <w:p>
            <w:pPr>
              <w:spacing w:after="0"/>
            </w:pPr>
            <w:r>
              <w:rPr>
                <w:rFonts w:ascii="Calibri" w:hAnsi="Calibri"/>
                <w:b/>
                <w:color w:val="FFFFFF"/>
                <w:sz w:val="18"/>
              </w:rPr>
              <w:t>Meaning</w:t>
            </w:r>
          </w:p>
        </w:tc>
        <w:tc>
          <w:tcPr>
            <w:tcW w:type="dxa" w:w="1944"/>
            <w:shd w:val="clear" w:color="auto" w:fill="16261F"/>
            <w:tcMar>
              <w:top w:w="70" w:type="dxa"/>
              <w:left w:w="110" w:type="dxa"/>
              <w:bottom w:w="70" w:type="dxa"/>
              <w:right w:w="110" w:type="dxa"/>
            </w:tcMar>
          </w:tcPr>
          <w:p>
            <w:pPr>
              <w:spacing w:after="0"/>
            </w:pPr>
            <w:r>
              <w:rPr>
                <w:rFonts w:ascii="Calibri" w:hAnsi="Calibri"/>
                <w:b/>
                <w:color w:val="FFFFFF"/>
                <w:sz w:val="18"/>
              </w:rPr>
              <w:t>Set by</w:t>
            </w:r>
          </w:p>
        </w:tc>
        <w:tc>
          <w:tcPr>
            <w:tcW w:type="dxa" w:w="1152"/>
            <w:shd w:val="clear" w:color="auto" w:fill="16261F"/>
            <w:tcMar>
              <w:top w:w="70" w:type="dxa"/>
              <w:left w:w="110" w:type="dxa"/>
              <w:bottom w:w="70" w:type="dxa"/>
              <w:right w:w="110" w:type="dxa"/>
            </w:tcMar>
          </w:tcPr>
          <w:p>
            <w:pPr>
              <w:spacing w:after="0"/>
            </w:pPr>
            <w:r>
              <w:rPr>
                <w:rFonts w:ascii="Calibri" w:hAnsi="Calibri"/>
                <w:b/>
                <w:color w:val="FFFFFF"/>
                <w:sz w:val="18"/>
              </w:rPr>
              <w:t>MVP tab</w:t>
            </w:r>
          </w:p>
        </w:tc>
      </w:tr>
      <w:tr>
        <w:tc>
          <w:tcPr>
            <w:tcW w:type="dxa" w:w="1656"/>
            <w:tcMar>
              <w:top w:w="60" w:type="dxa"/>
              <w:left w:w="110" w:type="dxa"/>
              <w:bottom w:w="60" w:type="dxa"/>
              <w:right w:w="110" w:type="dxa"/>
            </w:tcMar>
          </w:tcPr>
          <w:p>
            <w:pPr>
              <w:spacing w:after="0"/>
            </w:pPr>
            <w:r>
              <w:rPr>
                <w:b w:val="0"/>
                <w:i w:val="0"/>
                <w:color w:val="16261F"/>
                <w:sz w:val="19"/>
              </w:rPr>
              <w:t>Draft</w:t>
            </w:r>
          </w:p>
        </w:tc>
        <w:tc>
          <w:tcPr>
            <w:tcW w:type="dxa" w:w="4320"/>
            <w:tcMar>
              <w:top w:w="60" w:type="dxa"/>
              <w:left w:w="110" w:type="dxa"/>
              <w:bottom w:w="60" w:type="dxa"/>
              <w:right w:w="110" w:type="dxa"/>
            </w:tcMar>
          </w:tcPr>
          <w:p>
            <w:pPr>
              <w:spacing w:after="0"/>
            </w:pPr>
            <w:r>
              <w:rPr>
                <w:b w:val="0"/>
                <w:i w:val="0"/>
                <w:color w:val="16261F"/>
                <w:sz w:val="19"/>
              </w:rPr>
              <w:t>Created but not issued. Fully editable. Not visible to the customer.</w:t>
            </w:r>
          </w:p>
        </w:tc>
        <w:tc>
          <w:tcPr>
            <w:tcW w:type="dxa" w:w="1944"/>
            <w:tcMar>
              <w:top w:w="60" w:type="dxa"/>
              <w:left w:w="110" w:type="dxa"/>
              <w:bottom w:w="60" w:type="dxa"/>
              <w:right w:w="110" w:type="dxa"/>
            </w:tcMar>
          </w:tcPr>
          <w:p>
            <w:pPr>
              <w:spacing w:after="0"/>
            </w:pPr>
            <w:r>
              <w:rPr>
                <w:b w:val="0"/>
                <w:i w:val="0"/>
                <w:color w:val="16261F"/>
                <w:sz w:val="19"/>
              </w:rPr>
              <w:t>User</w:t>
            </w:r>
          </w:p>
        </w:tc>
        <w:tc>
          <w:tcPr>
            <w:tcW w:type="dxa" w:w="1152"/>
            <w:tcMar>
              <w:top w:w="60" w:type="dxa"/>
              <w:left w:w="110" w:type="dxa"/>
              <w:bottom w:w="60" w:type="dxa"/>
              <w:right w:w="110" w:type="dxa"/>
            </w:tcMar>
          </w:tcPr>
          <w:p>
            <w:pPr>
              <w:spacing w:after="0"/>
            </w:pPr>
            <w:r>
              <w:rPr>
                <w:b w:val="0"/>
                <w:i w:val="0"/>
                <w:color w:val="16261F"/>
                <w:sz w:val="19"/>
              </w:rPr>
              <w:t>—</w:t>
            </w:r>
          </w:p>
        </w:tc>
      </w:tr>
      <w:tr>
        <w:tc>
          <w:tcPr>
            <w:tcW w:type="dxa" w:w="1656"/>
            <w:tcMar>
              <w:top w:w="60" w:type="dxa"/>
              <w:left w:w="110" w:type="dxa"/>
              <w:bottom w:w="60" w:type="dxa"/>
              <w:right w:w="110" w:type="dxa"/>
            </w:tcMar>
            <w:shd w:val="clear" w:color="auto" w:fill="F5F7F5"/>
          </w:tcPr>
          <w:p>
            <w:pPr>
              <w:spacing w:after="0"/>
            </w:pPr>
            <w:r>
              <w:rPr>
                <w:b w:val="0"/>
                <w:i w:val="0"/>
                <w:color w:val="16261F"/>
                <w:sz w:val="19"/>
              </w:rPr>
              <w:t>Sent</w:t>
            </w:r>
          </w:p>
        </w:tc>
        <w:tc>
          <w:tcPr>
            <w:tcW w:type="dxa" w:w="4320"/>
            <w:tcMar>
              <w:top w:w="60" w:type="dxa"/>
              <w:left w:w="110" w:type="dxa"/>
              <w:bottom w:w="60" w:type="dxa"/>
              <w:right w:w="110" w:type="dxa"/>
            </w:tcMar>
            <w:shd w:val="clear" w:color="auto" w:fill="F5F7F5"/>
          </w:tcPr>
          <w:p>
            <w:pPr>
              <w:spacing w:after="0"/>
            </w:pPr>
            <w:r>
              <w:rPr>
                <w:b w:val="0"/>
                <w:i w:val="0"/>
                <w:color w:val="16261F"/>
                <w:sz w:val="19"/>
              </w:rPr>
              <w:t>Issued and delivered by email. Payment link is live.</w:t>
            </w:r>
          </w:p>
        </w:tc>
        <w:tc>
          <w:tcPr>
            <w:tcW w:type="dxa" w:w="1944"/>
            <w:tcMar>
              <w:top w:w="60" w:type="dxa"/>
              <w:left w:w="110" w:type="dxa"/>
              <w:bottom w:w="60" w:type="dxa"/>
              <w:right w:w="110" w:type="dxa"/>
            </w:tcMar>
            <w:shd w:val="clear" w:color="auto" w:fill="F5F7F5"/>
          </w:tcPr>
          <w:p>
            <w:pPr>
              <w:spacing w:after="0"/>
            </w:pPr>
            <w:r>
              <w:rPr>
                <w:b w:val="0"/>
                <w:i w:val="0"/>
                <w:color w:val="16261F"/>
                <w:sz w:val="19"/>
              </w:rPr>
              <w:t>System on send</w:t>
            </w:r>
          </w:p>
        </w:tc>
        <w:tc>
          <w:tcPr>
            <w:tcW w:type="dxa" w:w="1152"/>
            <w:tcMar>
              <w:top w:w="60" w:type="dxa"/>
              <w:left w:w="110" w:type="dxa"/>
              <w:bottom w:w="60" w:type="dxa"/>
              <w:right w:w="110" w:type="dxa"/>
            </w:tcMar>
            <w:shd w:val="clear" w:color="auto" w:fill="F5F7F5"/>
          </w:tcPr>
          <w:p>
            <w:pPr>
              <w:spacing w:after="0"/>
            </w:pPr>
            <w:r>
              <w:rPr>
                <w:b w:val="0"/>
                <w:i w:val="0"/>
                <w:color w:val="16261F"/>
                <w:sz w:val="19"/>
              </w:rPr>
              <w:t>Unpaid</w:t>
            </w:r>
          </w:p>
        </w:tc>
      </w:tr>
      <w:tr>
        <w:tc>
          <w:tcPr>
            <w:tcW w:type="dxa" w:w="1656"/>
            <w:tcMar>
              <w:top w:w="60" w:type="dxa"/>
              <w:left w:w="110" w:type="dxa"/>
              <w:bottom w:w="60" w:type="dxa"/>
              <w:right w:w="110" w:type="dxa"/>
            </w:tcMar>
          </w:tcPr>
          <w:p>
            <w:pPr>
              <w:spacing w:after="0"/>
            </w:pPr>
            <w:r>
              <w:rPr>
                <w:b w:val="0"/>
                <w:i w:val="0"/>
                <w:color w:val="16261F"/>
                <w:sz w:val="19"/>
              </w:rPr>
              <w:t>Viewed</w:t>
            </w:r>
          </w:p>
        </w:tc>
        <w:tc>
          <w:tcPr>
            <w:tcW w:type="dxa" w:w="4320"/>
            <w:tcMar>
              <w:top w:w="60" w:type="dxa"/>
              <w:left w:w="110" w:type="dxa"/>
              <w:bottom w:w="60" w:type="dxa"/>
              <w:right w:w="110" w:type="dxa"/>
            </w:tcMar>
          </w:tcPr>
          <w:p>
            <w:pPr>
              <w:spacing w:after="0"/>
            </w:pPr>
            <w:r>
              <w:rPr>
                <w:b w:val="0"/>
                <w:i w:val="0"/>
                <w:color w:val="16261F"/>
                <w:sz w:val="19"/>
              </w:rPr>
              <w:t>The customer has opened the invoice landing page at least once.</w:t>
            </w:r>
          </w:p>
        </w:tc>
        <w:tc>
          <w:tcPr>
            <w:tcW w:type="dxa" w:w="1944"/>
            <w:tcMar>
              <w:top w:w="60" w:type="dxa"/>
              <w:left w:w="110" w:type="dxa"/>
              <w:bottom w:w="60" w:type="dxa"/>
              <w:right w:w="110" w:type="dxa"/>
            </w:tcMar>
          </w:tcPr>
          <w:p>
            <w:pPr>
              <w:spacing w:after="0"/>
            </w:pPr>
            <w:r>
              <w:rPr>
                <w:b w:val="0"/>
                <w:i w:val="0"/>
                <w:color w:val="16261F"/>
                <w:sz w:val="19"/>
              </w:rPr>
              <w:t>System on first view</w:t>
            </w:r>
          </w:p>
        </w:tc>
        <w:tc>
          <w:tcPr>
            <w:tcW w:type="dxa" w:w="1152"/>
            <w:tcMar>
              <w:top w:w="60" w:type="dxa"/>
              <w:left w:w="110" w:type="dxa"/>
              <w:bottom w:w="60" w:type="dxa"/>
              <w:right w:w="110" w:type="dxa"/>
            </w:tcMar>
          </w:tcPr>
          <w:p>
            <w:pPr>
              <w:spacing w:after="0"/>
            </w:pPr>
            <w:r>
              <w:rPr>
                <w:b w:val="0"/>
                <w:i w:val="0"/>
                <w:color w:val="16261F"/>
                <w:sz w:val="19"/>
              </w:rPr>
              <w:t>Opened</w:t>
            </w:r>
          </w:p>
        </w:tc>
      </w:tr>
      <w:tr>
        <w:tc>
          <w:tcPr>
            <w:tcW w:type="dxa" w:w="1656"/>
            <w:tcMar>
              <w:top w:w="60" w:type="dxa"/>
              <w:left w:w="110" w:type="dxa"/>
              <w:bottom w:w="60" w:type="dxa"/>
              <w:right w:w="110" w:type="dxa"/>
            </w:tcMar>
            <w:shd w:val="clear" w:color="auto" w:fill="F5F7F5"/>
          </w:tcPr>
          <w:p>
            <w:pPr>
              <w:spacing w:after="0"/>
            </w:pPr>
            <w:r>
              <w:rPr>
                <w:b w:val="0"/>
                <w:i w:val="0"/>
                <w:color w:val="16261F"/>
                <w:sz w:val="19"/>
              </w:rPr>
              <w:t>Pending Payment</w:t>
            </w:r>
          </w:p>
        </w:tc>
        <w:tc>
          <w:tcPr>
            <w:tcW w:type="dxa" w:w="4320"/>
            <w:tcMar>
              <w:top w:w="60" w:type="dxa"/>
              <w:left w:w="110" w:type="dxa"/>
              <w:bottom w:w="60" w:type="dxa"/>
              <w:right w:w="110" w:type="dxa"/>
            </w:tcMar>
            <w:shd w:val="clear" w:color="auto" w:fill="F5F7F5"/>
          </w:tcPr>
          <w:p>
            <w:pPr>
              <w:spacing w:after="0"/>
            </w:pPr>
            <w:r>
              <w:rPr>
                <w:b w:val="0"/>
                <w:i w:val="0"/>
                <w:color w:val="16261F"/>
                <w:sz w:val="19"/>
              </w:rPr>
              <w:t>A payment attempt is in flight or awaiting settlement, typically ACH.</w:t>
            </w:r>
          </w:p>
        </w:tc>
        <w:tc>
          <w:tcPr>
            <w:tcW w:type="dxa" w:w="1944"/>
            <w:tcMar>
              <w:top w:w="60" w:type="dxa"/>
              <w:left w:w="110" w:type="dxa"/>
              <w:bottom w:w="60" w:type="dxa"/>
              <w:right w:w="110" w:type="dxa"/>
            </w:tcMar>
            <w:shd w:val="clear" w:color="auto" w:fill="F5F7F5"/>
          </w:tcPr>
          <w:p>
            <w:pPr>
              <w:spacing w:after="0"/>
            </w:pPr>
            <w:r>
              <w:rPr>
                <w:b w:val="0"/>
                <w:i w:val="0"/>
                <w:color w:val="16261F"/>
                <w:sz w:val="19"/>
              </w:rPr>
              <w:t>System on gateway pending</w:t>
            </w:r>
          </w:p>
        </w:tc>
        <w:tc>
          <w:tcPr>
            <w:tcW w:type="dxa" w:w="1152"/>
            <w:tcMar>
              <w:top w:w="60" w:type="dxa"/>
              <w:left w:w="110" w:type="dxa"/>
              <w:bottom w:w="60" w:type="dxa"/>
              <w:right w:w="110" w:type="dxa"/>
            </w:tcMar>
            <w:shd w:val="clear" w:color="auto" w:fill="F5F7F5"/>
          </w:tcPr>
          <w:p>
            <w:pPr>
              <w:spacing w:after="0"/>
            </w:pPr>
            <w:r>
              <w:rPr>
                <w:b w:val="0"/>
                <w:i w:val="0"/>
                <w:color w:val="16261F"/>
                <w:sz w:val="19"/>
              </w:rPr>
              <w:t>Unpaid</w:t>
            </w:r>
          </w:p>
        </w:tc>
      </w:tr>
      <w:tr>
        <w:tc>
          <w:tcPr>
            <w:tcW w:type="dxa" w:w="1656"/>
            <w:tcMar>
              <w:top w:w="60" w:type="dxa"/>
              <w:left w:w="110" w:type="dxa"/>
              <w:bottom w:w="60" w:type="dxa"/>
              <w:right w:w="110" w:type="dxa"/>
            </w:tcMar>
          </w:tcPr>
          <w:p>
            <w:pPr>
              <w:spacing w:after="0"/>
            </w:pPr>
            <w:r>
              <w:rPr>
                <w:b w:val="0"/>
                <w:i w:val="0"/>
                <w:color w:val="16261F"/>
                <w:sz w:val="19"/>
              </w:rPr>
              <w:t>Partially Paid</w:t>
            </w:r>
          </w:p>
        </w:tc>
        <w:tc>
          <w:tcPr>
            <w:tcW w:type="dxa" w:w="4320"/>
            <w:tcMar>
              <w:top w:w="60" w:type="dxa"/>
              <w:left w:w="110" w:type="dxa"/>
              <w:bottom w:w="60" w:type="dxa"/>
              <w:right w:w="110" w:type="dxa"/>
            </w:tcMar>
          </w:tcPr>
          <w:p>
            <w:pPr>
              <w:spacing w:after="0"/>
            </w:pPr>
            <w:r>
              <w:rPr>
                <w:b w:val="0"/>
                <w:i w:val="0"/>
                <w:color w:val="16261F"/>
                <w:sz w:val="19"/>
              </w:rPr>
              <w:t>One or more payments recorded, balance still outstanding.</w:t>
            </w:r>
          </w:p>
        </w:tc>
        <w:tc>
          <w:tcPr>
            <w:tcW w:type="dxa" w:w="1944"/>
            <w:tcMar>
              <w:top w:w="60" w:type="dxa"/>
              <w:left w:w="110" w:type="dxa"/>
              <w:bottom w:w="60" w:type="dxa"/>
              <w:right w:w="110" w:type="dxa"/>
            </w:tcMar>
          </w:tcPr>
          <w:p>
            <w:pPr>
              <w:spacing w:after="0"/>
            </w:pPr>
            <w:r>
              <w:rPr>
                <w:b w:val="0"/>
                <w:i w:val="0"/>
                <w:color w:val="16261F"/>
                <w:sz w:val="19"/>
              </w:rPr>
              <w:t>System on payment</w:t>
            </w:r>
          </w:p>
        </w:tc>
        <w:tc>
          <w:tcPr>
            <w:tcW w:type="dxa" w:w="1152"/>
            <w:tcMar>
              <w:top w:w="60" w:type="dxa"/>
              <w:left w:w="110" w:type="dxa"/>
              <w:bottom w:w="60" w:type="dxa"/>
              <w:right w:w="110" w:type="dxa"/>
            </w:tcMar>
          </w:tcPr>
          <w:p>
            <w:pPr>
              <w:spacing w:after="0"/>
            </w:pPr>
            <w:r>
              <w:rPr>
                <w:b w:val="0"/>
                <w:i w:val="0"/>
                <w:color w:val="16261F"/>
                <w:sz w:val="19"/>
              </w:rPr>
              <w:t>Due</w:t>
            </w:r>
          </w:p>
        </w:tc>
      </w:tr>
      <w:tr>
        <w:tc>
          <w:tcPr>
            <w:tcW w:type="dxa" w:w="1656"/>
            <w:tcMar>
              <w:top w:w="60" w:type="dxa"/>
              <w:left w:w="110" w:type="dxa"/>
              <w:bottom w:w="60" w:type="dxa"/>
              <w:right w:w="110" w:type="dxa"/>
            </w:tcMar>
            <w:shd w:val="clear" w:color="auto" w:fill="F5F7F5"/>
          </w:tcPr>
          <w:p>
            <w:pPr>
              <w:spacing w:after="0"/>
            </w:pPr>
            <w:r>
              <w:rPr>
                <w:b w:val="0"/>
                <w:i w:val="0"/>
                <w:color w:val="16261F"/>
                <w:sz w:val="19"/>
              </w:rPr>
              <w:t>Paid</w:t>
            </w:r>
          </w:p>
        </w:tc>
        <w:tc>
          <w:tcPr>
            <w:tcW w:type="dxa" w:w="4320"/>
            <w:tcMar>
              <w:top w:w="60" w:type="dxa"/>
              <w:left w:w="110" w:type="dxa"/>
              <w:bottom w:w="60" w:type="dxa"/>
              <w:right w:w="110" w:type="dxa"/>
            </w:tcMar>
            <w:shd w:val="clear" w:color="auto" w:fill="F5F7F5"/>
          </w:tcPr>
          <w:p>
            <w:pPr>
              <w:spacing w:after="0"/>
            </w:pPr>
            <w:r>
              <w:rPr>
                <w:b w:val="0"/>
                <w:i w:val="0"/>
                <w:color w:val="16261F"/>
                <w:sz w:val="19"/>
              </w:rPr>
              <w:t>Balance is zero. Terminal.</w:t>
            </w:r>
          </w:p>
        </w:tc>
        <w:tc>
          <w:tcPr>
            <w:tcW w:type="dxa" w:w="1944"/>
            <w:tcMar>
              <w:top w:w="60" w:type="dxa"/>
              <w:left w:w="110" w:type="dxa"/>
              <w:bottom w:w="60" w:type="dxa"/>
              <w:right w:w="110" w:type="dxa"/>
            </w:tcMar>
            <w:shd w:val="clear" w:color="auto" w:fill="F5F7F5"/>
          </w:tcPr>
          <w:p>
            <w:pPr>
              <w:spacing w:after="0"/>
            </w:pPr>
            <w:r>
              <w:rPr>
                <w:b w:val="0"/>
                <w:i w:val="0"/>
                <w:color w:val="16261F"/>
                <w:sz w:val="19"/>
              </w:rPr>
              <w:t>System on payment</w:t>
            </w:r>
          </w:p>
        </w:tc>
        <w:tc>
          <w:tcPr>
            <w:tcW w:type="dxa" w:w="1152"/>
            <w:tcMar>
              <w:top w:w="60" w:type="dxa"/>
              <w:left w:w="110" w:type="dxa"/>
              <w:bottom w:w="60" w:type="dxa"/>
              <w:right w:w="110" w:type="dxa"/>
            </w:tcMar>
            <w:shd w:val="clear" w:color="auto" w:fill="F5F7F5"/>
          </w:tcPr>
          <w:p>
            <w:pPr>
              <w:spacing w:after="0"/>
            </w:pPr>
            <w:r>
              <w:rPr>
                <w:b w:val="0"/>
                <w:i w:val="0"/>
                <w:color w:val="16261F"/>
                <w:sz w:val="19"/>
              </w:rPr>
              <w:t>Paid</w:t>
            </w:r>
          </w:p>
        </w:tc>
      </w:tr>
      <w:tr>
        <w:tc>
          <w:tcPr>
            <w:tcW w:type="dxa" w:w="1656"/>
            <w:tcMar>
              <w:top w:w="60" w:type="dxa"/>
              <w:left w:w="110" w:type="dxa"/>
              <w:bottom w:w="60" w:type="dxa"/>
              <w:right w:w="110" w:type="dxa"/>
            </w:tcMar>
          </w:tcPr>
          <w:p>
            <w:pPr>
              <w:spacing w:after="0"/>
            </w:pPr>
            <w:r>
              <w:rPr>
                <w:b w:val="0"/>
                <w:i w:val="0"/>
                <w:color w:val="16261F"/>
                <w:sz w:val="19"/>
              </w:rPr>
              <w:t>Overdue</w:t>
            </w:r>
          </w:p>
        </w:tc>
        <w:tc>
          <w:tcPr>
            <w:tcW w:type="dxa" w:w="4320"/>
            <w:tcMar>
              <w:top w:w="60" w:type="dxa"/>
              <w:left w:w="110" w:type="dxa"/>
              <w:bottom w:w="60" w:type="dxa"/>
              <w:right w:w="110" w:type="dxa"/>
            </w:tcMar>
          </w:tcPr>
          <w:p>
            <w:pPr>
              <w:spacing w:after="0"/>
            </w:pPr>
            <w:r>
              <w:rPr>
                <w:b w:val="0"/>
                <w:i w:val="0"/>
                <w:color w:val="16261F"/>
                <w:sz w:val="19"/>
              </w:rPr>
              <w:t>Due date has passed with a non-zero balance. Overlays Sent/Viewed/Partially Paid.</w:t>
            </w:r>
          </w:p>
        </w:tc>
        <w:tc>
          <w:tcPr>
            <w:tcW w:type="dxa" w:w="1944"/>
            <w:tcMar>
              <w:top w:w="60" w:type="dxa"/>
              <w:left w:w="110" w:type="dxa"/>
              <w:bottom w:w="60" w:type="dxa"/>
              <w:right w:w="110" w:type="dxa"/>
            </w:tcMar>
          </w:tcPr>
          <w:p>
            <w:pPr>
              <w:spacing w:after="0"/>
            </w:pPr>
            <w:r>
              <w:rPr>
                <w:b w:val="0"/>
                <w:i w:val="0"/>
                <w:color w:val="16261F"/>
                <w:sz w:val="19"/>
              </w:rPr>
              <w:t>Scheduled job</w:t>
            </w:r>
          </w:p>
        </w:tc>
        <w:tc>
          <w:tcPr>
            <w:tcW w:type="dxa" w:w="1152"/>
            <w:tcMar>
              <w:top w:w="60" w:type="dxa"/>
              <w:left w:w="110" w:type="dxa"/>
              <w:bottom w:w="60" w:type="dxa"/>
              <w:right w:w="110" w:type="dxa"/>
            </w:tcMar>
          </w:tcPr>
          <w:p>
            <w:pPr>
              <w:spacing w:after="0"/>
            </w:pPr>
            <w:r>
              <w:rPr>
                <w:b w:val="0"/>
                <w:i w:val="0"/>
                <w:color w:val="16261F"/>
                <w:sz w:val="19"/>
              </w:rPr>
              <w:t>Due</w:t>
            </w:r>
          </w:p>
        </w:tc>
      </w:tr>
      <w:tr>
        <w:tc>
          <w:tcPr>
            <w:tcW w:type="dxa" w:w="1656"/>
            <w:tcMar>
              <w:top w:w="60" w:type="dxa"/>
              <w:left w:w="110" w:type="dxa"/>
              <w:bottom w:w="60" w:type="dxa"/>
              <w:right w:w="110" w:type="dxa"/>
            </w:tcMar>
            <w:shd w:val="clear" w:color="auto" w:fill="F5F7F5"/>
          </w:tcPr>
          <w:p>
            <w:pPr>
              <w:spacing w:after="0"/>
            </w:pPr>
            <w:r>
              <w:rPr>
                <w:b w:val="0"/>
                <w:i w:val="0"/>
                <w:color w:val="16261F"/>
                <w:sz w:val="19"/>
              </w:rPr>
              <w:t>Cancelled</w:t>
            </w:r>
          </w:p>
        </w:tc>
        <w:tc>
          <w:tcPr>
            <w:tcW w:type="dxa" w:w="4320"/>
            <w:tcMar>
              <w:top w:w="60" w:type="dxa"/>
              <w:left w:w="110" w:type="dxa"/>
              <w:bottom w:w="60" w:type="dxa"/>
              <w:right w:w="110" w:type="dxa"/>
            </w:tcMar>
            <w:shd w:val="clear" w:color="auto" w:fill="F5F7F5"/>
          </w:tcPr>
          <w:p>
            <w:pPr>
              <w:spacing w:after="0"/>
            </w:pPr>
            <w:r>
              <w:rPr>
                <w:b w:val="0"/>
                <w:i w:val="0"/>
                <w:color w:val="16261F"/>
                <w:sz w:val="19"/>
              </w:rPr>
              <w:t>Voided by the merchant. Terminal. Payment link is dead.</w:t>
            </w:r>
          </w:p>
        </w:tc>
        <w:tc>
          <w:tcPr>
            <w:tcW w:type="dxa" w:w="1944"/>
            <w:tcMar>
              <w:top w:w="60" w:type="dxa"/>
              <w:left w:w="110" w:type="dxa"/>
              <w:bottom w:w="60" w:type="dxa"/>
              <w:right w:w="110" w:type="dxa"/>
            </w:tcMar>
            <w:shd w:val="clear" w:color="auto" w:fill="F5F7F5"/>
          </w:tcPr>
          <w:p>
            <w:pPr>
              <w:spacing w:after="0"/>
            </w:pPr>
            <w:r>
              <w:rPr>
                <w:b w:val="0"/>
                <w:i w:val="0"/>
                <w:color w:val="16261F"/>
                <w:sz w:val="19"/>
              </w:rPr>
              <w:t>User</w:t>
            </w:r>
          </w:p>
        </w:tc>
        <w:tc>
          <w:tcPr>
            <w:tcW w:type="dxa" w:w="1152"/>
            <w:tcMar>
              <w:top w:w="60" w:type="dxa"/>
              <w:left w:w="110" w:type="dxa"/>
              <w:bottom w:w="60" w:type="dxa"/>
              <w:right w:w="110" w:type="dxa"/>
            </w:tcMar>
            <w:shd w:val="clear" w:color="auto" w:fill="F5F7F5"/>
          </w:tcPr>
          <w:p>
            <w:pPr>
              <w:spacing w:after="0"/>
            </w:pPr>
            <w:r>
              <w:rPr>
                <w:b w:val="0"/>
                <w:i w:val="0"/>
                <w:color w:val="16261F"/>
                <w:sz w:val="19"/>
              </w:rPr>
              <w:t>—</w:t>
            </w:r>
          </w:p>
        </w:tc>
      </w:tr>
    </w:tbl>
    <w:p>
      <w:r>
        <w:br w:type="page"/>
      </w:r>
    </w:p>
    <w:p>
      <w:pPr>
        <w:pStyle w:val="Heading1"/>
      </w:pPr>
      <w:r>
        <w:t>5. FR-AUTH — Authentication and access control</w:t>
      </w:r>
    </w:p>
    <w:p>
      <w:pPr>
        <w:spacing w:after="140"/>
      </w:pPr>
      <w:r>
        <w:rPr>
          <w:b w:val="0"/>
          <w:i w:val="0"/>
          <w:color w:val="16261F"/>
          <w:sz w:val="21"/>
        </w:rPr>
        <w:t>Covers sign-in, session handling, password lifecycle and the enforcement of role-based access across every page and API endpoint.</w:t>
      </w:r>
    </w:p>
    <w:p>
      <w:pPr>
        <w:pBdr>
          <w:left w:val="single" w:sz="18" w:space="10" w:color="C0473D"/>
        </w:pBdr>
        <w:shd w:val="clear" w:color="auto" w:fill="F9E7E5"/>
        <w:spacing w:before="160" w:after="180"/>
        <w:ind w:left="173"/>
      </w:pPr>
      <w:r>
        <w:rPr>
          <w:b/>
          <w:color w:val="C0473D"/>
          <w:sz w:val="17"/>
        </w:rPr>
        <w:t xml:space="preserve">GAP  </w:t>
      </w:r>
      <w:r>
        <w:rPr>
          <w:color w:val="16261F"/>
          <w:sz w:val="20"/>
        </w:rPr>
        <w:t>The prototype's role selector at line 1839 sets state that is never read; every screen is reachable by every role. Access control is unimplemented and must be built from first principles. See GAP-001.</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FR-AUTH-001</w:t>
            </w:r>
          </w:p>
        </w:tc>
        <w:tc>
          <w:tcPr>
            <w:tcW w:type="dxa" w:w="5976"/>
            <w:tcMar>
              <w:top w:w="60" w:type="dxa"/>
              <w:left w:w="110" w:type="dxa"/>
              <w:bottom w:w="60" w:type="dxa"/>
              <w:right w:w="110" w:type="dxa"/>
            </w:tcMar>
          </w:tcPr>
          <w:p>
            <w:pPr>
              <w:spacing w:after="0"/>
            </w:pPr>
            <w:r>
              <w:rPr>
                <w:b w:val="0"/>
                <w:i w:val="0"/>
                <w:color w:val="16261F"/>
                <w:sz w:val="19"/>
              </w:rPr>
              <w:t>The system shall authenticate a user with an email address and password against their merchant organisation.</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FR-AUTH-002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reject authentication after 5 consecutive failed attempts within 15 minutes and lock the account for 30 minutes.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FR-AUTH-003</w:t>
            </w:r>
          </w:p>
        </w:tc>
        <w:tc>
          <w:tcPr>
            <w:tcW w:type="dxa" w:w="5976"/>
            <w:tcMar>
              <w:top w:w="60" w:type="dxa"/>
              <w:left w:w="110" w:type="dxa"/>
              <w:bottom w:w="60" w:type="dxa"/>
              <w:right w:w="110" w:type="dxa"/>
            </w:tcMar>
          </w:tcPr>
          <w:p>
            <w:pPr>
              <w:spacing w:after="0"/>
            </w:pPr>
            <w:r>
              <w:rPr>
                <w:b w:val="0"/>
                <w:i w:val="0"/>
                <w:color w:val="16261F"/>
                <w:sz w:val="19"/>
              </w:rPr>
              <w:t>The system shall present a generic failure message that does not disclose whether the email address exists.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FR-AUTH-004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record every authentication attempt, successful or not, with timestamp, source IP and user agent.</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FR-AUTH-005</w:t>
            </w:r>
          </w:p>
        </w:tc>
        <w:tc>
          <w:tcPr>
            <w:tcW w:type="dxa" w:w="5976"/>
            <w:tcMar>
              <w:top w:w="60" w:type="dxa"/>
              <w:left w:w="110" w:type="dxa"/>
              <w:bottom w:w="60" w:type="dxa"/>
              <w:right w:w="110" w:type="dxa"/>
            </w:tcMar>
          </w:tcPr>
          <w:p>
            <w:pPr>
              <w:spacing w:after="0"/>
            </w:pPr>
            <w:r>
              <w:rPr>
                <w:b w:val="0"/>
                <w:i w:val="0"/>
                <w:color w:val="16261F"/>
                <w:sz w:val="19"/>
              </w:rPr>
              <w:t>The system shall provide a forgotten-password flow that emails a single-use reset link expiring after 60 minutes.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FR-AUTH-006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invalidate all outstanding reset links when a password is successfully changed.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FR-AUTH-007</w:t>
            </w:r>
          </w:p>
        </w:tc>
        <w:tc>
          <w:tcPr>
            <w:tcW w:type="dxa" w:w="5976"/>
            <w:tcMar>
              <w:top w:w="60" w:type="dxa"/>
              <w:left w:w="110" w:type="dxa"/>
              <w:bottom w:w="60" w:type="dxa"/>
              <w:right w:w="110" w:type="dxa"/>
            </w:tcMar>
          </w:tcPr>
          <w:p>
            <w:pPr>
              <w:spacing w:after="0"/>
            </w:pPr>
            <w:r>
              <w:rPr>
                <w:b w:val="0"/>
                <w:i w:val="0"/>
                <w:color w:val="16261F"/>
                <w:sz w:val="19"/>
              </w:rPr>
              <w:t>The system shall allow a signed-in user to change their own password after re-entering the current password.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FR-AUTH-008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enforce a configurable password policy: minimum length, and required character classes.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FR-AUTH-009</w:t>
            </w:r>
          </w:p>
        </w:tc>
        <w:tc>
          <w:tcPr>
            <w:tcW w:type="dxa" w:w="5976"/>
            <w:tcMar>
              <w:top w:w="60" w:type="dxa"/>
              <w:left w:w="110" w:type="dxa"/>
              <w:bottom w:w="60" w:type="dxa"/>
              <w:right w:w="110" w:type="dxa"/>
            </w:tcMar>
          </w:tcPr>
          <w:p>
            <w:pPr>
              <w:spacing w:after="0"/>
            </w:pPr>
            <w:r>
              <w:rPr>
                <w:b w:val="0"/>
                <w:i w:val="0"/>
                <w:color w:val="16261F"/>
                <w:sz w:val="19"/>
              </w:rPr>
              <w:t>The system shall expire sessions after a configurable period of inactivity, defaulting to 30 minutes.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FR-AUTH-010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provide an explicit sign-out control that terminates the session server-side.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FR-AUTH-011</w:t>
            </w:r>
          </w:p>
        </w:tc>
        <w:tc>
          <w:tcPr>
            <w:tcW w:type="dxa" w:w="5976"/>
            <w:tcMar>
              <w:top w:w="60" w:type="dxa"/>
              <w:left w:w="110" w:type="dxa"/>
              <w:bottom w:w="60" w:type="dxa"/>
              <w:right w:w="110" w:type="dxa"/>
            </w:tcMar>
          </w:tcPr>
          <w:p>
            <w:pPr>
              <w:spacing w:after="0"/>
            </w:pPr>
            <w:r>
              <w:rPr>
                <w:b w:val="0"/>
                <w:i w:val="0"/>
                <w:color w:val="16261F"/>
                <w:sz w:val="19"/>
              </w:rPr>
              <w:t>The system shall list a user's active sessions with device, approximate location and last-seen time, and allow individual revocation.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FR-AUTH-012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optional time-based one-time-password two-factor authentication per user.</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FR-AUTH-013</w:t>
            </w:r>
          </w:p>
        </w:tc>
        <w:tc>
          <w:tcPr>
            <w:tcW w:type="dxa" w:w="5976"/>
            <w:tcMar>
              <w:top w:w="60" w:type="dxa"/>
              <w:left w:w="110" w:type="dxa"/>
              <w:bottom w:w="60" w:type="dxa"/>
              <w:right w:w="110" w:type="dxa"/>
            </w:tcMar>
          </w:tcPr>
          <w:p>
            <w:pPr>
              <w:spacing w:after="0"/>
            </w:pPr>
            <w:r>
              <w:rPr>
                <w:b w:val="0"/>
                <w:i w:val="0"/>
                <w:color w:val="16261F"/>
                <w:sz w:val="19"/>
              </w:rPr>
              <w:t>The system shall allow an administrator to mandate two-factor authentication for all users in the organisation.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FR-AUTH-020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assign every user exactly one role from the six-role model defined in section 3.2.</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FR-AUTH-021</w:t>
            </w:r>
          </w:p>
        </w:tc>
        <w:tc>
          <w:tcPr>
            <w:tcW w:type="dxa" w:w="5976"/>
            <w:tcMar>
              <w:top w:w="60" w:type="dxa"/>
              <w:left w:w="110" w:type="dxa"/>
              <w:bottom w:w="60" w:type="dxa"/>
              <w:right w:w="110" w:type="dxa"/>
            </w:tcMar>
          </w:tcPr>
          <w:p>
            <w:pPr>
              <w:spacing w:after="0"/>
            </w:pPr>
            <w:r>
              <w:rPr>
                <w:b w:val="0"/>
                <w:i w:val="0"/>
                <w:color w:val="16261F"/>
                <w:sz w:val="19"/>
              </w:rPr>
              <w:t>The system shall restrict every application page to the roles permitted by the section 3.3 matrix, denying access server-side rather than by hiding navigation alone.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FR-AUTH-022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enforce the same permission matrix on every API endpoint independently of the user interface.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FR-AUTH-023</w:t>
            </w:r>
          </w:p>
        </w:tc>
        <w:tc>
          <w:tcPr>
            <w:tcW w:type="dxa" w:w="5976"/>
            <w:tcMar>
              <w:top w:w="60" w:type="dxa"/>
              <w:left w:w="110" w:type="dxa"/>
              <w:bottom w:w="60" w:type="dxa"/>
              <w:right w:w="110" w:type="dxa"/>
            </w:tcMar>
          </w:tcPr>
          <w:p>
            <w:pPr>
              <w:spacing w:after="0"/>
            </w:pPr>
            <w:r>
              <w:rPr>
                <w:b w:val="0"/>
                <w:i w:val="0"/>
                <w:color w:val="16261F"/>
                <w:sz w:val="19"/>
              </w:rPr>
              <w:t>The system shall constrain brand-scoped roles to their assigned brands for read and write alike.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FR-AUTH-024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omit navigation entries a user cannot access, in addition to enforcing access server-side.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FR-AUTH-025</w:t>
            </w:r>
          </w:p>
        </w:tc>
        <w:tc>
          <w:tcPr>
            <w:tcW w:type="dxa" w:w="5976"/>
            <w:tcMar>
              <w:top w:w="60" w:type="dxa"/>
              <w:left w:w="110" w:type="dxa"/>
              <w:bottom w:w="60" w:type="dxa"/>
              <w:right w:w="110" w:type="dxa"/>
            </w:tcMar>
          </w:tcPr>
          <w:p>
            <w:pPr>
              <w:spacing w:after="0"/>
            </w:pPr>
            <w:r>
              <w:rPr>
                <w:b w:val="0"/>
                <w:i w:val="0"/>
                <w:color w:val="16261F"/>
                <w:sz w:val="19"/>
              </w:rPr>
              <w:t>The system shall return HTTP 403 with no resource detail when an authorisation check fails.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FR-AUTH-026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re-evaluate a user's permissions on role or brand-assignment change without requiring re-authentication.</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FR-AUTH-027</w:t>
            </w:r>
          </w:p>
        </w:tc>
        <w:tc>
          <w:tcPr>
            <w:tcW w:type="dxa" w:w="5976"/>
            <w:tcMar>
              <w:top w:w="60" w:type="dxa"/>
              <w:left w:w="110" w:type="dxa"/>
              <w:bottom w:w="60" w:type="dxa"/>
              <w:right w:w="110" w:type="dxa"/>
            </w:tcMar>
          </w:tcPr>
          <w:p>
            <w:pPr>
              <w:spacing w:after="0"/>
            </w:pPr>
            <w:r>
              <w:rPr>
                <w:b w:val="0"/>
                <w:i w:val="0"/>
                <w:color w:val="16261F"/>
                <w:sz w:val="19"/>
              </w:rPr>
              <w:t>The system shall prevent a user from modifying their own role or brand assignments.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bl>
    <w:p>
      <w:pPr>
        <w:pStyle w:val="Heading2"/>
      </w:pPr>
      <w:r>
        <w:t>5.1 Key acceptance criteria</w:t>
      </w:r>
    </w:p>
    <w:p>
      <w:pPr>
        <w:pStyle w:val="ListNumber"/>
        <w:spacing w:after="60"/>
        <w:ind w:left="360"/>
      </w:pPr>
      <w:r>
        <w:rPr>
          <w:color w:val="16261F"/>
          <w:sz w:val="21"/>
        </w:rPr>
        <w:t>Attempting to reach a brand-scoped URL for an unassigned brand returns 403 and writes an audit entry, whether requested from the UI or directly against the API.</w:t>
      </w:r>
    </w:p>
    <w:p>
      <w:pPr>
        <w:pStyle w:val="ListNumber"/>
        <w:spacing w:after="60"/>
        <w:ind w:left="360"/>
      </w:pPr>
      <w:r>
        <w:rPr>
          <w:color w:val="16261F"/>
          <w:sz w:val="21"/>
        </w:rPr>
        <w:t>A Read Only User issuing a POST, PATCH or DELETE to any invoice endpoint receives 403 with no state change.</w:t>
      </w:r>
    </w:p>
    <w:p>
      <w:pPr>
        <w:pStyle w:val="ListNumber"/>
        <w:spacing w:after="60"/>
        <w:ind w:left="360"/>
      </w:pPr>
      <w:r>
        <w:rPr>
          <w:color w:val="16261F"/>
          <w:sz w:val="21"/>
        </w:rPr>
        <w:t>Changing a user's role takes effect on their next request without a forced sign-out.</w:t>
      </w:r>
    </w:p>
    <w:p>
      <w:pPr>
        <w:pStyle w:val="ListNumber"/>
        <w:spacing w:after="60"/>
        <w:ind w:left="360"/>
      </w:pPr>
      <w:r>
        <w:rPr>
          <w:color w:val="16261F"/>
          <w:sz w:val="21"/>
        </w:rPr>
        <w:t>After sign-out, replaying the previous session token returns 401.</w:t>
      </w:r>
    </w:p>
    <w:p>
      <w:r>
        <w:br w:type="page"/>
      </w:r>
    </w:p>
    <w:p>
      <w:pPr>
        <w:pStyle w:val="Heading1"/>
      </w:pPr>
      <w:r>
        <w:t>6. FR-ORG — Merchant organisation</w:t>
      </w:r>
    </w:p>
    <w:p>
      <w:pPr>
        <w:spacing w:after="140"/>
      </w:pPr>
      <w:r>
        <w:rPr>
          <w:b w:val="0"/>
          <w:i w:val="0"/>
          <w:color w:val="16261F"/>
          <w:sz w:val="21"/>
        </w:rPr>
        <w:t>The top-level tenant record and the management of the users within it.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FR-ORG-001</w:t>
            </w:r>
          </w:p>
        </w:tc>
        <w:tc>
          <w:tcPr>
            <w:tcW w:type="dxa" w:w="5976"/>
            <w:tcMar>
              <w:top w:w="60" w:type="dxa"/>
              <w:left w:w="110" w:type="dxa"/>
              <w:bottom w:w="60" w:type="dxa"/>
              <w:right w:w="110" w:type="dxa"/>
            </w:tcMar>
          </w:tcPr>
          <w:p>
            <w:pPr>
              <w:spacing w:after="0"/>
            </w:pPr>
            <w:r>
              <w:rPr>
                <w:b w:val="0"/>
                <w:i w:val="0"/>
                <w:color w:val="16261F"/>
                <w:sz w:val="19"/>
              </w:rPr>
              <w:t>The system shall hold a merchant record comprising company name, contact email and business address.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FR-ORG-002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the Merchant Owner and Merchant Admin to edit the merchant record.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FR-ORG-003</w:t>
            </w:r>
          </w:p>
        </w:tc>
        <w:tc>
          <w:tcPr>
            <w:tcW w:type="dxa" w:w="5976"/>
            <w:tcMar>
              <w:top w:w="60" w:type="dxa"/>
              <w:left w:w="110" w:type="dxa"/>
              <w:bottom w:w="60" w:type="dxa"/>
              <w:right w:w="110" w:type="dxa"/>
            </w:tcMar>
          </w:tcPr>
          <w:p>
            <w:pPr>
              <w:spacing w:after="0"/>
            </w:pPr>
            <w:r>
              <w:rPr>
                <w:b w:val="0"/>
                <w:i w:val="0"/>
                <w:color w:val="16261F"/>
                <w:sz w:val="19"/>
              </w:rPr>
              <w:t>The system shall display the merchant's plan and account status as read-only to all roles except Merchant Owner.</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FR-ORG-004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an activity summary showing brand count, total customer count and team member count.</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FR-ORG-010</w:t>
            </w:r>
          </w:p>
        </w:tc>
        <w:tc>
          <w:tcPr>
            <w:tcW w:type="dxa" w:w="5976"/>
            <w:tcMar>
              <w:top w:w="60" w:type="dxa"/>
              <w:left w:w="110" w:type="dxa"/>
              <w:bottom w:w="60" w:type="dxa"/>
              <w:right w:w="110" w:type="dxa"/>
            </w:tcMar>
          </w:tcPr>
          <w:p>
            <w:pPr>
              <w:spacing w:after="0"/>
            </w:pPr>
            <w:r>
              <w:rPr>
                <w:b w:val="0"/>
                <w:i w:val="0"/>
                <w:color w:val="16261F"/>
                <w:sz w:val="19"/>
              </w:rPr>
              <w:t>The system shall list all users in the organisation with name, email, role, brand assignments and last sign-in.</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FR-ORG-011</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an authorised user to invite a new user by email, assigning a role and brand set at invitation time.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FR-ORG-012</w:t>
            </w:r>
          </w:p>
        </w:tc>
        <w:tc>
          <w:tcPr>
            <w:tcW w:type="dxa" w:w="5976"/>
            <w:tcMar>
              <w:top w:w="60" w:type="dxa"/>
              <w:left w:w="110" w:type="dxa"/>
              <w:bottom w:w="60" w:type="dxa"/>
              <w:right w:w="110" w:type="dxa"/>
            </w:tcMar>
          </w:tcPr>
          <w:p>
            <w:pPr>
              <w:spacing w:after="0"/>
            </w:pPr>
            <w:r>
              <w:rPr>
                <w:b w:val="0"/>
                <w:i w:val="0"/>
                <w:color w:val="16261F"/>
                <w:sz w:val="19"/>
              </w:rPr>
              <w:t>The system shall issue an invitation link that expires after 7 days and can be re-sent.</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FR-ORG-013</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an authorised user to change another user's role and brand assignments.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FR-ORG-014</w:t>
            </w:r>
          </w:p>
        </w:tc>
        <w:tc>
          <w:tcPr>
            <w:tcW w:type="dxa" w:w="5976"/>
            <w:tcMar>
              <w:top w:w="60" w:type="dxa"/>
              <w:left w:w="110" w:type="dxa"/>
              <w:bottom w:w="60" w:type="dxa"/>
              <w:right w:w="110" w:type="dxa"/>
            </w:tcMar>
          </w:tcPr>
          <w:p>
            <w:pPr>
              <w:spacing w:after="0"/>
            </w:pPr>
            <w:r>
              <w:rPr>
                <w:b w:val="0"/>
                <w:i w:val="0"/>
                <w:color w:val="16261F"/>
                <w:sz w:val="19"/>
              </w:rPr>
              <w:t>The system shall allow an authorised user to deactivate a user, immediately terminating their sessions while retaining their audit history.</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FR-ORG-015</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prevent deactivation or role reduction of the last remaining Merchant Owner.</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FR-ORG-016</w:t>
            </w:r>
          </w:p>
        </w:tc>
        <w:tc>
          <w:tcPr>
            <w:tcW w:type="dxa" w:w="5976"/>
            <w:tcMar>
              <w:top w:w="60" w:type="dxa"/>
              <w:left w:w="110" w:type="dxa"/>
              <w:bottom w:w="60" w:type="dxa"/>
              <w:right w:w="110" w:type="dxa"/>
            </w:tcMar>
          </w:tcPr>
          <w:p>
            <w:pPr>
              <w:spacing w:after="0"/>
            </w:pPr>
            <w:r>
              <w:rPr>
                <w:b w:val="0"/>
                <w:i w:val="0"/>
                <w:color w:val="16261F"/>
                <w:sz w:val="19"/>
              </w:rPr>
              <w:t>The system shall display the role permission matrix as reference documentation within the user management screen.</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C</w:t>
            </w:r>
          </w:p>
        </w:tc>
      </w:tr>
    </w:tbl>
    <w:p>
      <w:r>
        <w:br w:type="page"/>
      </w:r>
    </w:p>
    <w:p>
      <w:pPr>
        <w:pStyle w:val="Heading1"/>
      </w:pPr>
      <w:r>
        <w:t>7. FR-BRD — Brand management</w:t>
      </w:r>
    </w:p>
    <w:p>
      <w:pPr>
        <w:spacing w:after="140"/>
      </w:pPr>
      <w:r>
        <w:rPr>
          <w:b w:val="0"/>
          <w:i w:val="0"/>
          <w:color w:val="16261F"/>
          <w:sz w:val="21"/>
        </w:rPr>
        <w:t>Brands are the primary unit of configuration and data isolation. Every operational record in the platform hangs off exactly one brand.</w:t>
      </w:r>
    </w:p>
    <w:p>
      <w:pPr>
        <w:pBdr>
          <w:left w:val="single" w:sz="18" w:space="10" w:color="C0473D"/>
        </w:pBdr>
        <w:shd w:val="clear" w:color="auto" w:fill="F9E7E5"/>
        <w:spacing w:before="160" w:after="180"/>
        <w:ind w:left="173"/>
      </w:pPr>
      <w:r>
        <w:rPr>
          <w:b/>
          <w:color w:val="C0473D"/>
          <w:sz w:val="17"/>
        </w:rPr>
        <w:t xml:space="preserve">GAP  </w:t>
      </w:r>
      <w:r>
        <w:rPr>
          <w:color w:val="16261F"/>
          <w:sz w:val="20"/>
        </w:rPr>
        <w:t>The prototype's brand record omits legal name, sales person, phone and email, and does not distinguish mailing from billing address — all four are explicit MVP requirements. Its 'Create brand' modal is non-functional. See GAP-004.</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FR-BRD-001</w:t>
            </w:r>
          </w:p>
        </w:tc>
        <w:tc>
          <w:tcPr>
            <w:tcW w:type="dxa" w:w="5976"/>
            <w:tcMar>
              <w:top w:w="60" w:type="dxa"/>
              <w:left w:w="110" w:type="dxa"/>
              <w:bottom w:w="60" w:type="dxa"/>
              <w:right w:w="110" w:type="dxa"/>
            </w:tcMar>
          </w:tcPr>
          <w:p>
            <w:pPr>
              <w:spacing w:after="0"/>
            </w:pPr>
            <w:r>
              <w:rPr>
                <w:b w:val="0"/>
                <w:i w:val="0"/>
                <w:color w:val="16261F"/>
                <w:sz w:val="19"/>
              </w:rPr>
              <w:t>The system shall allow an authorised user to create a brand within the merchant organisation.</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FR-BRD-002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capture, for each brand: legal name, display name, sales person, phone number, email address, mailing address and billing address.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FR-BRD-003</w:t>
            </w:r>
          </w:p>
        </w:tc>
        <w:tc>
          <w:tcPr>
            <w:tcW w:type="dxa" w:w="5976"/>
            <w:tcMar>
              <w:top w:w="60" w:type="dxa"/>
              <w:left w:w="110" w:type="dxa"/>
              <w:bottom w:w="60" w:type="dxa"/>
              <w:right w:w="110" w:type="dxa"/>
            </w:tcMar>
          </w:tcPr>
          <w:p>
            <w:pPr>
              <w:spacing w:after="0"/>
            </w:pPr>
            <w:r>
              <w:rPr>
                <w:b w:val="0"/>
                <w:i w:val="0"/>
                <w:color w:val="16261F"/>
                <w:sz w:val="19"/>
              </w:rPr>
              <w:t>The system shall capture, for each brand: tax registration identifier, base currency and time zone.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FR-BRD-004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capture, for each brand: logo image and primary theme colour, applied to invoices, emails and payment pages.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FR-BRD-005</w:t>
            </w:r>
          </w:p>
        </w:tc>
        <w:tc>
          <w:tcPr>
            <w:tcW w:type="dxa" w:w="5976"/>
            <w:tcMar>
              <w:top w:w="60" w:type="dxa"/>
              <w:left w:w="110" w:type="dxa"/>
              <w:bottom w:w="60" w:type="dxa"/>
              <w:right w:w="110" w:type="dxa"/>
            </w:tcMar>
          </w:tcPr>
          <w:p>
            <w:pPr>
              <w:spacing w:after="0"/>
            </w:pPr>
            <w:r>
              <w:rPr>
                <w:b w:val="0"/>
                <w:i w:val="0"/>
                <w:color w:val="16261F"/>
                <w:sz w:val="19"/>
              </w:rPr>
              <w:t>The system shall list all brands with name, status, customer count, open invoice count and outstanding balance.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FR-BRD-006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an authorised user to edit any brand attribute after creation.</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FR-BRD-007</w:t>
            </w:r>
          </w:p>
        </w:tc>
        <w:tc>
          <w:tcPr>
            <w:tcW w:type="dxa" w:w="5976"/>
            <w:tcMar>
              <w:top w:w="60" w:type="dxa"/>
              <w:left w:w="110" w:type="dxa"/>
              <w:bottom w:w="60" w:type="dxa"/>
              <w:right w:w="110" w:type="dxa"/>
            </w:tcMar>
          </w:tcPr>
          <w:p>
            <w:pPr>
              <w:spacing w:after="0"/>
            </w:pPr>
            <w:r>
              <w:rPr>
                <w:b w:val="0"/>
                <w:i w:val="0"/>
                <w:color w:val="16261F"/>
                <w:sz w:val="19"/>
              </w:rPr>
              <w:t>The system shall support archiving a brand, which suspends invoice issue and email sending while retaining all historical data as read-only.</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FR-BRD-008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restoring an archived brand to active status.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FR-BRD-009</w:t>
            </w:r>
          </w:p>
        </w:tc>
        <w:tc>
          <w:tcPr>
            <w:tcW w:type="dxa" w:w="5976"/>
            <w:tcMar>
              <w:top w:w="60" w:type="dxa"/>
              <w:left w:w="110" w:type="dxa"/>
              <w:bottom w:w="60" w:type="dxa"/>
              <w:right w:w="110" w:type="dxa"/>
            </w:tcMar>
          </w:tcPr>
          <w:p>
            <w:pPr>
              <w:spacing w:after="0"/>
            </w:pPr>
            <w:r>
              <w:rPr>
                <w:b w:val="0"/>
                <w:i w:val="0"/>
                <w:color w:val="16261F"/>
                <w:sz w:val="19"/>
              </w:rPr>
              <w:t>The system shall prevent deletion of a brand that holds any invoice, offering archive instead.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FR-BRD-010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provide a brand switcher that changes the active brand context for all brand-scoped screens.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FR-BRD-011</w:t>
            </w:r>
          </w:p>
        </w:tc>
        <w:tc>
          <w:tcPr>
            <w:tcW w:type="dxa" w:w="5976"/>
            <w:tcMar>
              <w:top w:w="60" w:type="dxa"/>
              <w:left w:w="110" w:type="dxa"/>
              <w:bottom w:w="60" w:type="dxa"/>
              <w:right w:w="110" w:type="dxa"/>
            </w:tcMar>
          </w:tcPr>
          <w:p>
            <w:pPr>
              <w:spacing w:after="0"/>
            </w:pPr>
            <w:r>
              <w:rPr>
                <w:b w:val="0"/>
                <w:i w:val="0"/>
                <w:color w:val="16261F"/>
                <w:sz w:val="19"/>
              </w:rPr>
              <w:t>The system shall restrict the brand switcher to brands the signed-in user is assigned to.</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FR-BRD-012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persist the selected brand across sessions for each user.</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FR-BRD-013</w:t>
            </w:r>
          </w:p>
        </w:tc>
        <w:tc>
          <w:tcPr>
            <w:tcW w:type="dxa" w:w="5976"/>
            <w:tcMar>
              <w:top w:w="60" w:type="dxa"/>
              <w:left w:w="110" w:type="dxa"/>
              <w:bottom w:w="60" w:type="dxa"/>
              <w:right w:w="110" w:type="dxa"/>
            </w:tcMar>
          </w:tcPr>
          <w:p>
            <w:pPr>
              <w:spacing w:after="0"/>
            </w:pPr>
            <w:r>
              <w:rPr>
                <w:b w:val="0"/>
                <w:i w:val="0"/>
                <w:color w:val="16261F"/>
                <w:sz w:val="19"/>
              </w:rPr>
              <w:t>The system shall capture brand-level invoice defaults: invoice number prefix, payment terms and late fee rate.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FR-BRD-014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guarantee invoice number uniqueness within a brand, using the brand prefix and a monotonic sequence.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bl>
    <w:p>
      <w:r>
        <w:br w:type="page"/>
      </w:r>
    </w:p>
    <w:p>
      <w:pPr>
        <w:pStyle w:val="Heading1"/>
      </w:pPr>
      <w:r>
        <w:t>8. FR-CUS — Customer management (accounts receivable)</w:t>
      </w:r>
    </w:p>
    <w:p>
      <w:pPr>
        <w:spacing w:after="140"/>
      </w:pPr>
      <w:r>
        <w:rPr>
          <w:b w:val="0"/>
          <w:i w:val="0"/>
          <w:color w:val="16261F"/>
          <w:sz w:val="21"/>
        </w:rPr>
        <w:t>Customers are the businesses a brand invoices. They are the counterparty on every invoice and the actor in the Pay Now experience.</w:t>
      </w:r>
    </w:p>
    <w:p>
      <w:pPr>
        <w:pBdr>
          <w:left w:val="single" w:sz="18" w:space="10" w:color="C0473D"/>
        </w:pBdr>
        <w:shd w:val="clear" w:color="auto" w:fill="F9E7E5"/>
        <w:spacing w:before="160" w:after="180"/>
        <w:ind w:left="173"/>
      </w:pPr>
      <w:r>
        <w:rPr>
          <w:b/>
          <w:color w:val="C0473D"/>
          <w:sz w:val="17"/>
        </w:rPr>
        <w:t xml:space="preserve">GAP  </w:t>
      </w:r>
      <w:r>
        <w:rPr>
          <w:color w:val="16261F"/>
          <w:sz w:val="20"/>
        </w:rPr>
        <w:t>The prototype models a customer as name, one email and a city only, and labels the entity 'Vendor'. Type, company name, display name, phone and shipping address are all MVP requirements that are absent. Date and brand filters are absent. See GAP-002, GAP-005.</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FR-CUS-001</w:t>
            </w:r>
          </w:p>
        </w:tc>
        <w:tc>
          <w:tcPr>
            <w:tcW w:type="dxa" w:w="5976"/>
            <w:tcMar>
              <w:top w:w="60" w:type="dxa"/>
              <w:left w:w="110" w:type="dxa"/>
              <w:bottom w:w="60" w:type="dxa"/>
              <w:right w:w="110" w:type="dxa"/>
            </w:tcMar>
          </w:tcPr>
          <w:p>
            <w:pPr>
              <w:spacing w:after="0"/>
            </w:pPr>
            <w:r>
              <w:rPr>
                <w:b w:val="0"/>
                <w:i w:val="0"/>
                <w:color w:val="16261F"/>
                <w:sz w:val="19"/>
              </w:rPr>
              <w:t>The system shall allow an authorised user to create a customer within the active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FR-CUS-002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capture, for each customer: type (business or individual), salutation and name, company name, and display name.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FR-CUS-003</w:t>
            </w:r>
          </w:p>
        </w:tc>
        <w:tc>
          <w:tcPr>
            <w:tcW w:type="dxa" w:w="5976"/>
            <w:tcMar>
              <w:top w:w="60" w:type="dxa"/>
              <w:left w:w="110" w:type="dxa"/>
              <w:bottom w:w="60" w:type="dxa"/>
              <w:right w:w="110" w:type="dxa"/>
            </w:tcMar>
          </w:tcPr>
          <w:p>
            <w:pPr>
              <w:spacing w:after="0"/>
            </w:pPr>
            <w:r>
              <w:rPr>
                <w:b w:val="0"/>
                <w:i w:val="0"/>
                <w:color w:val="16261F"/>
                <w:sz w:val="19"/>
              </w:rPr>
              <w:t>The system shall capture, for each customer: primary email address, additional contact emails and phone number.</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FR-CUS-004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capture a billing address and a shipping address independently, with a control to copy one to the other.</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FR-CUS-005</w:t>
            </w:r>
          </w:p>
        </w:tc>
        <w:tc>
          <w:tcPr>
            <w:tcW w:type="dxa" w:w="5976"/>
            <w:tcMar>
              <w:top w:w="60" w:type="dxa"/>
              <w:left w:w="110" w:type="dxa"/>
              <w:bottom w:w="60" w:type="dxa"/>
              <w:right w:w="110" w:type="dxa"/>
            </w:tcMar>
          </w:tcPr>
          <w:p>
            <w:pPr>
              <w:spacing w:after="0"/>
            </w:pPr>
            <w:r>
              <w:rPr>
                <w:b w:val="0"/>
                <w:i w:val="0"/>
                <w:color w:val="16261F"/>
                <w:sz w:val="19"/>
              </w:rPr>
              <w:t>The system shall default the display name from company name where present, otherwise from contact name, while allowing override.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FR-CUS-006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list customers within the active brand with display name, primary contact, outstanding balance, invoice count and payment count.</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FR-CUS-007</w:t>
            </w:r>
          </w:p>
        </w:tc>
        <w:tc>
          <w:tcPr>
            <w:tcW w:type="dxa" w:w="5976"/>
            <w:tcMar>
              <w:top w:w="60" w:type="dxa"/>
              <w:left w:w="110" w:type="dxa"/>
              <w:bottom w:w="60" w:type="dxa"/>
              <w:right w:w="110" w:type="dxa"/>
            </w:tcMar>
          </w:tcPr>
          <w:p>
            <w:pPr>
              <w:spacing w:after="0"/>
            </w:pPr>
            <w:r>
              <w:rPr>
                <w:b w:val="0"/>
                <w:i w:val="0"/>
                <w:color w:val="16261F"/>
                <w:sz w:val="19"/>
              </w:rPr>
              <w:t>The system shall filter the customer list by creation or activity date range.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FR-CUS-008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filter the customer list by brand for users assigned to more than one brand.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FR-CUS-009</w:t>
            </w:r>
          </w:p>
        </w:tc>
        <w:tc>
          <w:tcPr>
            <w:tcW w:type="dxa" w:w="5976"/>
            <w:tcMar>
              <w:top w:w="60" w:type="dxa"/>
              <w:left w:w="110" w:type="dxa"/>
              <w:bottom w:w="60" w:type="dxa"/>
              <w:right w:w="110" w:type="dxa"/>
            </w:tcMar>
          </w:tcPr>
          <w:p>
            <w:pPr>
              <w:spacing w:after="0"/>
            </w:pPr>
            <w:r>
              <w:rPr>
                <w:b w:val="0"/>
                <w:i w:val="0"/>
                <w:color w:val="16261F"/>
                <w:sz w:val="19"/>
              </w:rPr>
              <w:t>The system shall filter the customer list by outstanding balance state: any outstanding, fully settled, or all.</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FR-CUS-010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provide free-text search across customer display name, company name and email address.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FR-CUS-011</w:t>
            </w:r>
          </w:p>
        </w:tc>
        <w:tc>
          <w:tcPr>
            <w:tcW w:type="dxa" w:w="5976"/>
            <w:tcMar>
              <w:top w:w="60" w:type="dxa"/>
              <w:left w:w="110" w:type="dxa"/>
              <w:bottom w:w="60" w:type="dxa"/>
              <w:right w:w="110" w:type="dxa"/>
            </w:tcMar>
          </w:tcPr>
          <w:p>
            <w:pPr>
              <w:spacing w:after="0"/>
            </w:pPr>
            <w:r>
              <w:rPr>
                <w:b w:val="0"/>
                <w:i w:val="0"/>
                <w:color w:val="16261F"/>
                <w:sz w:val="19"/>
              </w:rPr>
              <w:t>The system shall allow an authorised user to edit any customer attribute.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FR-CUS-012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archiving a customer, preventing new invoices while retaining history.</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FR-CUS-013</w:t>
            </w:r>
          </w:p>
        </w:tc>
        <w:tc>
          <w:tcPr>
            <w:tcW w:type="dxa" w:w="5976"/>
            <w:tcMar>
              <w:top w:w="60" w:type="dxa"/>
              <w:left w:w="110" w:type="dxa"/>
              <w:bottom w:w="60" w:type="dxa"/>
              <w:right w:w="110" w:type="dxa"/>
            </w:tcMar>
          </w:tcPr>
          <w:p>
            <w:pPr>
              <w:spacing w:after="0"/>
            </w:pPr>
            <w:r>
              <w:rPr>
                <w:b w:val="0"/>
                <w:i w:val="0"/>
                <w:color w:val="16261F"/>
                <w:sz w:val="19"/>
              </w:rPr>
              <w:t>The system shall prevent deletion of a customer holding any invoice.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FR-CUS-014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 customer history view listing every invoice with number, date, amount, status and balance.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FR-CUS-015</w:t>
            </w:r>
          </w:p>
        </w:tc>
        <w:tc>
          <w:tcPr>
            <w:tcW w:type="dxa" w:w="5976"/>
            <w:tcMar>
              <w:top w:w="60" w:type="dxa"/>
              <w:left w:w="110" w:type="dxa"/>
              <w:bottom w:w="60" w:type="dxa"/>
              <w:right w:w="110" w:type="dxa"/>
            </w:tcMar>
          </w:tcPr>
          <w:p>
            <w:pPr>
              <w:spacing w:after="0"/>
            </w:pPr>
            <w:r>
              <w:rPr>
                <w:b w:val="0"/>
                <w:i w:val="0"/>
                <w:color w:val="16261F"/>
                <w:sz w:val="19"/>
              </w:rPr>
              <w:t>The system shall present, within customer history, every payment received with date, method, amount and reference.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FR-CUS-016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display the customer's aggregate outstanding balance and lifetime paid total.</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FR-CUS-017</w:t>
            </w:r>
          </w:p>
        </w:tc>
        <w:tc>
          <w:tcPr>
            <w:tcW w:type="dxa" w:w="5976"/>
            <w:tcMar>
              <w:top w:w="60" w:type="dxa"/>
              <w:left w:w="110" w:type="dxa"/>
              <w:bottom w:w="60" w:type="dxa"/>
              <w:right w:w="110" w:type="dxa"/>
            </w:tcMar>
          </w:tcPr>
          <w:p>
            <w:pPr>
              <w:spacing w:after="0"/>
            </w:pPr>
            <w:r>
              <w:rPr>
                <w:b w:val="0"/>
                <w:i w:val="0"/>
                <w:color w:val="16261F"/>
                <w:sz w:val="19"/>
              </w:rPr>
              <w:t>The system shall support free-text internal notes against a customer, visible only to merchant staff.</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FR-CUS-018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record and display the Zoho synchronisation state of each customer record.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FR-CUS-019</w:t>
            </w:r>
          </w:p>
        </w:tc>
        <w:tc>
          <w:tcPr>
            <w:tcW w:type="dxa" w:w="5976"/>
            <w:tcMar>
              <w:top w:w="60" w:type="dxa"/>
              <w:left w:w="110" w:type="dxa"/>
              <w:bottom w:w="60" w:type="dxa"/>
              <w:right w:w="110" w:type="dxa"/>
            </w:tcMar>
          </w:tcPr>
          <w:p>
            <w:pPr>
              <w:spacing w:after="0"/>
            </w:pPr>
            <w:r>
              <w:rPr>
                <w:b w:val="0"/>
                <w:i w:val="0"/>
                <w:color w:val="16261F"/>
                <w:sz w:val="19"/>
              </w:rPr>
              <w:t>The system shall support bulk import of customers from CSV with a column-mapping step and a validation report.</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FR-CUS-020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export of the filtered customer list to CSV.</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bl>
    <w:p>
      <w:r>
        <w:br w:type="page"/>
      </w:r>
    </w:p>
    <w:p>
      <w:pPr>
        <w:pStyle w:val="Heading1"/>
      </w:pPr>
      <w:r>
        <w:t>9. FR-VEN — Vendor management (accounts payable)</w:t>
      </w:r>
    </w:p>
    <w:p>
      <w:pPr>
        <w:spacing w:after="140"/>
      </w:pPr>
      <w:r>
        <w:rPr>
          <w:b w:val="0"/>
          <w:i w:val="0"/>
          <w:color w:val="16261F"/>
          <w:sz w:val="21"/>
        </w:rPr>
        <w:t>Vendors are businesses the merchant owes money to — the mirror of customers. This module was requested during requirements review to align the platform fully with the Zoho Books contact model. No prototype exists for any requirement in this section.</w:t>
      </w:r>
    </w:p>
    <w:p>
      <w:pPr>
        <w:pBdr>
          <w:left w:val="single" w:sz="18" w:space="10" w:color="6B5B95"/>
        </w:pBdr>
        <w:shd w:val="clear" w:color="auto" w:fill="EFECF5"/>
        <w:spacing w:before="160" w:after="180"/>
        <w:ind w:left="173"/>
      </w:pPr>
      <w:r>
        <w:rPr>
          <w:b/>
          <w:color w:val="6B5B95"/>
          <w:sz w:val="17"/>
        </w:rPr>
        <w:t xml:space="preserve">SCOPE  </w:t>
      </w:r>
      <w:r>
        <w:rPr>
          <w:color w:val="16261F"/>
          <w:sz w:val="20"/>
        </w:rPr>
        <w:t>This module is entirely new. It is neither in the signed MVP Feature List nor in the prototype. It carries its own data model, Zoho object mappings, screens and test surface, and should be estimated and contracted as a discrete phase.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FR-VEN-001</w:t>
            </w:r>
          </w:p>
        </w:tc>
        <w:tc>
          <w:tcPr>
            <w:tcW w:type="dxa" w:w="5976"/>
            <w:tcMar>
              <w:top w:w="60" w:type="dxa"/>
              <w:left w:w="110" w:type="dxa"/>
              <w:bottom w:w="60" w:type="dxa"/>
              <w:right w:w="110" w:type="dxa"/>
            </w:tcMar>
          </w:tcPr>
          <w:p>
            <w:pPr>
              <w:spacing w:after="0"/>
            </w:pPr>
            <w:r>
              <w:rPr>
                <w:b w:val="0"/>
                <w:i w:val="0"/>
                <w:color w:val="16261F"/>
                <w:sz w:val="19"/>
              </w:rPr>
              <w:t>The system shall hold vendor records as an entity distinct from customers, with its own list, detail and history views.</w:t>
            </w:r>
          </w:p>
        </w:tc>
        <w:tc>
          <w:tcPr>
            <w:tcW w:type="dxa" w:w="1037"/>
            <w:tcMar>
              <w:top w:w="60" w:type="dxa"/>
              <w:left w:w="110" w:type="dxa"/>
              <w:bottom w:w="60" w:type="dxa"/>
              <w:right w:w="110" w:type="dxa"/>
            </w:tcMar>
          </w:tcPr>
          <w:p>
            <w:pPr>
              <w:spacing w:after="0"/>
              <w:jc w:val="center"/>
            </w:pPr>
            <w:r>
              <w:rPr>
                <w:b/>
                <w:i w:val="0"/>
                <w:color w:val="6B5B95"/>
                <w:sz w:val="17"/>
              </w:rPr>
              <w:t>Phase 3</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FR-VEN-002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capture, for each vendor: legal name, display name, primary contact, email, phone and remittance address.</w:t>
            </w:r>
          </w:p>
        </w:tc>
        <w:tc>
          <w:tcPr>
            <w:tcW w:type="dxa" w:w="1037"/>
            <w:tcMar>
              <w:top w:w="60" w:type="dxa"/>
              <w:left w:w="110" w:type="dxa"/>
              <w:bottom w:w="60" w:type="dxa"/>
              <w:right w:w="110" w:type="dxa"/>
            </w:tcMar>
            <w:shd w:val="clear" w:color="auto" w:fill="F5F7F5"/>
          </w:tcPr>
          <w:p>
            <w:pPr>
              <w:spacing w:after="0"/>
              <w:jc w:val="center"/>
            </w:pPr>
            <w:r>
              <w:rPr>
                <w:b/>
                <w:i w:val="0"/>
                <w:color w:val="6B5B95"/>
                <w:sz w:val="17"/>
              </w:rPr>
              <w:t>Phase 3</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FR-VEN-003</w:t>
            </w:r>
          </w:p>
        </w:tc>
        <w:tc>
          <w:tcPr>
            <w:tcW w:type="dxa" w:w="5976"/>
            <w:tcMar>
              <w:top w:w="60" w:type="dxa"/>
              <w:left w:w="110" w:type="dxa"/>
              <w:bottom w:w="60" w:type="dxa"/>
              <w:right w:w="110" w:type="dxa"/>
            </w:tcMar>
          </w:tcPr>
          <w:p>
            <w:pPr>
              <w:spacing w:after="0"/>
            </w:pPr>
            <w:r>
              <w:rPr>
                <w:b w:val="0"/>
                <w:i w:val="0"/>
                <w:color w:val="16261F"/>
                <w:sz w:val="19"/>
              </w:rPr>
              <w:t>The system shall capture vendor payment terms, default currency and tax registration identifier.</w:t>
            </w:r>
          </w:p>
        </w:tc>
        <w:tc>
          <w:tcPr>
            <w:tcW w:type="dxa" w:w="1037"/>
            <w:tcMar>
              <w:top w:w="60" w:type="dxa"/>
              <w:left w:w="110" w:type="dxa"/>
              <w:bottom w:w="60" w:type="dxa"/>
              <w:right w:w="110" w:type="dxa"/>
            </w:tcMar>
          </w:tcPr>
          <w:p>
            <w:pPr>
              <w:spacing w:after="0"/>
              <w:jc w:val="center"/>
            </w:pPr>
            <w:r>
              <w:rPr>
                <w:b/>
                <w:i w:val="0"/>
                <w:color w:val="6B5B95"/>
                <w:sz w:val="17"/>
              </w:rPr>
              <w:t>Phase 3</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FR-VEN-004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scope vendors to a brand in the same manner as customers.</w:t>
            </w:r>
          </w:p>
        </w:tc>
        <w:tc>
          <w:tcPr>
            <w:tcW w:type="dxa" w:w="1037"/>
            <w:tcMar>
              <w:top w:w="60" w:type="dxa"/>
              <w:left w:w="110" w:type="dxa"/>
              <w:bottom w:w="60" w:type="dxa"/>
              <w:right w:w="110" w:type="dxa"/>
            </w:tcMar>
            <w:shd w:val="clear" w:color="auto" w:fill="F5F7F5"/>
          </w:tcPr>
          <w:p>
            <w:pPr>
              <w:spacing w:after="0"/>
              <w:jc w:val="center"/>
            </w:pPr>
            <w:r>
              <w:rPr>
                <w:b/>
                <w:i w:val="0"/>
                <w:color w:val="6B5B95"/>
                <w:sz w:val="17"/>
              </w:rPr>
              <w:t>Phase 3</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FR-VEN-005</w:t>
            </w:r>
          </w:p>
        </w:tc>
        <w:tc>
          <w:tcPr>
            <w:tcW w:type="dxa" w:w="5976"/>
            <w:tcMar>
              <w:top w:w="60" w:type="dxa"/>
              <w:left w:w="110" w:type="dxa"/>
              <w:bottom w:w="60" w:type="dxa"/>
              <w:right w:w="110" w:type="dxa"/>
            </w:tcMar>
          </w:tcPr>
          <w:p>
            <w:pPr>
              <w:spacing w:after="0"/>
            </w:pPr>
            <w:r>
              <w:rPr>
                <w:b w:val="0"/>
                <w:i w:val="0"/>
                <w:color w:val="16261F"/>
                <w:sz w:val="19"/>
              </w:rPr>
              <w:t>The system shall synchronise vendors bidirectionally with Zoho Contacts of type Vendor, kept strictly separate from the Customer contact stream.</w:t>
            </w:r>
          </w:p>
        </w:tc>
        <w:tc>
          <w:tcPr>
            <w:tcW w:type="dxa" w:w="1037"/>
            <w:tcMar>
              <w:top w:w="60" w:type="dxa"/>
              <w:left w:w="110" w:type="dxa"/>
              <w:bottom w:w="60" w:type="dxa"/>
              <w:right w:w="110" w:type="dxa"/>
            </w:tcMar>
          </w:tcPr>
          <w:p>
            <w:pPr>
              <w:spacing w:after="0"/>
              <w:jc w:val="center"/>
            </w:pPr>
            <w:r>
              <w:rPr>
                <w:b/>
                <w:i w:val="0"/>
                <w:color w:val="6B5B95"/>
                <w:sz w:val="17"/>
              </w:rPr>
              <w:t>Phase 3</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FR-VEN-010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hold bill records representing amounts payable to a vendor, with line items, tax, due date and status.</w:t>
            </w:r>
          </w:p>
        </w:tc>
        <w:tc>
          <w:tcPr>
            <w:tcW w:type="dxa" w:w="1037"/>
            <w:tcMar>
              <w:top w:w="60" w:type="dxa"/>
              <w:left w:w="110" w:type="dxa"/>
              <w:bottom w:w="60" w:type="dxa"/>
              <w:right w:w="110" w:type="dxa"/>
            </w:tcMar>
            <w:shd w:val="clear" w:color="auto" w:fill="F5F7F5"/>
          </w:tcPr>
          <w:p>
            <w:pPr>
              <w:spacing w:after="0"/>
              <w:jc w:val="center"/>
            </w:pPr>
            <w:r>
              <w:rPr>
                <w:b/>
                <w:i w:val="0"/>
                <w:color w:val="6B5B95"/>
                <w:sz w:val="17"/>
              </w:rPr>
              <w:t>Phase 3</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FR-VEN-011</w:t>
            </w:r>
          </w:p>
        </w:tc>
        <w:tc>
          <w:tcPr>
            <w:tcW w:type="dxa" w:w="5976"/>
            <w:tcMar>
              <w:top w:w="60" w:type="dxa"/>
              <w:left w:w="110" w:type="dxa"/>
              <w:bottom w:w="60" w:type="dxa"/>
              <w:right w:w="110" w:type="dxa"/>
            </w:tcMar>
          </w:tcPr>
          <w:p>
            <w:pPr>
              <w:spacing w:after="0"/>
            </w:pPr>
            <w:r>
              <w:rPr>
                <w:b w:val="0"/>
                <w:i w:val="0"/>
                <w:color w:val="16261F"/>
                <w:sz w:val="19"/>
              </w:rPr>
              <w:t>The system shall synchronise bills with Zoho Books Bills.</w:t>
            </w:r>
          </w:p>
        </w:tc>
        <w:tc>
          <w:tcPr>
            <w:tcW w:type="dxa" w:w="1037"/>
            <w:tcMar>
              <w:top w:w="60" w:type="dxa"/>
              <w:left w:w="110" w:type="dxa"/>
              <w:bottom w:w="60" w:type="dxa"/>
              <w:right w:w="110" w:type="dxa"/>
            </w:tcMar>
          </w:tcPr>
          <w:p>
            <w:pPr>
              <w:spacing w:after="0"/>
              <w:jc w:val="center"/>
            </w:pPr>
            <w:r>
              <w:rPr>
                <w:b/>
                <w:i w:val="0"/>
                <w:color w:val="6B5B95"/>
                <w:sz w:val="17"/>
              </w:rPr>
              <w:t>Phase 3</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FR-VEN-012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record outbound payments against bills, with method, date, reference and reconciliation state.</w:t>
            </w:r>
          </w:p>
        </w:tc>
        <w:tc>
          <w:tcPr>
            <w:tcW w:type="dxa" w:w="1037"/>
            <w:tcMar>
              <w:top w:w="60" w:type="dxa"/>
              <w:left w:w="110" w:type="dxa"/>
              <w:bottom w:w="60" w:type="dxa"/>
              <w:right w:w="110" w:type="dxa"/>
            </w:tcMar>
            <w:shd w:val="clear" w:color="auto" w:fill="F5F7F5"/>
          </w:tcPr>
          <w:p>
            <w:pPr>
              <w:spacing w:after="0"/>
              <w:jc w:val="center"/>
            </w:pPr>
            <w:r>
              <w:rPr>
                <w:b/>
                <w:i w:val="0"/>
                <w:color w:val="6B5B95"/>
                <w:sz w:val="17"/>
              </w:rPr>
              <w:t>Phase 3</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FR-VEN-013</w:t>
            </w:r>
          </w:p>
        </w:tc>
        <w:tc>
          <w:tcPr>
            <w:tcW w:type="dxa" w:w="5976"/>
            <w:tcMar>
              <w:top w:w="60" w:type="dxa"/>
              <w:left w:w="110" w:type="dxa"/>
              <w:bottom w:w="60" w:type="dxa"/>
              <w:right w:w="110" w:type="dxa"/>
            </w:tcMar>
          </w:tcPr>
          <w:p>
            <w:pPr>
              <w:spacing w:after="0"/>
            </w:pPr>
            <w:r>
              <w:rPr>
                <w:b w:val="0"/>
                <w:i w:val="0"/>
                <w:color w:val="16261F"/>
                <w:sz w:val="19"/>
              </w:rPr>
              <w:t>The system shall present an accounts payable ageing report per brand.</w:t>
            </w:r>
          </w:p>
        </w:tc>
        <w:tc>
          <w:tcPr>
            <w:tcW w:type="dxa" w:w="1037"/>
            <w:tcMar>
              <w:top w:w="60" w:type="dxa"/>
              <w:left w:w="110" w:type="dxa"/>
              <w:bottom w:w="60" w:type="dxa"/>
              <w:right w:w="110" w:type="dxa"/>
            </w:tcMar>
          </w:tcPr>
          <w:p>
            <w:pPr>
              <w:spacing w:after="0"/>
              <w:jc w:val="center"/>
            </w:pPr>
            <w:r>
              <w:rPr>
                <w:b/>
                <w:i w:val="0"/>
                <w:color w:val="6B5B95"/>
                <w:sz w:val="17"/>
              </w:rPr>
              <w:t>Phase 3</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FR-VEN-014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combined receivable and payable position per brand on the dashboard.</w:t>
            </w:r>
          </w:p>
        </w:tc>
        <w:tc>
          <w:tcPr>
            <w:tcW w:type="dxa" w:w="1037"/>
            <w:tcMar>
              <w:top w:w="60" w:type="dxa"/>
              <w:left w:w="110" w:type="dxa"/>
              <w:bottom w:w="60" w:type="dxa"/>
              <w:right w:w="110" w:type="dxa"/>
            </w:tcMar>
            <w:shd w:val="clear" w:color="auto" w:fill="F5F7F5"/>
          </w:tcPr>
          <w:p>
            <w:pPr>
              <w:spacing w:after="0"/>
              <w:jc w:val="center"/>
            </w:pPr>
            <w:r>
              <w:rPr>
                <w:b/>
                <w:i w:val="0"/>
                <w:color w:val="6B5B95"/>
                <w:sz w:val="17"/>
              </w:rPr>
              <w:t>Phase 3</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bl>
    <w:p>
      <w:r>
        <w:br w:type="page"/>
      </w:r>
    </w:p>
    <w:p>
      <w:pPr>
        <w:pStyle w:val="Heading1"/>
      </w:pPr>
      <w:r>
        <w:t>10. FR-INV — Invoicing</w:t>
      </w:r>
    </w:p>
    <w:p>
      <w:pPr>
        <w:spacing w:after="140"/>
      </w:pPr>
      <w:r>
        <w:rPr>
          <w:b w:val="0"/>
          <w:i w:val="0"/>
          <w:color w:val="16261F"/>
          <w:sz w:val="21"/>
        </w:rPr>
        <w:t>The core transactional module: creating, issuing, tracking and settling invoices.</w:t>
      </w:r>
    </w:p>
    <w:p>
      <w:pPr>
        <w:pBdr>
          <w:left w:val="single" w:sz="18" w:space="10" w:color="C0473D"/>
        </w:pBdr>
        <w:shd w:val="clear" w:color="auto" w:fill="F9E7E5"/>
        <w:spacing w:before="160" w:after="180"/>
        <w:ind w:left="173"/>
      </w:pPr>
      <w:r>
        <w:rPr>
          <w:b/>
          <w:color w:val="C0473D"/>
          <w:sz w:val="17"/>
        </w:rPr>
        <w:t xml:space="preserve">GAP  </w:t>
      </w:r>
      <w:r>
        <w:rPr>
          <w:color w:val="16261F"/>
          <w:sz w:val="20"/>
        </w:rPr>
        <w:t>The prototype's create-invoice modal supports a single line item, does not distinguish unit price from total price, and has no card fee field. Multi-line invoicing is the central MVP mechanic and is unimplemented. See GAP-003.</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FR-INV-001</w:t>
            </w:r>
          </w:p>
        </w:tc>
        <w:tc>
          <w:tcPr>
            <w:tcW w:type="dxa" w:w="5976"/>
            <w:tcMar>
              <w:top w:w="60" w:type="dxa"/>
              <w:left w:w="110" w:type="dxa"/>
              <w:bottom w:w="60" w:type="dxa"/>
              <w:right w:w="110" w:type="dxa"/>
            </w:tcMar>
          </w:tcPr>
          <w:p>
            <w:pPr>
              <w:spacing w:after="0"/>
            </w:pPr>
            <w:r>
              <w:rPr>
                <w:b w:val="0"/>
                <w:i w:val="0"/>
                <w:color w:val="16261F"/>
                <w:sz w:val="19"/>
              </w:rPr>
              <w:t>The system shall allow an authorised user to create an invoice against a customer within the active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an unbounded number of line items on a single invoice.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FR-INV-003</w:t>
            </w:r>
          </w:p>
        </w:tc>
        <w:tc>
          <w:tcPr>
            <w:tcW w:type="dxa" w:w="5976"/>
            <w:tcMar>
              <w:top w:w="60" w:type="dxa"/>
              <w:left w:w="110" w:type="dxa"/>
              <w:bottom w:w="60" w:type="dxa"/>
              <w:right w:w="110" w:type="dxa"/>
            </w:tcMar>
          </w:tcPr>
          <w:p>
            <w:pPr>
              <w:spacing w:after="0"/>
            </w:pPr>
            <w:r>
              <w:rPr>
                <w:b w:val="0"/>
                <w:i w:val="0"/>
                <w:color w:val="16261F"/>
                <w:sz w:val="19"/>
              </w:rPr>
              <w:t>The system shall capture, per line item: item name, description, quantity, unit price and computed line total.</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compute line total as quantity multiplied by unit price, recalculating on any change to either.</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FR-INV-005</w:t>
            </w:r>
          </w:p>
        </w:tc>
        <w:tc>
          <w:tcPr>
            <w:tcW w:type="dxa" w:w="5976"/>
            <w:tcMar>
              <w:top w:w="60" w:type="dxa"/>
              <w:left w:w="110" w:type="dxa"/>
              <w:bottom w:w="60" w:type="dxa"/>
              <w:right w:w="110" w:type="dxa"/>
            </w:tcMar>
          </w:tcPr>
          <w:p>
            <w:pPr>
              <w:spacing w:after="0"/>
            </w:pPr>
            <w:r>
              <w:rPr>
                <w:b w:val="0"/>
                <w:i w:val="0"/>
                <w:color w:val="16261F"/>
                <w:sz w:val="19"/>
              </w:rPr>
              <w:t>The system shall allow line items to be reordered and individually removed prior to issue.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compute and display an invoice subtotal as the sum of all line totals.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FR-INV-007</w:t>
            </w:r>
          </w:p>
        </w:tc>
        <w:tc>
          <w:tcPr>
            <w:tcW w:type="dxa" w:w="5976"/>
            <w:tcMar>
              <w:top w:w="60" w:type="dxa"/>
              <w:left w:w="110" w:type="dxa"/>
              <w:bottom w:w="60" w:type="dxa"/>
              <w:right w:w="110" w:type="dxa"/>
            </w:tcMar>
          </w:tcPr>
          <w:p>
            <w:pPr>
              <w:spacing w:after="0"/>
            </w:pPr>
            <w:r>
              <w:rPr>
                <w:b w:val="0"/>
                <w:i w:val="0"/>
                <w:color w:val="16261F"/>
                <w:sz w:val="19"/>
              </w:rPr>
              <w:t>The system shall capture an invoice date and a due date, defaulting the due date from the brand's payment terms.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assign an invoice number on creation using the brand prefix and sequence, editable while in Draft.</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FR-INV-009</w:t>
            </w:r>
          </w:p>
        </w:tc>
        <w:tc>
          <w:tcPr>
            <w:tcW w:type="dxa" w:w="5976"/>
            <w:tcMar>
              <w:top w:w="60" w:type="dxa"/>
              <w:left w:w="110" w:type="dxa"/>
              <w:bottom w:w="60" w:type="dxa"/>
              <w:right w:w="110" w:type="dxa"/>
            </w:tcMar>
          </w:tcPr>
          <w:p>
            <w:pPr>
              <w:spacing w:after="0"/>
            </w:pPr>
            <w:r>
              <w:rPr>
                <w:b w:val="0"/>
                <w:i w:val="0"/>
                <w:color w:val="16261F"/>
                <w:sz w:val="19"/>
              </w:rPr>
              <w:t>The system shall support customer-visible notes and internal-only notes on an invoice.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file attachments on an invoice, delivered with the invoice email.</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FR-INV-011</w:t>
            </w:r>
          </w:p>
        </w:tc>
        <w:tc>
          <w:tcPr>
            <w:tcW w:type="dxa" w:w="5976"/>
            <w:tcMar>
              <w:top w:w="60" w:type="dxa"/>
              <w:left w:w="110" w:type="dxa"/>
              <w:bottom w:w="60" w:type="dxa"/>
              <w:right w:w="110" w:type="dxa"/>
            </w:tcMar>
          </w:tcPr>
          <w:p>
            <w:pPr>
              <w:spacing w:after="0"/>
            </w:pPr>
            <w:r>
              <w:rPr>
                <w:b w:val="0"/>
                <w:i w:val="0"/>
                <w:color w:val="16261F"/>
                <w:sz w:val="19"/>
              </w:rPr>
              <w:t>The system shall save an invoice as a Draft without issuing it.</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permit unrestricted editing of a Draft invoice.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FR-INV-013</w:t>
            </w:r>
          </w:p>
        </w:tc>
        <w:tc>
          <w:tcPr>
            <w:tcW w:type="dxa" w:w="5976"/>
            <w:tcMar>
              <w:top w:w="60" w:type="dxa"/>
              <w:left w:w="110" w:type="dxa"/>
              <w:bottom w:w="60" w:type="dxa"/>
              <w:right w:w="110" w:type="dxa"/>
            </w:tcMar>
          </w:tcPr>
          <w:p>
            <w:pPr>
              <w:spacing w:after="0"/>
            </w:pPr>
            <w:r>
              <w:rPr>
                <w:b w:val="0"/>
                <w:i w:val="0"/>
                <w:color w:val="16261F"/>
                <w:sz w:val="19"/>
              </w:rPr>
              <w:t>The system shall prevent edits to financial fields once an invoice has left Draft, permitting only notes, attachments and due-date extension.</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FR-INV-014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transition an invoice to Sent upon successful email dispatch.</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FR-INV-015</w:t>
            </w:r>
          </w:p>
        </w:tc>
        <w:tc>
          <w:tcPr>
            <w:tcW w:type="dxa" w:w="5976"/>
            <w:tcMar>
              <w:top w:w="60" w:type="dxa"/>
              <w:left w:w="110" w:type="dxa"/>
              <w:bottom w:w="60" w:type="dxa"/>
              <w:right w:w="110" w:type="dxa"/>
            </w:tcMar>
          </w:tcPr>
          <w:p>
            <w:pPr>
              <w:spacing w:after="0"/>
            </w:pPr>
            <w:r>
              <w:rPr>
                <w:b w:val="0"/>
                <w:i w:val="0"/>
                <w:color w:val="16261F"/>
                <w:sz w:val="19"/>
              </w:rPr>
              <w:t>The system shall transition an invoice to Viewed on first retrieval of its landing page by the customer.</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FR-INV-016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transition an invoice to Partially Paid when a payment is recorded that does not clear the balance.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FR-INV-017</w:t>
            </w:r>
          </w:p>
        </w:tc>
        <w:tc>
          <w:tcPr>
            <w:tcW w:type="dxa" w:w="5976"/>
            <w:tcMar>
              <w:top w:w="60" w:type="dxa"/>
              <w:left w:w="110" w:type="dxa"/>
              <w:bottom w:w="60" w:type="dxa"/>
              <w:right w:w="110" w:type="dxa"/>
            </w:tcMar>
          </w:tcPr>
          <w:p>
            <w:pPr>
              <w:spacing w:after="0"/>
            </w:pPr>
            <w:r>
              <w:rPr>
                <w:b w:val="0"/>
                <w:i w:val="0"/>
                <w:color w:val="16261F"/>
                <w:sz w:val="19"/>
              </w:rPr>
              <w:t>The system shall transition an invoice to Paid when the recorded payments equal or exceed the invoice total.</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FR-INV-018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mark an invoice Overdue when the due date passes with a non-zero balance.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FR-INV-019</w:t>
            </w:r>
          </w:p>
        </w:tc>
        <w:tc>
          <w:tcPr>
            <w:tcW w:type="dxa" w:w="5976"/>
            <w:tcMar>
              <w:top w:w="60" w:type="dxa"/>
              <w:left w:w="110" w:type="dxa"/>
              <w:bottom w:w="60" w:type="dxa"/>
              <w:right w:w="110" w:type="dxa"/>
            </w:tcMar>
          </w:tcPr>
          <w:p>
            <w:pPr>
              <w:spacing w:after="0"/>
            </w:pPr>
            <w:r>
              <w:rPr>
                <w:b w:val="0"/>
                <w:i w:val="0"/>
                <w:color w:val="16261F"/>
                <w:sz w:val="19"/>
              </w:rPr>
              <w:t>The system shall allow an authorised user to cancel an invoice, deactivating its payment link.</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FR-INV-020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prevent cancellation of an invoice carrying any settled payment, requiring a refund first.</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FR-INV-021</w:t>
            </w:r>
          </w:p>
        </w:tc>
        <w:tc>
          <w:tcPr>
            <w:tcW w:type="dxa" w:w="5976"/>
            <w:tcMar>
              <w:top w:w="60" w:type="dxa"/>
              <w:left w:w="110" w:type="dxa"/>
              <w:bottom w:w="60" w:type="dxa"/>
              <w:right w:w="110" w:type="dxa"/>
            </w:tcMar>
          </w:tcPr>
          <w:p>
            <w:pPr>
              <w:spacing w:after="0"/>
            </w:pPr>
            <w:r>
              <w:rPr>
                <w:b w:val="0"/>
                <w:i w:val="0"/>
                <w:color w:val="16261F"/>
                <w:sz w:val="19"/>
              </w:rPr>
              <w:t>The system shall list invoices for the active brand with number, customer, amount, due date, balance and status.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FR-INV-022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filter the invoice list by date range across invoice date or due date.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FR-INV-023</w:t>
            </w:r>
          </w:p>
        </w:tc>
        <w:tc>
          <w:tcPr>
            <w:tcW w:type="dxa" w:w="5976"/>
            <w:tcMar>
              <w:top w:w="60" w:type="dxa"/>
              <w:left w:w="110" w:type="dxa"/>
              <w:bottom w:w="60" w:type="dxa"/>
              <w:right w:w="110" w:type="dxa"/>
            </w:tcMar>
          </w:tcPr>
          <w:p>
            <w:pPr>
              <w:spacing w:after="0"/>
            </w:pPr>
            <w:r>
              <w:rPr>
                <w:b w:val="0"/>
                <w:i w:val="0"/>
                <w:color w:val="16261F"/>
                <w:sz w:val="19"/>
              </w:rPr>
              <w:t>The system shall filter the invoice list by brand for users assigned to more than one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FR-INV-024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invoice list tabs for Due, Unpaid, Opened and Paid, mapped to the status model in section 4.3.</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FR-INV-025</w:t>
            </w:r>
          </w:p>
        </w:tc>
        <w:tc>
          <w:tcPr>
            <w:tcW w:type="dxa" w:w="5976"/>
            <w:tcMar>
              <w:top w:w="60" w:type="dxa"/>
              <w:left w:w="110" w:type="dxa"/>
              <w:bottom w:w="60" w:type="dxa"/>
              <w:right w:w="110" w:type="dxa"/>
            </w:tcMar>
          </w:tcPr>
          <w:p>
            <w:pPr>
              <w:spacing w:after="0"/>
            </w:pPr>
            <w:r>
              <w:rPr>
                <w:b w:val="0"/>
                <w:i w:val="0"/>
                <w:color w:val="16261F"/>
                <w:sz w:val="19"/>
              </w:rPr>
              <w:t>The system shall provide free-text search across invoice number and customer name.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FR-INV-026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an invoice detail view showing full line detail, totals, payment history and lifecycle timeline.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FR-INV-027</w:t>
            </w:r>
          </w:p>
        </w:tc>
        <w:tc>
          <w:tcPr>
            <w:tcW w:type="dxa" w:w="5976"/>
            <w:tcMar>
              <w:top w:w="60" w:type="dxa"/>
              <w:left w:w="110" w:type="dxa"/>
              <w:bottom w:w="60" w:type="dxa"/>
              <w:right w:w="110" w:type="dxa"/>
            </w:tcMar>
          </w:tcPr>
          <w:p>
            <w:pPr>
              <w:spacing w:after="0"/>
            </w:pPr>
            <w:r>
              <w:rPr>
                <w:b w:val="0"/>
                <w:i w:val="0"/>
                <w:color w:val="16261F"/>
                <w:sz w:val="19"/>
              </w:rPr>
              <w:t>The system shall support duplicating an existing invoice into a new Draft.</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FR-INV-028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manual recording of an offline payment against an invoice, with method and reference.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FR-INV-029</w:t>
            </w:r>
          </w:p>
        </w:tc>
        <w:tc>
          <w:tcPr>
            <w:tcW w:type="dxa" w:w="5976"/>
            <w:tcMar>
              <w:top w:w="60" w:type="dxa"/>
              <w:left w:w="110" w:type="dxa"/>
              <w:bottom w:w="60" w:type="dxa"/>
              <w:right w:w="110" w:type="dxa"/>
            </w:tcMar>
          </w:tcPr>
          <w:p>
            <w:pPr>
              <w:spacing w:after="0"/>
            </w:pPr>
            <w:r>
              <w:rPr>
                <w:b w:val="0"/>
                <w:i w:val="0"/>
                <w:color w:val="16261F"/>
                <w:sz w:val="19"/>
              </w:rPr>
              <w:t>The system shall support recurring invoice schedules generating drafts on a defined cadence.</w:t>
            </w:r>
          </w:p>
        </w:tc>
        <w:tc>
          <w:tcPr>
            <w:tcW w:type="dxa" w:w="1037"/>
            <w:tcMar>
              <w:top w:w="60" w:type="dxa"/>
              <w:left w:w="110" w:type="dxa"/>
              <w:bottom w:w="60" w:type="dxa"/>
              <w:right w:w="110" w:type="dxa"/>
            </w:tcMar>
          </w:tcPr>
          <w:p>
            <w:pPr>
              <w:spacing w:after="0"/>
              <w:jc w:val="center"/>
            </w:pPr>
            <w:r>
              <w:rPr>
                <w:b/>
                <w:i w:val="0"/>
                <w:color w:val="6B5B95"/>
                <w:sz w:val="17"/>
              </w:rPr>
              <w:t>Phase 3</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FR-INV-030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credit notes issued against a paid or partially paid invoice.</w:t>
            </w:r>
          </w:p>
        </w:tc>
        <w:tc>
          <w:tcPr>
            <w:tcW w:type="dxa" w:w="1037"/>
            <w:tcMar>
              <w:top w:w="60" w:type="dxa"/>
              <w:left w:w="110" w:type="dxa"/>
              <w:bottom w:w="60" w:type="dxa"/>
              <w:right w:w="110" w:type="dxa"/>
            </w:tcMar>
            <w:shd w:val="clear" w:color="auto" w:fill="F5F7F5"/>
          </w:tcPr>
          <w:p>
            <w:pPr>
              <w:spacing w:after="0"/>
              <w:jc w:val="center"/>
            </w:pPr>
            <w:r>
              <w:rPr>
                <w:b/>
                <w:i w:val="0"/>
                <w:color w:val="6B5B95"/>
                <w:sz w:val="17"/>
              </w:rPr>
              <w:t>Phase 3</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bl>
    <w:p>
      <w:pPr>
        <w:pStyle w:val="Heading2"/>
      </w:pPr>
      <w:r>
        <w:t>10.1 Key acceptance criteria</w:t>
      </w:r>
    </w:p>
    <w:p>
      <w:pPr>
        <w:pStyle w:val="ListNumber"/>
        <w:spacing w:after="60"/>
        <w:ind w:left="360"/>
      </w:pPr>
      <w:r>
        <w:rPr>
          <w:color w:val="16261F"/>
          <w:sz w:val="21"/>
        </w:rPr>
        <w:t>An invoice with three line items of differing quantity and unit price produces a subtotal equal to the sum of quantity times unit price for each, to two decimal places, with no floating-point drift.</w:t>
      </w:r>
    </w:p>
    <w:p>
      <w:pPr>
        <w:pStyle w:val="ListNumber"/>
        <w:spacing w:after="60"/>
        <w:ind w:left="360"/>
      </w:pPr>
      <w:r>
        <w:rPr>
          <w:color w:val="16261F"/>
          <w:sz w:val="21"/>
        </w:rPr>
        <w:t>Attempting to change a line item's unit price on an invoice in Sent status is rejected with a validation error and no state change.</w:t>
      </w:r>
    </w:p>
    <w:p>
      <w:pPr>
        <w:pStyle w:val="ListNumber"/>
        <w:spacing w:after="60"/>
        <w:ind w:left="360"/>
      </w:pPr>
      <w:r>
        <w:rPr>
          <w:color w:val="16261F"/>
          <w:sz w:val="21"/>
        </w:rPr>
        <w:t>An invoice whose due date passed overnight appears under the Due tab and carries Overdue status by the next working morning.</w:t>
      </w:r>
    </w:p>
    <w:p>
      <w:pPr>
        <w:pStyle w:val="ListNumber"/>
        <w:spacing w:after="60"/>
        <w:ind w:left="360"/>
      </w:pPr>
      <w:r>
        <w:rPr>
          <w:color w:val="16261F"/>
          <w:sz w:val="21"/>
        </w:rPr>
        <w:t>Cancelling an invoice makes its public payment URL return a terminal 'no longer payable' page rather than a payment form.</w:t>
      </w:r>
    </w:p>
    <w:p>
      <w:r>
        <w:br w:type="page"/>
      </w:r>
    </w:p>
    <w:p>
      <w:pPr>
        <w:pStyle w:val="Heading1"/>
      </w:pPr>
      <w:r>
        <w:t>11. FR-TAX — Tax and card fee handling</w:t>
      </w:r>
    </w:p>
    <w:p>
      <w:pPr>
        <w:spacing w:after="140"/>
      </w:pPr>
      <w:r>
        <w:rPr>
          <w:b w:val="0"/>
          <w:i w:val="0"/>
          <w:color w:val="16261F"/>
          <w:sz w:val="21"/>
        </w:rPr>
        <w:t>Tax and the card processing fee are explicit MVP requirements appearing both as invoice-level fields and as brand-level configuration. Neither exists anywhere in the prototype.</w:t>
      </w:r>
    </w:p>
    <w:p>
      <w:pPr>
        <w:pBdr>
          <w:left w:val="single" w:sz="18" w:space="10" w:color="C0473D"/>
        </w:pBdr>
        <w:shd w:val="clear" w:color="auto" w:fill="F9E7E5"/>
        <w:spacing w:before="160" w:after="180"/>
        <w:ind w:left="173"/>
      </w:pPr>
      <w:r>
        <w:rPr>
          <w:b/>
          <w:color w:val="C0473D"/>
          <w:sz w:val="17"/>
        </w:rPr>
        <w:t xml:space="preserve">GAP  </w:t>
      </w:r>
      <w:r>
        <w:rPr>
          <w:color w:val="16261F"/>
          <w:sz w:val="20"/>
        </w:rPr>
        <w:t>Card fee percentage appears twice in the signed MVP Feature List and is absent from the prototype in its entirety. Tax exists only as an unvalidated free-text box on the create-invoice modal. This is the single largest functional gap in the build. See GAP-003.</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FR-TAX-001</w:t>
            </w:r>
          </w:p>
        </w:tc>
        <w:tc>
          <w:tcPr>
            <w:tcW w:type="dxa" w:w="5976"/>
            <w:tcMar>
              <w:top w:w="60" w:type="dxa"/>
              <w:left w:w="110" w:type="dxa"/>
              <w:bottom w:w="60" w:type="dxa"/>
              <w:right w:w="110" w:type="dxa"/>
            </w:tcMar>
          </w:tcPr>
          <w:p>
            <w:pPr>
              <w:spacing w:after="0"/>
            </w:pPr>
            <w:r>
              <w:rPr>
                <w:b w:val="0"/>
                <w:i w:val="0"/>
                <w:color w:val="16261F"/>
                <w:sz w:val="19"/>
              </w:rPr>
              <w:t>The system shall allow a default tax rate to be configured per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FR-TAX-002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multiple named tax rates to be defined per brand, each with a percentage and a display label.</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FR-TAX-003</w:t>
            </w:r>
          </w:p>
        </w:tc>
        <w:tc>
          <w:tcPr>
            <w:tcW w:type="dxa" w:w="5976"/>
            <w:tcMar>
              <w:top w:w="60" w:type="dxa"/>
              <w:left w:w="110" w:type="dxa"/>
              <w:bottom w:w="60" w:type="dxa"/>
              <w:right w:w="110" w:type="dxa"/>
            </w:tcMar>
          </w:tcPr>
          <w:p>
            <w:pPr>
              <w:spacing w:after="0"/>
            </w:pPr>
            <w:r>
              <w:rPr>
                <w:b w:val="0"/>
                <w:i w:val="0"/>
                <w:color w:val="16261F"/>
                <w:sz w:val="19"/>
              </w:rPr>
              <w:t>The system shall apply a tax rate at invoice level, defaulting from the brand configuration and overridable per invoice.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FR-TAX-004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applying a tax rate at line-item level where line items are taxed differently.</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FR-TAX-005</w:t>
            </w:r>
          </w:p>
        </w:tc>
        <w:tc>
          <w:tcPr>
            <w:tcW w:type="dxa" w:w="5976"/>
            <w:tcMar>
              <w:top w:w="60" w:type="dxa"/>
              <w:left w:w="110" w:type="dxa"/>
              <w:bottom w:w="60" w:type="dxa"/>
              <w:right w:w="110" w:type="dxa"/>
            </w:tcMar>
          </w:tcPr>
          <w:p>
            <w:pPr>
              <w:spacing w:after="0"/>
            </w:pPr>
            <w:r>
              <w:rPr>
                <w:b w:val="0"/>
                <w:i w:val="0"/>
                <w:color w:val="16261F"/>
                <w:sz w:val="19"/>
              </w:rPr>
              <w:t>The system shall support marking an individual line item as tax exempt.</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FR-TAX-006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compute the tax amount from the taxable subtotal and display it as a discrete line in the invoice total block.</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FR-TAX-007</w:t>
            </w:r>
          </w:p>
        </w:tc>
        <w:tc>
          <w:tcPr>
            <w:tcW w:type="dxa" w:w="5976"/>
            <w:tcMar>
              <w:top w:w="60" w:type="dxa"/>
              <w:left w:w="110" w:type="dxa"/>
              <w:bottom w:w="60" w:type="dxa"/>
              <w:right w:w="110" w:type="dxa"/>
            </w:tcMar>
          </w:tcPr>
          <w:p>
            <w:pPr>
              <w:spacing w:after="0"/>
            </w:pPr>
            <w:r>
              <w:rPr>
                <w:b w:val="0"/>
                <w:i w:val="0"/>
                <w:color w:val="16261F"/>
                <w:sz w:val="19"/>
              </w:rPr>
              <w:t>The system shall synchronise tax rates from Zoho Books where a Zoho connection is active, treating Zoho as the source of truth.</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FR-TAX-010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a card processing fee percentage to be configured per brand.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FR-TAX-011</w:t>
            </w:r>
          </w:p>
        </w:tc>
        <w:tc>
          <w:tcPr>
            <w:tcW w:type="dxa" w:w="5976"/>
            <w:tcMar>
              <w:top w:w="60" w:type="dxa"/>
              <w:left w:w="110" w:type="dxa"/>
              <w:bottom w:w="60" w:type="dxa"/>
              <w:right w:w="110" w:type="dxa"/>
            </w:tcMar>
          </w:tcPr>
          <w:p>
            <w:pPr>
              <w:spacing w:after="0"/>
            </w:pPr>
            <w:r>
              <w:rPr>
                <w:b w:val="0"/>
                <w:i w:val="0"/>
                <w:color w:val="16261F"/>
                <w:sz w:val="19"/>
              </w:rPr>
              <w:t>The system shall apply the card fee percentage at invoice level, defaulting from brand configuration and overridable per invoice.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FR-TAX-012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compute the card fee from the post-tax invoice total and display it as a discrete line in the total block.</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FR-TAX-013</w:t>
            </w:r>
          </w:p>
        </w:tc>
        <w:tc>
          <w:tcPr>
            <w:tcW w:type="dxa" w:w="5976"/>
            <w:tcMar>
              <w:top w:w="60" w:type="dxa"/>
              <w:left w:w="110" w:type="dxa"/>
              <w:bottom w:w="60" w:type="dxa"/>
              <w:right w:w="110" w:type="dxa"/>
            </w:tcMar>
          </w:tcPr>
          <w:p>
            <w:pPr>
              <w:spacing w:after="0"/>
            </w:pPr>
            <w:r>
              <w:rPr>
                <w:b w:val="0"/>
                <w:i w:val="0"/>
                <w:color w:val="16261F"/>
                <w:sz w:val="19"/>
              </w:rPr>
              <w:t>The system shall apply the card fee only to card and digital wallet payment methods, excluding ACH and check.</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FR-TAX-014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recompute the payable total on the payment page when the customer selects a payment method, showing the fee only where it applies.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FR-TAX-015</w:t>
            </w:r>
          </w:p>
        </w:tc>
        <w:tc>
          <w:tcPr>
            <w:tcW w:type="dxa" w:w="5976"/>
            <w:tcMar>
              <w:top w:w="60" w:type="dxa"/>
              <w:left w:w="110" w:type="dxa"/>
              <w:bottom w:w="60" w:type="dxa"/>
              <w:right w:w="110" w:type="dxa"/>
            </w:tcMar>
          </w:tcPr>
          <w:p>
            <w:pPr>
              <w:spacing w:after="0"/>
            </w:pPr>
            <w:r>
              <w:rPr>
                <w:b w:val="0"/>
                <w:i w:val="0"/>
                <w:color w:val="16261F"/>
                <w:sz w:val="19"/>
              </w:rPr>
              <w:t>The system shall disclose the card fee to the customer as a separately labelled line before payment is authorised.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FR-TAX-016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suppressing the card fee for named customers.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FR-TAX-017</w:t>
            </w:r>
          </w:p>
        </w:tc>
        <w:tc>
          <w:tcPr>
            <w:tcW w:type="dxa" w:w="5976"/>
            <w:tcMar>
              <w:top w:w="60" w:type="dxa"/>
              <w:left w:w="110" w:type="dxa"/>
              <w:bottom w:w="60" w:type="dxa"/>
              <w:right w:w="110" w:type="dxa"/>
            </w:tcMar>
          </w:tcPr>
          <w:p>
            <w:pPr>
              <w:spacing w:after="0"/>
            </w:pPr>
            <w:r>
              <w:rPr>
                <w:b w:val="0"/>
                <w:i w:val="0"/>
                <w:color w:val="16261F"/>
                <w:sz w:val="19"/>
              </w:rPr>
              <w:t>The system shall record the applied tax rate and card fee rate against the invoice at issue time, so that later configuration changes do not alter historical invoices.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bl>
    <w:p>
      <w:pPr>
        <w:pStyle w:val="Heading2"/>
      </w:pPr>
      <w:r>
        <w:t>11.1 Key acceptance criteria</w:t>
      </w:r>
    </w:p>
    <w:p>
      <w:pPr>
        <w:pStyle w:val="ListNumber"/>
        <w:spacing w:after="60"/>
        <w:ind w:left="360"/>
      </w:pPr>
      <w:r>
        <w:rPr>
          <w:color w:val="16261F"/>
          <w:sz w:val="21"/>
        </w:rPr>
        <w:t>An invoice with a subtotal of 1,000.00, a tax rate of 6% and a card fee of 2.9% shows subtotal 1,000.00, tax 60.00, card fee 30.74 and total 1,090.74 when paid by card.</w:t>
      </w:r>
    </w:p>
    <w:p>
      <w:pPr>
        <w:pStyle w:val="ListNumber"/>
        <w:spacing w:after="60"/>
        <w:ind w:left="360"/>
      </w:pPr>
      <w:r>
        <w:rPr>
          <w:color w:val="16261F"/>
          <w:sz w:val="21"/>
        </w:rPr>
        <w:t>The same invoice paid by ACH shows subtotal 1,000.00, tax 60.00, no card fee line, and total 1,060.00.</w:t>
      </w:r>
    </w:p>
    <w:p>
      <w:pPr>
        <w:pStyle w:val="ListNumber"/>
        <w:spacing w:after="60"/>
        <w:ind w:left="360"/>
      </w:pPr>
      <w:r>
        <w:rPr>
          <w:color w:val="16261F"/>
          <w:sz w:val="21"/>
        </w:rPr>
        <w:t>Changing the brand card fee rate after an invoice has been issued leaves that invoice's totals unchanged.</w:t>
      </w:r>
    </w:p>
    <w:p>
      <w:pPr>
        <w:pStyle w:val="ListNumber"/>
        <w:spacing w:after="60"/>
        <w:ind w:left="360"/>
      </w:pPr>
      <w:r>
        <w:rPr>
          <w:color w:val="16261F"/>
          <w:sz w:val="21"/>
        </w:rPr>
        <w:t>The card fee line is visible on the payment page before the customer submits card details, not only on the receipt.</w:t>
      </w:r>
    </w:p>
    <w:p>
      <w:r>
        <w:br w:type="page"/>
      </w:r>
    </w:p>
    <w:p>
      <w:pPr>
        <w:pStyle w:val="Heading1"/>
      </w:pPr>
      <w:r>
        <w:t>12. FR-DLV — Invoice delivery and email</w:t>
      </w:r>
    </w:p>
    <w:p>
      <w:pPr>
        <w:spacing w:after="140"/>
      </w:pPr>
      <w:r>
        <w:rPr>
          <w:b w:val="0"/>
          <w:i w:val="0"/>
          <w:color w:val="16261F"/>
          <w:sz w:val="21"/>
        </w:rPr>
        <w:t>Getting the invoice to the customer, and the reminder cadence that follows.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FR-DLV-001</w:t>
            </w:r>
          </w:p>
        </w:tc>
        <w:tc>
          <w:tcPr>
            <w:tcW w:type="dxa" w:w="5976"/>
            <w:tcMar>
              <w:top w:w="60" w:type="dxa"/>
              <w:left w:w="110" w:type="dxa"/>
              <w:bottom w:w="60" w:type="dxa"/>
              <w:right w:w="110" w:type="dxa"/>
            </w:tcMar>
          </w:tcPr>
          <w:p>
            <w:pPr>
              <w:spacing w:after="0"/>
            </w:pPr>
            <w:r>
              <w:rPr>
                <w:b w:val="0"/>
                <w:i w:val="0"/>
                <w:color w:val="16261F"/>
                <w:sz w:val="19"/>
              </w:rPr>
              <w:t>The system shall send an invoice by email to the customer's primary email address on issue.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FR-DLV-002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copy any additional contact email addresses held against the customer.</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FR-DLV-003</w:t>
            </w:r>
          </w:p>
        </w:tc>
        <w:tc>
          <w:tcPr>
            <w:tcW w:type="dxa" w:w="5976"/>
            <w:tcMar>
              <w:top w:w="60" w:type="dxa"/>
              <w:left w:w="110" w:type="dxa"/>
              <w:bottom w:w="60" w:type="dxa"/>
              <w:right w:w="110" w:type="dxa"/>
            </w:tcMar>
          </w:tcPr>
          <w:p>
            <w:pPr>
              <w:spacing w:after="0"/>
            </w:pPr>
            <w:r>
              <w:rPr>
                <w:b w:val="0"/>
                <w:i w:val="0"/>
                <w:color w:val="16261F"/>
                <w:sz w:val="19"/>
              </w:rPr>
              <w:t>The system shall render the invoice email using the brand's template, logo and theme colour.</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FR-DLV-004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include a Pay Now action in the invoice email linking to the branded payment page.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FR-DLV-005</w:t>
            </w:r>
          </w:p>
        </w:tc>
        <w:tc>
          <w:tcPr>
            <w:tcW w:type="dxa" w:w="5976"/>
            <w:tcMar>
              <w:top w:w="60" w:type="dxa"/>
              <w:left w:w="110" w:type="dxa"/>
              <w:bottom w:w="60" w:type="dxa"/>
              <w:right w:w="110" w:type="dxa"/>
            </w:tcMar>
          </w:tcPr>
          <w:p>
            <w:pPr>
              <w:spacing w:after="0"/>
            </w:pPr>
            <w:r>
              <w:rPr>
                <w:b w:val="0"/>
                <w:i w:val="0"/>
                <w:color w:val="16261F"/>
                <w:sz w:val="19"/>
              </w:rPr>
              <w:t>The system shall attach the invoice PDF to the invoice email.</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FR-DLV-006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send from an address on the brand's verified sending domain where configured, falling back to a platform address otherwise.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FR-DLV-007</w:t>
            </w:r>
          </w:p>
        </w:tc>
        <w:tc>
          <w:tcPr>
            <w:tcW w:type="dxa" w:w="5976"/>
            <w:tcMar>
              <w:top w:w="60" w:type="dxa"/>
              <w:left w:w="110" w:type="dxa"/>
              <w:bottom w:w="60" w:type="dxa"/>
              <w:right w:w="110" w:type="dxa"/>
            </w:tcMar>
          </w:tcPr>
          <w:p>
            <w:pPr>
              <w:spacing w:after="0"/>
            </w:pPr>
            <w:r>
              <w:rPr>
                <w:b w:val="0"/>
                <w:i w:val="0"/>
                <w:color w:val="16261F"/>
                <w:sz w:val="19"/>
              </w:rPr>
              <w:t>The system shall record delivery events per email: queued, delivered, opened, bounced and complained.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FR-DLV-008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surface a hard bounce against the invoice and notify the issuing user.</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FR-DLV-009</w:t>
            </w:r>
          </w:p>
        </w:tc>
        <w:tc>
          <w:tcPr>
            <w:tcW w:type="dxa" w:w="5976"/>
            <w:tcMar>
              <w:top w:w="60" w:type="dxa"/>
              <w:left w:w="110" w:type="dxa"/>
              <w:bottom w:w="60" w:type="dxa"/>
              <w:right w:w="110" w:type="dxa"/>
            </w:tcMar>
          </w:tcPr>
          <w:p>
            <w:pPr>
              <w:spacing w:after="0"/>
            </w:pPr>
            <w:r>
              <w:rPr>
                <w:b w:val="0"/>
                <w:i w:val="0"/>
                <w:color w:val="16261F"/>
                <w:sz w:val="19"/>
              </w:rPr>
              <w:t>The system shall allow an authorised user to resend an invoice email, optionally to a different address.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FR-DLV-010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send automated reminder emails on a configurable schedule before and after the due date.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FR-DLV-011</w:t>
            </w:r>
          </w:p>
        </w:tc>
        <w:tc>
          <w:tcPr>
            <w:tcW w:type="dxa" w:w="5976"/>
            <w:tcMar>
              <w:top w:w="60" w:type="dxa"/>
              <w:left w:w="110" w:type="dxa"/>
              <w:bottom w:w="60" w:type="dxa"/>
              <w:right w:w="110" w:type="dxa"/>
            </w:tcMar>
          </w:tcPr>
          <w:p>
            <w:pPr>
              <w:spacing w:after="0"/>
            </w:pPr>
            <w:r>
              <w:rPr>
                <w:b w:val="0"/>
                <w:i w:val="0"/>
                <w:color w:val="16261F"/>
                <w:sz w:val="19"/>
              </w:rPr>
              <w:t>The system shall allow reminder cadence to be enabled or disabled per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FR-DLV-012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suppress reminders for invoices in Paid or Cancelled status.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FR-DLV-013</w:t>
            </w:r>
          </w:p>
        </w:tc>
        <w:tc>
          <w:tcPr>
            <w:tcW w:type="dxa" w:w="5976"/>
            <w:tcMar>
              <w:top w:w="60" w:type="dxa"/>
              <w:left w:w="110" w:type="dxa"/>
              <w:bottom w:w="60" w:type="dxa"/>
              <w:right w:w="110" w:type="dxa"/>
            </w:tcMar>
          </w:tcPr>
          <w:p>
            <w:pPr>
              <w:spacing w:after="0"/>
            </w:pPr>
            <w:r>
              <w:rPr>
                <w:b w:val="0"/>
                <w:i w:val="0"/>
                <w:color w:val="16261F"/>
                <w:sz w:val="19"/>
              </w:rPr>
              <w:t>The system shall send a receipt email on successful payment, carrying a receipt PDF.</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FR-DLV-014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send a payment failure notification to the customer with a retry link.</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FR-DLV-015</w:t>
            </w:r>
          </w:p>
        </w:tc>
        <w:tc>
          <w:tcPr>
            <w:tcW w:type="dxa" w:w="5976"/>
            <w:tcMar>
              <w:top w:w="60" w:type="dxa"/>
              <w:left w:w="110" w:type="dxa"/>
              <w:bottom w:w="60" w:type="dxa"/>
              <w:right w:w="110" w:type="dxa"/>
            </w:tcMar>
          </w:tcPr>
          <w:p>
            <w:pPr>
              <w:spacing w:after="0"/>
            </w:pPr>
            <w:r>
              <w:rPr>
                <w:b w:val="0"/>
                <w:i w:val="0"/>
                <w:color w:val="16261F"/>
                <w:sz w:val="19"/>
              </w:rPr>
              <w:t>The system shall throttle outbound email per customer to prevent duplicate sends within a 60-second window.</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bl>
    <w:p>
      <w:r>
        <w:br w:type="page"/>
      </w:r>
    </w:p>
    <w:p>
      <w:pPr>
        <w:pStyle w:val="Heading1"/>
      </w:pPr>
      <w:r>
        <w:t>13. FR-PAY — Pay Now payment experience</w:t>
      </w:r>
    </w:p>
    <w:p>
      <w:pPr>
        <w:spacing w:after="140"/>
      </w:pPr>
      <w:r>
        <w:rPr>
          <w:b w:val="0"/>
          <w:i w:val="0"/>
          <w:color w:val="16261F"/>
          <w:sz w:val="21"/>
        </w:rPr>
        <w:t>The customer-facing payment journey, hosted on the brand's own domain. This is the highest-risk surface in the platform: it is public, unauthenticated and handles money.</w:t>
      </w:r>
    </w:p>
    <w:p>
      <w:pPr>
        <w:pBdr>
          <w:left w:val="single" w:sz="18" w:space="10" w:color="C0473D"/>
        </w:pBdr>
        <w:shd w:val="clear" w:color="auto" w:fill="F9E7E5"/>
        <w:spacing w:before="160" w:after="180"/>
        <w:ind w:left="173"/>
      </w:pPr>
      <w:r>
        <w:rPr>
          <w:b/>
          <w:color w:val="C0473D"/>
          <w:sz w:val="17"/>
        </w:rPr>
        <w:t xml:space="preserve">DEFECT  </w:t>
      </w:r>
      <w:r>
        <w:rPr>
          <w:color w:val="16261F"/>
          <w:sz w:val="20"/>
        </w:rPr>
        <w:t>The prototype drives its processing step by calling setTimeout and setState during render (lines 621–627). Every re-render queues an additional timer. In a live implementation this pattern risks duplicate transitions and must not be carried forward. See GAP-007.</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FR-PAY-001</w:t>
            </w:r>
          </w:p>
        </w:tc>
        <w:tc>
          <w:tcPr>
            <w:tcW w:type="dxa" w:w="5976"/>
            <w:tcMar>
              <w:top w:w="60" w:type="dxa"/>
              <w:left w:w="110" w:type="dxa"/>
              <w:bottom w:w="60" w:type="dxa"/>
              <w:right w:w="110" w:type="dxa"/>
            </w:tcMar>
          </w:tcPr>
          <w:p>
            <w:pPr>
              <w:spacing w:after="0"/>
            </w:pPr>
            <w:r>
              <w:rPr>
                <w:b w:val="0"/>
                <w:i w:val="0"/>
                <w:color w:val="16261F"/>
                <w:sz w:val="19"/>
              </w:rPr>
              <w:t>The system shall expose a public payment page for each issued invoice at a signed, unguessable URL.</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serve the payment page under the brand's custom domain where verified, and a platform domain otherwise.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FR-PAY-003</w:t>
            </w:r>
          </w:p>
        </w:tc>
        <w:tc>
          <w:tcPr>
            <w:tcW w:type="dxa" w:w="5976"/>
            <w:tcMar>
              <w:top w:w="60" w:type="dxa"/>
              <w:left w:w="110" w:type="dxa"/>
              <w:bottom w:w="60" w:type="dxa"/>
              <w:right w:w="110" w:type="dxa"/>
            </w:tcMar>
          </w:tcPr>
          <w:p>
            <w:pPr>
              <w:spacing w:after="0"/>
            </w:pPr>
            <w:r>
              <w:rPr>
                <w:b w:val="0"/>
                <w:i w:val="0"/>
                <w:color w:val="16261F"/>
                <w:sz w:val="19"/>
              </w:rPr>
              <w:t>The system shall render the payment page using the brand's logo, theme colour and configured page design.</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display invoice number, issuing brand, amount due, due date and line detail on the landing page.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FR-PAY-005</w:t>
            </w:r>
          </w:p>
        </w:tc>
        <w:tc>
          <w:tcPr>
            <w:tcW w:type="dxa" w:w="5976"/>
            <w:tcMar>
              <w:top w:w="60" w:type="dxa"/>
              <w:left w:w="110" w:type="dxa"/>
              <w:bottom w:w="60" w:type="dxa"/>
              <w:right w:w="110" w:type="dxa"/>
            </w:tcMar>
          </w:tcPr>
          <w:p>
            <w:pPr>
              <w:spacing w:after="0"/>
            </w:pPr>
            <w:r>
              <w:rPr>
                <w:b w:val="0"/>
                <w:i w:val="0"/>
                <w:color w:val="16261F"/>
                <w:sz w:val="19"/>
              </w:rPr>
              <w:t>The system shall offer a payment method selection step listing only the methods enabled for that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bypass the selection step where exactly one payment method is enabled.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FR-PAY-007</w:t>
            </w:r>
          </w:p>
        </w:tc>
        <w:tc>
          <w:tcPr>
            <w:tcW w:type="dxa" w:w="5976"/>
            <w:tcMar>
              <w:top w:w="60" w:type="dxa"/>
              <w:left w:w="110" w:type="dxa"/>
              <w:bottom w:w="60" w:type="dxa"/>
              <w:right w:w="110" w:type="dxa"/>
            </w:tcMar>
          </w:tcPr>
          <w:p>
            <w:pPr>
              <w:spacing w:after="0"/>
            </w:pPr>
            <w:r>
              <w:rPr>
                <w:b w:val="0"/>
                <w:i w:val="0"/>
                <w:color w:val="16261F"/>
                <w:sz w:val="19"/>
              </w:rPr>
              <w:t>The system shall provide a card payment form capturing cardholder name, card number, expiry and security code.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capture card details exclusively within gateway-hosted fields, so that no card number reaches platform infrastructure.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FR-PAY-009</w:t>
            </w:r>
          </w:p>
        </w:tc>
        <w:tc>
          <w:tcPr>
            <w:tcW w:type="dxa" w:w="5976"/>
            <w:tcMar>
              <w:top w:w="60" w:type="dxa"/>
              <w:left w:w="110" w:type="dxa"/>
              <w:bottom w:w="60" w:type="dxa"/>
              <w:right w:w="110" w:type="dxa"/>
            </w:tcMar>
          </w:tcPr>
          <w:p>
            <w:pPr>
              <w:spacing w:after="0"/>
            </w:pPr>
            <w:r>
              <w:rPr>
                <w:b w:val="0"/>
                <w:i w:val="0"/>
                <w:color w:val="16261F"/>
                <w:sz w:val="19"/>
              </w:rPr>
              <w:t>The system shall display the payable total including card fee before the customer authorises a card payment.</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 processing state while the gateway authorisation is in flight.</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FR-PAY-011</w:t>
            </w:r>
          </w:p>
        </w:tc>
        <w:tc>
          <w:tcPr>
            <w:tcW w:type="dxa" w:w="5976"/>
            <w:tcMar>
              <w:top w:w="60" w:type="dxa"/>
              <w:left w:w="110" w:type="dxa"/>
              <w:bottom w:w="60" w:type="dxa"/>
              <w:right w:w="110" w:type="dxa"/>
            </w:tcMar>
          </w:tcPr>
          <w:p>
            <w:pPr>
              <w:spacing w:after="0"/>
            </w:pPr>
            <w:r>
              <w:rPr>
                <w:b w:val="0"/>
                <w:i w:val="0"/>
                <w:color w:val="16261F"/>
                <w:sz w:val="19"/>
              </w:rPr>
              <w:t>The system shall present a success state on authorisation, confirming the amount and stating that a receipt has been emailed.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 failure state on decline, with a plain-language reason and a retry action.</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FR-PAY-013</w:t>
            </w:r>
          </w:p>
        </w:tc>
        <w:tc>
          <w:tcPr>
            <w:tcW w:type="dxa" w:w="5976"/>
            <w:tcMar>
              <w:top w:w="60" w:type="dxa"/>
              <w:left w:w="110" w:type="dxa"/>
              <w:bottom w:w="60" w:type="dxa"/>
              <w:right w:w="110" w:type="dxa"/>
            </w:tcMar>
          </w:tcPr>
          <w:p>
            <w:pPr>
              <w:spacing w:after="0"/>
            </w:pPr>
            <w:r>
              <w:rPr>
                <w:b w:val="0"/>
                <w:i w:val="0"/>
                <w:color w:val="16261F"/>
                <w:sz w:val="19"/>
              </w:rPr>
              <w:t>The system shall offer the invoice PDF for download from the landing page and from the success page.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FR-PAY-014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render a terminal state for invoices that are already paid, cancelled or expired, without presenting a payment form.</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FR-PAY-015</w:t>
            </w:r>
          </w:p>
        </w:tc>
        <w:tc>
          <w:tcPr>
            <w:tcW w:type="dxa" w:w="5976"/>
            <w:tcMar>
              <w:top w:w="60" w:type="dxa"/>
              <w:left w:w="110" w:type="dxa"/>
              <w:bottom w:w="60" w:type="dxa"/>
              <w:right w:w="110" w:type="dxa"/>
            </w:tcMar>
          </w:tcPr>
          <w:p>
            <w:pPr>
              <w:spacing w:after="0"/>
            </w:pPr>
            <w:r>
              <w:rPr>
                <w:b w:val="0"/>
                <w:i w:val="0"/>
                <w:color w:val="16261F"/>
                <w:sz w:val="19"/>
              </w:rPr>
              <w:t>The system shall prevent duplicate settlement where a customer submits payment twice for the same invoice.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FR-PAY-016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partial payment where enabled for the brand, allowing the customer to enter an amount up to the balance.</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FR-PAY-020</w:t>
            </w:r>
          </w:p>
        </w:tc>
        <w:tc>
          <w:tcPr>
            <w:tcW w:type="dxa" w:w="5976"/>
            <w:tcMar>
              <w:top w:w="60" w:type="dxa"/>
              <w:left w:w="110" w:type="dxa"/>
              <w:bottom w:w="60" w:type="dxa"/>
              <w:right w:w="110" w:type="dxa"/>
            </w:tcMar>
          </w:tcPr>
          <w:p>
            <w:pPr>
              <w:spacing w:after="0"/>
            </w:pPr>
            <w:r>
              <w:rPr>
                <w:b w:val="0"/>
                <w:i w:val="0"/>
                <w:color w:val="16261F"/>
                <w:sz w:val="19"/>
              </w:rPr>
              <w:t>The system shall offer Apple Pay where enabled and where the customer's device and browser support it.</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FR-PAY-021</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offer Google Pay where enabled and supported.</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FR-PAY-022</w:t>
            </w:r>
          </w:p>
        </w:tc>
        <w:tc>
          <w:tcPr>
            <w:tcW w:type="dxa" w:w="5976"/>
            <w:tcMar>
              <w:top w:w="60" w:type="dxa"/>
              <w:left w:w="110" w:type="dxa"/>
              <w:bottom w:w="60" w:type="dxa"/>
              <w:right w:w="110" w:type="dxa"/>
            </w:tcMar>
          </w:tcPr>
          <w:p>
            <w:pPr>
              <w:spacing w:after="0"/>
            </w:pPr>
            <w:r>
              <w:rPr>
                <w:b w:val="0"/>
                <w:i w:val="0"/>
                <w:color w:val="16261F"/>
                <w:sz w:val="19"/>
              </w:rPr>
              <w:t>The system shall offer ACH bank transfer where enabled, capturing account details through the verification provider's hosted flow.</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FR-PAY-023</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 pending state for ACH payments, stating expected settlement time, and shall not mark the invoice Paid until settlement confirms.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FR-PAY-024</w:t>
            </w:r>
          </w:p>
        </w:tc>
        <w:tc>
          <w:tcPr>
            <w:tcW w:type="dxa" w:w="5976"/>
            <w:tcMar>
              <w:top w:w="60" w:type="dxa"/>
              <w:left w:w="110" w:type="dxa"/>
              <w:bottom w:w="60" w:type="dxa"/>
              <w:right w:w="110" w:type="dxa"/>
            </w:tcMar>
          </w:tcPr>
          <w:p>
            <w:pPr>
              <w:spacing w:after="0"/>
            </w:pPr>
            <w:r>
              <w:rPr>
                <w:b w:val="0"/>
                <w:i w:val="0"/>
                <w:color w:val="16261F"/>
                <w:sz w:val="19"/>
              </w:rPr>
              <w:t>The system shall enforce the brand's configured ACH daily transaction limit.</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FR-PAY-025</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render the payment experience correctly on mobile viewports from 320 pixels wide.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bl>
    <w:p>
      <w:pPr>
        <w:pStyle w:val="Heading2"/>
      </w:pPr>
      <w:r>
        <w:t>13.1 Key acceptance criteria</w:t>
      </w:r>
    </w:p>
    <w:p>
      <w:pPr>
        <w:pStyle w:val="ListNumber"/>
        <w:spacing w:after="60"/>
        <w:ind w:left="360"/>
      </w:pPr>
      <w:r>
        <w:rPr>
          <w:color w:val="16261F"/>
          <w:sz w:val="21"/>
        </w:rPr>
        <w:t>Submitting the card form twice in rapid succession results in exactly one authorisation and one payment record.</w:t>
      </w:r>
    </w:p>
    <w:p>
      <w:pPr>
        <w:pStyle w:val="ListNumber"/>
        <w:spacing w:after="60"/>
        <w:ind w:left="360"/>
      </w:pPr>
      <w:r>
        <w:rPr>
          <w:color w:val="16261F"/>
          <w:sz w:val="21"/>
        </w:rPr>
        <w:t>A card number entered on the payment page never appears in platform application logs, database, or error tracking payloads.</w:t>
      </w:r>
    </w:p>
    <w:p>
      <w:pPr>
        <w:pStyle w:val="ListNumber"/>
        <w:spacing w:after="60"/>
        <w:ind w:left="360"/>
      </w:pPr>
      <w:r>
        <w:rPr>
          <w:color w:val="16261F"/>
          <w:sz w:val="21"/>
        </w:rPr>
        <w:t>An ACH payment that authorises successfully leaves the invoice in Pending Payment, not Paid, until the settlement webhook is received.</w:t>
      </w:r>
    </w:p>
    <w:p>
      <w:pPr>
        <w:pStyle w:val="ListNumber"/>
        <w:spacing w:after="60"/>
        <w:ind w:left="360"/>
      </w:pPr>
      <w:r>
        <w:rPr>
          <w:color w:val="16261F"/>
          <w:sz w:val="21"/>
        </w:rPr>
        <w:t>Requesting the payment URL of a cancelled invoice returns a terminal page with HTTP 200 and no payment form in the DOM.</w:t>
      </w:r>
    </w:p>
    <w:p>
      <w:r>
        <w:br w:type="page"/>
      </w:r>
    </w:p>
    <w:p>
      <w:pPr>
        <w:pStyle w:val="Heading1"/>
      </w:pPr>
      <w:r>
        <w:t>14. FR-CHK — Check payment workflow</w:t>
      </w:r>
    </w:p>
    <w:p>
      <w:pPr>
        <w:spacing w:after="140"/>
      </w:pPr>
      <w:r>
        <w:rPr>
          <w:b w:val="0"/>
          <w:i w:val="0"/>
          <w:color w:val="16261F"/>
          <w:sz w:val="21"/>
        </w:rPr>
        <w:t>A customer uploads an image of a physical check; merchant staff review and approve it before it is recorded as a payment. Demonstrated in the prototype, outside the signed MVP.</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FR-CHK-001</w:t>
            </w:r>
          </w:p>
        </w:tc>
        <w:tc>
          <w:tcPr>
            <w:tcW w:type="dxa" w:w="5976"/>
            <w:tcMar>
              <w:top w:w="60" w:type="dxa"/>
              <w:left w:w="110" w:type="dxa"/>
              <w:bottom w:w="60" w:type="dxa"/>
              <w:right w:w="110" w:type="dxa"/>
            </w:tcMar>
          </w:tcPr>
          <w:p>
            <w:pPr>
              <w:spacing w:after="0"/>
            </w:pPr>
            <w:r>
              <w:rPr>
                <w:b w:val="0"/>
                <w:i w:val="0"/>
                <w:color w:val="16261F"/>
                <w:sz w:val="19"/>
              </w:rPr>
              <w:t>The system shall offer check upload as a payment method where enabled for the brand.</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FR-CHK-002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accept a front image and an optional back image in JPEG, PNG or PDF format up to 10 MB each.</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FR-CHK-003</w:t>
            </w:r>
          </w:p>
        </w:tc>
        <w:tc>
          <w:tcPr>
            <w:tcW w:type="dxa" w:w="5976"/>
            <w:tcMar>
              <w:top w:w="60" w:type="dxa"/>
              <w:left w:w="110" w:type="dxa"/>
              <w:bottom w:w="60" w:type="dxa"/>
              <w:right w:w="110" w:type="dxa"/>
            </w:tcMar>
          </w:tcPr>
          <w:p>
            <w:pPr>
              <w:spacing w:after="0"/>
            </w:pPr>
            <w:r>
              <w:rPr>
                <w:b w:val="0"/>
                <w:i w:val="0"/>
                <w:color w:val="16261F"/>
                <w:sz w:val="19"/>
              </w:rPr>
              <w:t>The system shall accept an optional free-text note from the customer with the upload.</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FR-CHK-004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scan every uploaded file for malware before it is made retrievable.</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FR-CHK-005</w:t>
            </w:r>
          </w:p>
        </w:tc>
        <w:tc>
          <w:tcPr>
            <w:tcW w:type="dxa" w:w="5976"/>
            <w:tcMar>
              <w:top w:w="60" w:type="dxa"/>
              <w:left w:w="110" w:type="dxa"/>
              <w:bottom w:w="60" w:type="dxa"/>
              <w:right w:w="110" w:type="dxa"/>
            </w:tcMar>
          </w:tcPr>
          <w:p>
            <w:pPr>
              <w:spacing w:after="0"/>
            </w:pPr>
            <w:r>
              <w:rPr>
                <w:b w:val="0"/>
                <w:i w:val="0"/>
                <w:color w:val="16261F"/>
                <w:sz w:val="19"/>
              </w:rPr>
              <w:t>The system shall place the invoice in Pending Payment on check submission, not Paid.</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FR-CHK-006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 confirmation state to the customer stating that the check is under review.</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FR-CHK-007</w:t>
            </w:r>
          </w:p>
        </w:tc>
        <w:tc>
          <w:tcPr>
            <w:tcW w:type="dxa" w:w="5976"/>
            <w:tcMar>
              <w:top w:w="60" w:type="dxa"/>
              <w:left w:w="110" w:type="dxa"/>
              <w:bottom w:w="60" w:type="dxa"/>
              <w:right w:w="110" w:type="dxa"/>
            </w:tcMar>
          </w:tcPr>
          <w:p>
            <w:pPr>
              <w:spacing w:after="0"/>
            </w:pPr>
            <w:r>
              <w:rPr>
                <w:b w:val="0"/>
                <w:i w:val="0"/>
                <w:color w:val="16261F"/>
                <w:sz w:val="19"/>
              </w:rPr>
              <w:t>The system shall queue submitted checks for merchant review, listed per brand with check reference, customer, amount and upload date.</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FR-CHK-008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both check images and the invoice context to the reviewing user.</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FR-CHK-009</w:t>
            </w:r>
          </w:p>
        </w:tc>
        <w:tc>
          <w:tcPr>
            <w:tcW w:type="dxa" w:w="5976"/>
            <w:tcMar>
              <w:top w:w="60" w:type="dxa"/>
              <w:left w:w="110" w:type="dxa"/>
              <w:bottom w:w="60" w:type="dxa"/>
              <w:right w:w="110" w:type="dxa"/>
            </w:tcMar>
          </w:tcPr>
          <w:p>
            <w:pPr>
              <w:spacing w:after="0"/>
            </w:pPr>
            <w:r>
              <w:rPr>
                <w:b w:val="0"/>
                <w:i w:val="0"/>
                <w:color w:val="16261F"/>
                <w:sz w:val="19"/>
              </w:rPr>
              <w:t>The system shall allow an authorised user to approve a check, recording a payment against the invoice for the stated amount.</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FR-CHK-010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an authorised user to reject a check with a mandatory reason.</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FR-CHK-011</w:t>
            </w:r>
          </w:p>
        </w:tc>
        <w:tc>
          <w:tcPr>
            <w:tcW w:type="dxa" w:w="5976"/>
            <w:tcMar>
              <w:top w:w="60" w:type="dxa"/>
              <w:left w:w="110" w:type="dxa"/>
              <w:bottom w:w="60" w:type="dxa"/>
              <w:right w:w="110" w:type="dxa"/>
            </w:tcMar>
          </w:tcPr>
          <w:p>
            <w:pPr>
              <w:spacing w:after="0"/>
            </w:pPr>
            <w:r>
              <w:rPr>
                <w:b w:val="0"/>
                <w:i w:val="0"/>
                <w:color w:val="16261F"/>
                <w:sz w:val="19"/>
              </w:rPr>
              <w:t>The system shall notify the customer by email on approval and on rejection, quoting the reason on rejection.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FR-CHK-012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return a rejected invoice to its prior unpaid status with the payment link live again.</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FR-CHK-013</w:t>
            </w:r>
          </w:p>
        </w:tc>
        <w:tc>
          <w:tcPr>
            <w:tcW w:type="dxa" w:w="5976"/>
            <w:tcMar>
              <w:top w:w="60" w:type="dxa"/>
              <w:left w:w="110" w:type="dxa"/>
              <w:bottom w:w="60" w:type="dxa"/>
              <w:right w:w="110" w:type="dxa"/>
            </w:tcMar>
          </w:tcPr>
          <w:p>
            <w:pPr>
              <w:spacing w:after="0"/>
            </w:pPr>
            <w:r>
              <w:rPr>
                <w:b w:val="0"/>
                <w:i w:val="0"/>
                <w:color w:val="16261F"/>
                <w:sz w:val="19"/>
              </w:rPr>
              <w:t>The system shall push an approved check payment to Zoho Books as a recorded payment.</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FR-CHK-014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restrict check approval to roles holding the Approve right per section 3.3.</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FR-CHK-015</w:t>
            </w:r>
          </w:p>
        </w:tc>
        <w:tc>
          <w:tcPr>
            <w:tcW w:type="dxa" w:w="5976"/>
            <w:tcMar>
              <w:top w:w="60" w:type="dxa"/>
              <w:left w:w="110" w:type="dxa"/>
              <w:bottom w:w="60" w:type="dxa"/>
              <w:right w:w="110" w:type="dxa"/>
            </w:tcMar>
          </w:tcPr>
          <w:p>
            <w:pPr>
              <w:spacing w:after="0"/>
            </w:pPr>
            <w:r>
              <w:rPr>
                <w:b w:val="0"/>
                <w:i w:val="0"/>
                <w:color w:val="16261F"/>
                <w:sz w:val="19"/>
              </w:rPr>
              <w:t>The system shall retain check images for a configurable retention period and purge them thereafter.</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bl>
    <w:p>
      <w:r>
        <w:br w:type="page"/>
      </w:r>
    </w:p>
    <w:p>
      <w:pPr>
        <w:pStyle w:val="Heading1"/>
      </w:pPr>
      <w:r>
        <w:t>15. FR-CFG — Configuration and templates</w:t>
      </w:r>
    </w:p>
    <w:p>
      <w:pPr>
        <w:spacing w:after="140"/>
      </w:pPr>
      <w:r>
        <w:rPr>
          <w:b w:val="0"/>
          <w:i w:val="0"/>
          <w:color w:val="16261F"/>
          <w:sz w:val="21"/>
        </w:rPr>
        <w:t>Per-brand control of everything the customer sees: the email, the PDF and the payment pages.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FR-CFG-001</w:t>
            </w:r>
          </w:p>
        </w:tc>
        <w:tc>
          <w:tcPr>
            <w:tcW w:type="dxa" w:w="5976"/>
            <w:tcMar>
              <w:top w:w="60" w:type="dxa"/>
              <w:left w:w="110" w:type="dxa"/>
              <w:bottom w:w="60" w:type="dxa"/>
              <w:right w:w="110" w:type="dxa"/>
            </w:tcMar>
          </w:tcPr>
          <w:p>
            <w:pPr>
              <w:spacing w:after="0"/>
            </w:pPr>
            <w:r>
              <w:rPr>
                <w:b w:val="0"/>
                <w:i w:val="0"/>
                <w:color w:val="16261F"/>
                <w:sz w:val="19"/>
              </w:rPr>
              <w:t>The system shall scope every template and configuration item to a single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a defined set of merge variables across all templates, including customer name, invoice number, amount due, due date and brand name.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FR-CFG-003</w:t>
            </w:r>
          </w:p>
        </w:tc>
        <w:tc>
          <w:tcPr>
            <w:tcW w:type="dxa" w:w="5976"/>
            <w:tcMar>
              <w:top w:w="60" w:type="dxa"/>
              <w:left w:w="110" w:type="dxa"/>
              <w:bottom w:w="60" w:type="dxa"/>
              <w:right w:w="110" w:type="dxa"/>
            </w:tcMar>
          </w:tcPr>
          <w:p>
            <w:pPr>
              <w:spacing w:after="0"/>
            </w:pPr>
            <w:r>
              <w:rPr>
                <w:b w:val="0"/>
                <w:i w:val="0"/>
                <w:color w:val="16261F"/>
                <w:sz w:val="19"/>
              </w:rPr>
              <w:t>The system shall validate merge variables on save and reject unknown tokens.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provide an editable email template per event type: invoice sent, reminder, receipt, payment failure, check approved, check rejected.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FR-CFG-011</w:t>
            </w:r>
          </w:p>
        </w:tc>
        <w:tc>
          <w:tcPr>
            <w:tcW w:type="dxa" w:w="5976"/>
            <w:tcMar>
              <w:top w:w="60" w:type="dxa"/>
              <w:left w:w="110" w:type="dxa"/>
              <w:bottom w:w="60" w:type="dxa"/>
              <w:right w:w="110" w:type="dxa"/>
            </w:tcMar>
          </w:tcPr>
          <w:p>
            <w:pPr>
              <w:spacing w:after="0"/>
            </w:pPr>
            <w:r>
              <w:rPr>
                <w:b w:val="0"/>
                <w:i w:val="0"/>
                <w:color w:val="16261F"/>
                <w:sz w:val="19"/>
              </w:rPr>
              <w:t>The system shall allow the subject line and body of each email template to be edited per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render a live preview of each email template using representative sample data.</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FR-CFG-013</w:t>
            </w:r>
          </w:p>
        </w:tc>
        <w:tc>
          <w:tcPr>
            <w:tcW w:type="dxa" w:w="5976"/>
            <w:tcMar>
              <w:top w:w="60" w:type="dxa"/>
              <w:left w:w="110" w:type="dxa"/>
              <w:bottom w:w="60" w:type="dxa"/>
              <w:right w:w="110" w:type="dxa"/>
            </w:tcMar>
          </w:tcPr>
          <w:p>
            <w:pPr>
              <w:spacing w:after="0"/>
            </w:pPr>
            <w:r>
              <w:rPr>
                <w:b w:val="0"/>
                <w:i w:val="0"/>
                <w:color w:val="16261F"/>
                <w:sz w:val="19"/>
              </w:rPr>
              <w:t>The system shall allow a test email to be sent to a nominated address.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FR-CFG-014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apply the brand logo and theme colour to email templates automatically.</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FR-CFG-015</w:t>
            </w:r>
          </w:p>
        </w:tc>
        <w:tc>
          <w:tcPr>
            <w:tcW w:type="dxa" w:w="5976"/>
            <w:tcMar>
              <w:top w:w="60" w:type="dxa"/>
              <w:left w:w="110" w:type="dxa"/>
              <w:bottom w:w="60" w:type="dxa"/>
              <w:right w:w="110" w:type="dxa"/>
            </w:tcMar>
          </w:tcPr>
          <w:p>
            <w:pPr>
              <w:spacing w:after="0"/>
            </w:pPr>
            <w:r>
              <w:rPr>
                <w:b w:val="0"/>
                <w:i w:val="0"/>
                <w:color w:val="16261F"/>
                <w:sz w:val="19"/>
              </w:rPr>
              <w:t>The system shall restore any email template to the platform default.</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FR-CFG-016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version email template changes with author and timestamp.</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FR-CFG-020</w:t>
            </w:r>
          </w:p>
        </w:tc>
        <w:tc>
          <w:tcPr>
            <w:tcW w:type="dxa" w:w="5976"/>
            <w:tcMar>
              <w:top w:w="60" w:type="dxa"/>
              <w:left w:w="110" w:type="dxa"/>
              <w:bottom w:w="60" w:type="dxa"/>
              <w:right w:w="110" w:type="dxa"/>
            </w:tcMar>
          </w:tcPr>
          <w:p>
            <w:pPr>
              <w:spacing w:after="0"/>
            </w:pPr>
            <w:r>
              <w:rPr>
                <w:b w:val="0"/>
                <w:i w:val="0"/>
                <w:color w:val="16261F"/>
                <w:sz w:val="19"/>
              </w:rPr>
              <w:t>The system shall allow configuration of the invoice landing page: header text, footer text and displayed fields.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FR-CFG-021</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configuration of the payment method selection page.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FR-CFG-022</w:t>
            </w:r>
          </w:p>
        </w:tc>
        <w:tc>
          <w:tcPr>
            <w:tcW w:type="dxa" w:w="5976"/>
            <w:tcMar>
              <w:top w:w="60" w:type="dxa"/>
              <w:left w:w="110" w:type="dxa"/>
              <w:bottom w:w="60" w:type="dxa"/>
              <w:right w:w="110" w:type="dxa"/>
            </w:tcMar>
          </w:tcPr>
          <w:p>
            <w:pPr>
              <w:spacing w:after="0"/>
            </w:pPr>
            <w:r>
              <w:rPr>
                <w:b w:val="0"/>
                <w:i w:val="0"/>
                <w:color w:val="16261F"/>
                <w:sz w:val="19"/>
              </w:rPr>
              <w:t>The system shall allow configuration of the card entry page.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FR-CFG-023</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configuration of the processing page.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FR-CFG-024</w:t>
            </w:r>
          </w:p>
        </w:tc>
        <w:tc>
          <w:tcPr>
            <w:tcW w:type="dxa" w:w="5976"/>
            <w:tcMar>
              <w:top w:w="60" w:type="dxa"/>
              <w:left w:w="110" w:type="dxa"/>
              <w:bottom w:w="60" w:type="dxa"/>
              <w:right w:w="110" w:type="dxa"/>
            </w:tcMar>
          </w:tcPr>
          <w:p>
            <w:pPr>
              <w:spacing w:after="0"/>
            </w:pPr>
            <w:r>
              <w:rPr>
                <w:b w:val="0"/>
                <w:i w:val="0"/>
                <w:color w:val="16261F"/>
                <w:sz w:val="19"/>
              </w:rPr>
              <w:t>The system shall allow configuration of the success page, including post-payment messaging.</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FR-CFG-025</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configuration of the failure page.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FR-CFG-026</w:t>
            </w:r>
          </w:p>
        </w:tc>
        <w:tc>
          <w:tcPr>
            <w:tcW w:type="dxa" w:w="5976"/>
            <w:tcMar>
              <w:top w:w="60" w:type="dxa"/>
              <w:left w:w="110" w:type="dxa"/>
              <w:bottom w:w="60" w:type="dxa"/>
              <w:right w:w="110" w:type="dxa"/>
            </w:tcMar>
          </w:tcPr>
          <w:p>
            <w:pPr>
              <w:spacing w:after="0"/>
            </w:pPr>
            <w:r>
              <w:rPr>
                <w:b w:val="0"/>
                <w:i w:val="0"/>
                <w:color w:val="16261F"/>
                <w:sz w:val="19"/>
              </w:rPr>
              <w:t>The system shall render a preview of every payment page state without issuing a real transaction.</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FR-CFG-027</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the preview to be driven against a nominated sample invoice.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FR-CFG-028</w:t>
            </w:r>
          </w:p>
        </w:tc>
        <w:tc>
          <w:tcPr>
            <w:tcW w:type="dxa" w:w="5976"/>
            <w:tcMar>
              <w:top w:w="60" w:type="dxa"/>
              <w:left w:w="110" w:type="dxa"/>
              <w:bottom w:w="60" w:type="dxa"/>
              <w:right w:w="110" w:type="dxa"/>
            </w:tcMar>
          </w:tcPr>
          <w:p>
            <w:pPr>
              <w:spacing w:after="0"/>
            </w:pPr>
            <w:r>
              <w:rPr>
                <w:b w:val="0"/>
                <w:i w:val="0"/>
                <w:color w:val="16261F"/>
                <w:sz w:val="19"/>
              </w:rPr>
              <w:t>The system shall additionally support configuration of the ACH, wallet, pending and check-submitted page states.</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FR-CFG-030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generate a branded PDF invoice carrying the brand logo, theme colour, full line detail, tax, card fee and totals.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FR-CFG-031</w:t>
            </w:r>
          </w:p>
        </w:tc>
        <w:tc>
          <w:tcPr>
            <w:tcW w:type="dxa" w:w="5976"/>
            <w:tcMar>
              <w:top w:w="60" w:type="dxa"/>
              <w:left w:w="110" w:type="dxa"/>
              <w:bottom w:w="60" w:type="dxa"/>
              <w:right w:w="110" w:type="dxa"/>
            </w:tcMar>
          </w:tcPr>
          <w:p>
            <w:pPr>
              <w:spacing w:after="0"/>
            </w:pPr>
            <w:r>
              <w:rPr>
                <w:b w:val="0"/>
                <w:i w:val="0"/>
                <w:color w:val="16261F"/>
                <w:sz w:val="19"/>
              </w:rPr>
              <w:t>The system shall allow configuration of PDF header text, footer text and terms and conditions per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FR-CFG-032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render a preview of the PDF within the configuration screen.</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FR-CFG-033</w:t>
            </w:r>
          </w:p>
        </w:tc>
        <w:tc>
          <w:tcPr>
            <w:tcW w:type="dxa" w:w="5976"/>
            <w:tcMar>
              <w:top w:w="60" w:type="dxa"/>
              <w:left w:w="110" w:type="dxa"/>
              <w:bottom w:w="60" w:type="dxa"/>
              <w:right w:w="110" w:type="dxa"/>
            </w:tcMar>
          </w:tcPr>
          <w:p>
            <w:pPr>
              <w:spacing w:after="0"/>
            </w:pPr>
            <w:r>
              <w:rPr>
                <w:b w:val="0"/>
                <w:i w:val="0"/>
                <w:color w:val="16261F"/>
                <w:sz w:val="19"/>
              </w:rPr>
              <w:t>The system shall produce byte-identical PDFs for a given invoice version regardless of when they are regenerated.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FR-CFG-034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include the brand's tax registration identifier on the PDF where present.</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FR-CFG-035</w:t>
            </w:r>
          </w:p>
        </w:tc>
        <w:tc>
          <w:tcPr>
            <w:tcW w:type="dxa" w:w="5976"/>
            <w:tcMar>
              <w:top w:w="60" w:type="dxa"/>
              <w:left w:w="110" w:type="dxa"/>
              <w:bottom w:w="60" w:type="dxa"/>
              <w:right w:w="110" w:type="dxa"/>
            </w:tcMar>
          </w:tcPr>
          <w:p>
            <w:pPr>
              <w:spacing w:after="0"/>
            </w:pPr>
            <w:r>
              <w:rPr>
                <w:b w:val="0"/>
                <w:i w:val="0"/>
                <w:color w:val="16261F"/>
                <w:sz w:val="19"/>
              </w:rPr>
              <w:t>The system shall include remittance instructions on the PDF for offline payment methods.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FR-CFG-036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embed the payment link as a scannable code on the PDF.</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FR-CFG-037</w:t>
            </w:r>
          </w:p>
        </w:tc>
        <w:tc>
          <w:tcPr>
            <w:tcW w:type="dxa" w:w="5976"/>
            <w:tcMar>
              <w:top w:w="60" w:type="dxa"/>
              <w:left w:w="110" w:type="dxa"/>
              <w:bottom w:w="60" w:type="dxa"/>
              <w:right w:w="110" w:type="dxa"/>
            </w:tcMar>
          </w:tcPr>
          <w:p>
            <w:pPr>
              <w:spacing w:after="0"/>
            </w:pPr>
            <w:r>
              <w:rPr>
                <w:b w:val="0"/>
                <w:i w:val="0"/>
                <w:color w:val="16261F"/>
                <w:sz w:val="19"/>
              </w:rPr>
              <w:t>The system shall support a per-brand PDF paper size of A4 or US Letter.</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bl>
    <w:p>
      <w:r>
        <w:br w:type="page"/>
      </w:r>
    </w:p>
    <w:p>
      <w:pPr>
        <w:pStyle w:val="Heading1"/>
      </w:pPr>
      <w:r>
        <w:t>16. FR-DOM — Custom domain management</w:t>
      </w:r>
    </w:p>
    <w:p>
      <w:pPr>
        <w:spacing w:after="140"/>
      </w:pPr>
      <w:r>
        <w:rPr>
          <w:b w:val="0"/>
          <w:i w:val="0"/>
          <w:color w:val="16261F"/>
          <w:sz w:val="21"/>
        </w:rPr>
        <w:t>Serving each brand's invoice and payment pages from a domain the brand owns. Demonstrated in the prototype, outside the signed MVP.</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FR-DOM-001</w:t>
            </w:r>
          </w:p>
        </w:tc>
        <w:tc>
          <w:tcPr>
            <w:tcW w:type="dxa" w:w="5976"/>
            <w:tcMar>
              <w:top w:w="60" w:type="dxa"/>
              <w:left w:w="110" w:type="dxa"/>
              <w:bottom w:w="60" w:type="dxa"/>
              <w:right w:w="110" w:type="dxa"/>
            </w:tcMar>
          </w:tcPr>
          <w:p>
            <w:pPr>
              <w:spacing w:after="0"/>
            </w:pPr>
            <w:r>
              <w:rPr>
                <w:b w:val="0"/>
                <w:i w:val="0"/>
                <w:color w:val="16261F"/>
                <w:sz w:val="19"/>
              </w:rPr>
              <w:t>The system shall allow a custom domain to be registered against a brand.</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FR-DOM-002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generate the DNS records the brand must publish to prove control and route traffic.</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FR-DOM-003</w:t>
            </w:r>
          </w:p>
        </w:tc>
        <w:tc>
          <w:tcPr>
            <w:tcW w:type="dxa" w:w="5976"/>
            <w:tcMar>
              <w:top w:w="60" w:type="dxa"/>
              <w:left w:w="110" w:type="dxa"/>
              <w:bottom w:w="60" w:type="dxa"/>
              <w:right w:w="110" w:type="dxa"/>
            </w:tcMar>
          </w:tcPr>
          <w:p>
            <w:pPr>
              <w:spacing w:after="0"/>
            </w:pPr>
            <w:r>
              <w:rPr>
                <w:b w:val="0"/>
                <w:i w:val="0"/>
                <w:color w:val="16261F"/>
                <w:sz w:val="19"/>
              </w:rPr>
              <w:t>The system shall verify DNS configuration on demand and report per-record status.</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FR-DOM-004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provision a TLS certificate automatically once verification succeeds.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FR-DOM-005</w:t>
            </w:r>
          </w:p>
        </w:tc>
        <w:tc>
          <w:tcPr>
            <w:tcW w:type="dxa" w:w="5976"/>
            <w:tcMar>
              <w:top w:w="60" w:type="dxa"/>
              <w:left w:w="110" w:type="dxa"/>
              <w:bottom w:w="60" w:type="dxa"/>
              <w:right w:w="110" w:type="dxa"/>
            </w:tcMar>
          </w:tcPr>
          <w:p>
            <w:pPr>
              <w:spacing w:after="0"/>
            </w:pPr>
            <w:r>
              <w:rPr>
                <w:b w:val="0"/>
                <w:i w:val="0"/>
                <w:color w:val="16261F"/>
                <w:sz w:val="19"/>
              </w:rPr>
              <w:t>The system shall renew TLS certificates automatically before expiry and alert on renewal failure.</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FR-DOM-006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display current domain status: pending, verified, failed, or certificate expiring.</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FR-DOM-007</w:t>
            </w:r>
          </w:p>
        </w:tc>
        <w:tc>
          <w:tcPr>
            <w:tcW w:type="dxa" w:w="5976"/>
            <w:tcMar>
              <w:top w:w="60" w:type="dxa"/>
              <w:left w:w="110" w:type="dxa"/>
              <w:bottom w:w="60" w:type="dxa"/>
              <w:right w:w="110" w:type="dxa"/>
            </w:tcMar>
          </w:tcPr>
          <w:p>
            <w:pPr>
              <w:spacing w:after="0"/>
            </w:pPr>
            <w:r>
              <w:rPr>
                <w:b w:val="0"/>
                <w:i w:val="0"/>
                <w:color w:val="16261F"/>
                <w:sz w:val="19"/>
              </w:rPr>
              <w:t>The system shall run a periodic health check against each verified domain and alert on failure.</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FR-DOM-008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show the resulting invoice and payment URL patterns for the configured domain.</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FR-DOM-009</w:t>
            </w:r>
          </w:p>
        </w:tc>
        <w:tc>
          <w:tcPr>
            <w:tcW w:type="dxa" w:w="5976"/>
            <w:tcMar>
              <w:top w:w="60" w:type="dxa"/>
              <w:left w:w="110" w:type="dxa"/>
              <w:bottom w:w="60" w:type="dxa"/>
              <w:right w:w="110" w:type="dxa"/>
            </w:tcMar>
          </w:tcPr>
          <w:p>
            <w:pPr>
              <w:spacing w:after="0"/>
            </w:pPr>
            <w:r>
              <w:rPr>
                <w:b w:val="0"/>
                <w:i w:val="0"/>
                <w:color w:val="16261F"/>
                <w:sz w:val="19"/>
              </w:rPr>
              <w:t>The system shall allow a domain to be removed, reverting the brand to platform-hosted URLs.</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FR-DOM-010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continue to honour previously issued links on the platform domain after a custom domain is added.</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FR-DOM-011</w:t>
            </w:r>
          </w:p>
        </w:tc>
        <w:tc>
          <w:tcPr>
            <w:tcW w:type="dxa" w:w="5976"/>
            <w:tcMar>
              <w:top w:w="60" w:type="dxa"/>
              <w:left w:w="110" w:type="dxa"/>
              <w:bottom w:w="60" w:type="dxa"/>
              <w:right w:w="110" w:type="dxa"/>
            </w:tcMar>
          </w:tcPr>
          <w:p>
            <w:pPr>
              <w:spacing w:after="0"/>
            </w:pPr>
            <w:r>
              <w:rPr>
                <w:b w:val="0"/>
                <w:i w:val="0"/>
                <w:color w:val="16261F"/>
                <w:sz w:val="19"/>
              </w:rPr>
              <w:t>The system shall prevent the same domain being claimed by two brands or two merchants.</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bl>
    <w:p>
      <w:r>
        <w:br w:type="page"/>
      </w:r>
    </w:p>
    <w:p>
      <w:pPr>
        <w:pStyle w:val="Heading1"/>
      </w:pPr>
      <w:r>
        <w:t>17. FR-DSG — Payment page designer</w:t>
      </w:r>
    </w:p>
    <w:p>
      <w:pPr>
        <w:spacing w:after="140"/>
      </w:pPr>
      <w:r>
        <w:rPr>
          <w:b w:val="0"/>
          <w:i w:val="0"/>
          <w:color w:val="16261F"/>
          <w:sz w:val="21"/>
        </w:rPr>
        <w:t>Natural-language generation of payment page designs, with versioning and controlled publication. Demonstrated in the prototype, outside the signed MVP.</w:t>
      </w:r>
    </w:p>
    <w:p>
      <w:pPr>
        <w:pBdr>
          <w:left w:val="single" w:sz="18" w:space="10" w:color="C0473D"/>
        </w:pBdr>
        <w:shd w:val="clear" w:color="auto" w:fill="F9E7E5"/>
        <w:spacing w:before="160" w:after="180"/>
        <w:ind w:left="173"/>
      </w:pPr>
      <w:r>
        <w:rPr>
          <w:b/>
          <w:color w:val="C0473D"/>
          <w:sz w:val="17"/>
        </w:rPr>
        <w:t xml:space="preserve">RISK  </w:t>
      </w:r>
      <w:r>
        <w:rPr>
          <w:color w:val="16261F"/>
          <w:sz w:val="20"/>
        </w:rPr>
        <w:t>This feature allows generated content onto a page that handles card entry. Requirements FR-DSG-008 and FR-DSG-009 are not optional refinements — generated markup must be constrained to a fixed, non-executable style vocabulary. Uncontrolled generation on a payment page is a PCI-relevant risk.</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FR-DSG-001</w:t>
            </w:r>
          </w:p>
        </w:tc>
        <w:tc>
          <w:tcPr>
            <w:tcW w:type="dxa" w:w="5976"/>
            <w:tcMar>
              <w:top w:w="60" w:type="dxa"/>
              <w:left w:w="110" w:type="dxa"/>
              <w:bottom w:w="60" w:type="dxa"/>
              <w:right w:w="110" w:type="dxa"/>
            </w:tcMar>
          </w:tcPr>
          <w:p>
            <w:pPr>
              <w:spacing w:after="0"/>
            </w:pPr>
            <w:r>
              <w:rPr>
                <w:b w:val="0"/>
                <w:i w:val="0"/>
                <w:color w:val="16261F"/>
                <w:sz w:val="19"/>
              </w:rPr>
              <w:t>The system shall allow a user to select any payment page state and describe a desired design in natural language.</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FR-DSG-002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generate a candidate design from the description, constrained to the brand's logo, theme colour and typography.</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FR-DSG-003</w:t>
            </w:r>
          </w:p>
        </w:tc>
        <w:tc>
          <w:tcPr>
            <w:tcW w:type="dxa" w:w="5976"/>
            <w:tcMar>
              <w:top w:w="60" w:type="dxa"/>
              <w:left w:w="110" w:type="dxa"/>
              <w:bottom w:w="60" w:type="dxa"/>
              <w:right w:w="110" w:type="dxa"/>
            </w:tcMar>
          </w:tcPr>
          <w:p>
            <w:pPr>
              <w:spacing w:after="0"/>
            </w:pPr>
            <w:r>
              <w:rPr>
                <w:b w:val="0"/>
                <w:i w:val="0"/>
                <w:color w:val="16261F"/>
                <w:sz w:val="19"/>
              </w:rPr>
              <w:t>The system shall render the candidate design as a preview without publishing it.</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FR-DSG-004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retain a version history per page state, recording the prompt, the result, the author and the timestamp.</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FR-DSG-005</w:t>
            </w:r>
          </w:p>
        </w:tc>
        <w:tc>
          <w:tcPr>
            <w:tcW w:type="dxa" w:w="5976"/>
            <w:tcMar>
              <w:top w:w="60" w:type="dxa"/>
              <w:left w:w="110" w:type="dxa"/>
              <w:bottom w:w="60" w:type="dxa"/>
              <w:right w:w="110" w:type="dxa"/>
            </w:tcMar>
          </w:tcPr>
          <w:p>
            <w:pPr>
              <w:spacing w:after="0"/>
            </w:pPr>
            <w:r>
              <w:rPr>
                <w:b w:val="0"/>
                <w:i w:val="0"/>
                <w:color w:val="16261F"/>
                <w:sz w:val="19"/>
              </w:rPr>
              <w:t>The system shall clearly distinguish an unpublished preview from the currently live design.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FR-DSG-006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require an explicit publish action before any generated design affects customer-facing pages.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FR-DSG-007</w:t>
            </w:r>
          </w:p>
        </w:tc>
        <w:tc>
          <w:tcPr>
            <w:tcW w:type="dxa" w:w="5976"/>
            <w:tcMar>
              <w:top w:w="60" w:type="dxa"/>
              <w:left w:w="110" w:type="dxa"/>
              <w:bottom w:w="60" w:type="dxa"/>
              <w:right w:w="110" w:type="dxa"/>
            </w:tcMar>
          </w:tcPr>
          <w:p>
            <w:pPr>
              <w:spacing w:after="0"/>
            </w:pPr>
            <w:r>
              <w:rPr>
                <w:b w:val="0"/>
                <w:i w:val="0"/>
                <w:color w:val="16261F"/>
                <w:sz w:val="19"/>
              </w:rPr>
              <w:t>The system shall allow reverting to any prior published version.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FR-DSG-008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validate every generated design against accessibility contrast thresholds and block publication on failure.</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FR-DSG-009</w:t>
            </w:r>
          </w:p>
        </w:tc>
        <w:tc>
          <w:tcPr>
            <w:tcW w:type="dxa" w:w="5976"/>
            <w:tcMar>
              <w:top w:w="60" w:type="dxa"/>
              <w:left w:w="110" w:type="dxa"/>
              <w:bottom w:w="60" w:type="dxa"/>
              <w:right w:w="110" w:type="dxa"/>
            </w:tcMar>
          </w:tcPr>
          <w:p>
            <w:pPr>
              <w:spacing w:after="0"/>
            </w:pPr>
            <w:r>
              <w:rPr>
                <w:b w:val="0"/>
                <w:i w:val="0"/>
                <w:color w:val="16261F"/>
                <w:sz w:val="19"/>
              </w:rPr>
              <w:t>The system shall guarantee that generated design output cannot introduce executable script into the payment page.</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FR-DSG-010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restrict design publication to roles holding brand configuration rights.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bl>
    <w:p>
      <w:r>
        <w:br w:type="page"/>
      </w:r>
    </w:p>
    <w:p>
      <w:pPr>
        <w:pStyle w:val="Heading1"/>
      </w:pPr>
      <w:r>
        <w:t>18. FR-ZHO — Zoho Books integration</w:t>
      </w:r>
    </w:p>
    <w:p>
      <w:pPr>
        <w:spacing w:after="140"/>
      </w:pPr>
      <w:r>
        <w:rPr>
          <w:b w:val="0"/>
          <w:i w:val="0"/>
          <w:color w:val="16261F"/>
          <w:sz w:val="21"/>
        </w:rPr>
        <w:t>Each brand connects to its own Zoho Books organisation. Zoho is the accounting system of record; the platform is the invoicing and collection front end.</w:t>
      </w:r>
    </w:p>
    <w:p>
      <w:pPr>
        <w:pBdr>
          <w:left w:val="single" w:sz="18" w:space="10" w:color="C7862B"/>
        </w:pBdr>
        <w:shd w:val="clear" w:color="auto" w:fill="FBF0DF"/>
        <w:spacing w:before="160" w:after="180"/>
        <w:ind w:left="173"/>
      </w:pPr>
      <w:r>
        <w:rPr>
          <w:b/>
          <w:color w:val="C7862B"/>
          <w:sz w:val="17"/>
        </w:rPr>
        <w:t xml:space="preserve">GAP  </w:t>
      </w:r>
      <w:r>
        <w:rPr>
          <w:color w:val="16261F"/>
          <w:sz w:val="20"/>
        </w:rPr>
        <w:t>The prototype shows sync history but has no dedicated error log, which the MVP Feature List calls for explicitly. See GAP-006.</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FR-ZHO-001</w:t>
            </w:r>
          </w:p>
        </w:tc>
        <w:tc>
          <w:tcPr>
            <w:tcW w:type="dxa" w:w="5976"/>
            <w:tcMar>
              <w:top w:w="60" w:type="dxa"/>
              <w:left w:w="110" w:type="dxa"/>
              <w:bottom w:w="60" w:type="dxa"/>
              <w:right w:w="110" w:type="dxa"/>
            </w:tcMar>
          </w:tcPr>
          <w:p>
            <w:pPr>
              <w:spacing w:after="0"/>
            </w:pPr>
            <w:r>
              <w:rPr>
                <w:b w:val="0"/>
                <w:i w:val="0"/>
                <w:color w:val="16261F"/>
                <w:sz w:val="19"/>
              </w:rPr>
              <w:t>The system shall connect a brand to a Zoho Books organisation via OAuth 2.0 authorisation code flow.</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FR-ZHO-002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store Zoho refresh tokens encrypted at rest, scoped to the brand.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FR-ZHO-003</w:t>
            </w:r>
          </w:p>
        </w:tc>
        <w:tc>
          <w:tcPr>
            <w:tcW w:type="dxa" w:w="5976"/>
            <w:tcMar>
              <w:top w:w="60" w:type="dxa"/>
              <w:left w:w="110" w:type="dxa"/>
              <w:bottom w:w="60" w:type="dxa"/>
              <w:right w:w="110" w:type="dxa"/>
            </w:tcMar>
          </w:tcPr>
          <w:p>
            <w:pPr>
              <w:spacing w:after="0"/>
            </w:pPr>
            <w:r>
              <w:rPr>
                <w:b w:val="0"/>
                <w:i w:val="0"/>
                <w:color w:val="16261F"/>
                <w:sz w:val="19"/>
              </w:rPr>
              <w:t>The system shall refresh access tokens automatically before expiry.</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FR-ZHO-004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detect and surface token revocation, marking the connection as requiring reauthorisation.</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FR-ZHO-005</w:t>
            </w:r>
          </w:p>
        </w:tc>
        <w:tc>
          <w:tcPr>
            <w:tcW w:type="dxa" w:w="5976"/>
            <w:tcMar>
              <w:top w:w="60" w:type="dxa"/>
              <w:left w:w="110" w:type="dxa"/>
              <w:bottom w:w="60" w:type="dxa"/>
              <w:right w:w="110" w:type="dxa"/>
            </w:tcMar>
          </w:tcPr>
          <w:p>
            <w:pPr>
              <w:spacing w:after="0"/>
            </w:pPr>
            <w:r>
              <w:rPr>
                <w:b w:val="0"/>
                <w:i w:val="0"/>
                <w:color w:val="16261F"/>
                <w:sz w:val="19"/>
              </w:rPr>
              <w:t>The system shall allow a brand's Zoho connection to be disconnected, purging stored tokens.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FR-ZHO-006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display connection health, organisation name, last successful sync and API quota consumption.</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FR-ZHO-010</w:t>
            </w:r>
          </w:p>
        </w:tc>
        <w:tc>
          <w:tcPr>
            <w:tcW w:type="dxa" w:w="5976"/>
            <w:tcMar>
              <w:top w:w="60" w:type="dxa"/>
              <w:left w:w="110" w:type="dxa"/>
              <w:bottom w:w="60" w:type="dxa"/>
              <w:right w:w="110" w:type="dxa"/>
            </w:tcMar>
          </w:tcPr>
          <w:p>
            <w:pPr>
              <w:spacing w:after="0"/>
            </w:pPr>
            <w:r>
              <w:rPr>
                <w:b w:val="0"/>
                <w:i w:val="0"/>
                <w:color w:val="16261F"/>
                <w:sz w:val="19"/>
              </w:rPr>
              <w:t>The system shall synchronise customers bidirectionally with Zoho Contacts of type Customer.</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FR-ZHO-011</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synchronise invoices to Zoho Books Invoices.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FR-ZHO-012</w:t>
            </w:r>
          </w:p>
        </w:tc>
        <w:tc>
          <w:tcPr>
            <w:tcW w:type="dxa" w:w="5976"/>
            <w:tcMar>
              <w:top w:w="60" w:type="dxa"/>
              <w:left w:w="110" w:type="dxa"/>
              <w:bottom w:w="60" w:type="dxa"/>
              <w:right w:w="110" w:type="dxa"/>
            </w:tcMar>
          </w:tcPr>
          <w:p>
            <w:pPr>
              <w:spacing w:after="0"/>
            </w:pPr>
            <w:r>
              <w:rPr>
                <w:b w:val="0"/>
                <w:i w:val="0"/>
                <w:color w:val="16261F"/>
                <w:sz w:val="19"/>
              </w:rPr>
              <w:t>The system shall synchronise recorded payments to Zoho Books Customer Payments.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FR-ZHO-013</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synchronise items, tax rates, currencies and payment terms from Zoho as reference data.</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FR-ZHO-014</w:t>
            </w:r>
          </w:p>
        </w:tc>
        <w:tc>
          <w:tcPr>
            <w:tcW w:type="dxa" w:w="5976"/>
            <w:tcMar>
              <w:top w:w="60" w:type="dxa"/>
              <w:left w:w="110" w:type="dxa"/>
              <w:bottom w:w="60" w:type="dxa"/>
              <w:right w:w="110" w:type="dxa"/>
            </w:tcMar>
          </w:tcPr>
          <w:p>
            <w:pPr>
              <w:spacing w:after="0"/>
            </w:pPr>
            <w:r>
              <w:rPr>
                <w:b w:val="0"/>
                <w:i w:val="0"/>
                <w:color w:val="16261F"/>
                <w:sz w:val="19"/>
              </w:rPr>
              <w:t>The system shall allow each synchronisation stream to be enabled or disabled independently per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FR-ZHO-015</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synchronisation frequency to be configured per brand from real-time webhook, scheduled intervals, or manual only.</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FR-ZHO-016</w:t>
            </w:r>
          </w:p>
        </w:tc>
        <w:tc>
          <w:tcPr>
            <w:tcW w:type="dxa" w:w="5976"/>
            <w:tcMar>
              <w:top w:w="60" w:type="dxa"/>
              <w:left w:w="110" w:type="dxa"/>
              <w:bottom w:w="60" w:type="dxa"/>
              <w:right w:w="110" w:type="dxa"/>
            </w:tcMar>
          </w:tcPr>
          <w:p>
            <w:pPr>
              <w:spacing w:after="0"/>
            </w:pPr>
            <w:r>
              <w:rPr>
                <w:b w:val="0"/>
                <w:i w:val="0"/>
                <w:color w:val="16261F"/>
                <w:sz w:val="19"/>
              </w:rPr>
              <w:t>The system shall support an initial full import and subsequent incremental imports.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FR-ZHO-017</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an operator-triggered manual synchronisation.</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FR-ZHO-018</w:t>
            </w:r>
          </w:p>
        </w:tc>
        <w:tc>
          <w:tcPr>
            <w:tcW w:type="dxa" w:w="5976"/>
            <w:tcMar>
              <w:top w:w="60" w:type="dxa"/>
              <w:left w:w="110" w:type="dxa"/>
              <w:bottom w:w="60" w:type="dxa"/>
              <w:right w:w="110" w:type="dxa"/>
            </w:tcMar>
          </w:tcPr>
          <w:p>
            <w:pPr>
              <w:spacing w:after="0"/>
            </w:pPr>
            <w:r>
              <w:rPr>
                <w:b w:val="0"/>
                <w:i w:val="0"/>
                <w:color w:val="16261F"/>
                <w:sz w:val="19"/>
              </w:rPr>
              <w:t>The system shall map platform invoice statuses to Zoho invoice statuses and maintain that mapping as configuration.</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FR-ZHO-020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record a synchronisation history entry for every run with timestamp, direction, object type, record count and outcome.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FR-ZHO-021</w:t>
            </w:r>
          </w:p>
        </w:tc>
        <w:tc>
          <w:tcPr>
            <w:tcW w:type="dxa" w:w="5976"/>
            <w:tcMar>
              <w:top w:w="60" w:type="dxa"/>
              <w:left w:w="110" w:type="dxa"/>
              <w:bottom w:w="60" w:type="dxa"/>
              <w:right w:w="110" w:type="dxa"/>
            </w:tcMar>
          </w:tcPr>
          <w:p>
            <w:pPr>
              <w:spacing w:after="0"/>
            </w:pPr>
            <w:r>
              <w:rPr>
                <w:b w:val="0"/>
                <w:i w:val="0"/>
                <w:color w:val="16261F"/>
                <w:sz w:val="19"/>
              </w:rPr>
              <w:t>The system shall provide a dedicated error log listing every failed record with the object identifier, the error returned by Zoho and the time of failure.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FR-ZHO-022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an individual failed record to be retried from the error log.</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FR-ZHO-023</w:t>
            </w:r>
          </w:p>
        </w:tc>
        <w:tc>
          <w:tcPr>
            <w:tcW w:type="dxa" w:w="5976"/>
            <w:tcMar>
              <w:top w:w="60" w:type="dxa"/>
              <w:left w:w="110" w:type="dxa"/>
              <w:bottom w:w="60" w:type="dxa"/>
              <w:right w:w="110" w:type="dxa"/>
            </w:tcMar>
          </w:tcPr>
          <w:p>
            <w:pPr>
              <w:spacing w:after="0"/>
            </w:pPr>
            <w:r>
              <w:rPr>
                <w:b w:val="0"/>
                <w:i w:val="0"/>
                <w:color w:val="16261F"/>
                <w:sz w:val="19"/>
              </w:rPr>
              <w:t>The system shall allow a failed record to be dismissed with a reason, removing it from the active error list.</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FR-ZHO-024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detect conflicting concurrent edits and surface them for operator resolution rather than overwriting silently.</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bl>
    <w:p>
      <w:pPr>
        <w:pStyle w:val="Heading2"/>
      </w:pPr>
      <w:r>
        <w:t>18.1 Key acceptance criteria</w:t>
      </w:r>
    </w:p>
    <w:p>
      <w:pPr>
        <w:pStyle w:val="ListNumber"/>
        <w:spacing w:after="60"/>
        <w:ind w:left="360"/>
      </w:pPr>
      <w:r>
        <w:rPr>
          <w:color w:val="16261F"/>
          <w:sz w:val="21"/>
        </w:rPr>
        <w:t>Disconnecting a brand's Zoho connection removes stored tokens such that they cannot be recovered from the database or backups accessible to application code.</w:t>
      </w:r>
    </w:p>
    <w:p>
      <w:pPr>
        <w:pStyle w:val="ListNumber"/>
        <w:spacing w:after="60"/>
        <w:ind w:left="360"/>
      </w:pPr>
      <w:r>
        <w:rPr>
          <w:color w:val="16261F"/>
          <w:sz w:val="21"/>
        </w:rPr>
        <w:t>A customer edited in Zoho appears with updated details in the platform within one synchronisation interval.</w:t>
      </w:r>
    </w:p>
    <w:p>
      <w:pPr>
        <w:pStyle w:val="ListNumber"/>
        <w:spacing w:after="60"/>
        <w:ind w:left="360"/>
      </w:pPr>
      <w:r>
        <w:rPr>
          <w:color w:val="16261F"/>
          <w:sz w:val="21"/>
        </w:rPr>
        <w:t>A record that fails to sync appears in the error log with the verbatim Zoho error message and can be retried individually without re-running the whole batch.</w:t>
      </w:r>
    </w:p>
    <w:p>
      <w:pPr>
        <w:pStyle w:val="ListNumber"/>
        <w:spacing w:after="60"/>
        <w:ind w:left="360"/>
      </w:pPr>
      <w:r>
        <w:rPr>
          <w:color w:val="16261F"/>
          <w:sz w:val="21"/>
        </w:rPr>
        <w:t>Two brands connected to different Zoho organisations never exchange data.</w:t>
      </w:r>
    </w:p>
    <w:p>
      <w:r>
        <w:br w:type="page"/>
      </w:r>
    </w:p>
    <w:p>
      <w:pPr>
        <w:pStyle w:val="Heading1"/>
      </w:pPr>
      <w:r>
        <w:t>19. FR-SHP — Shopify B2B integration</w:t>
      </w:r>
    </w:p>
    <w:p>
      <w:pPr>
        <w:spacing w:after="140"/>
      </w:pPr>
      <w:r>
        <w:rPr>
          <w:b w:val="0"/>
          <w:i w:val="0"/>
          <w:color w:val="16261F"/>
          <w:sz w:val="21"/>
        </w:rPr>
        <w:t>Wholesale order flow from Shopify B2B into platform invoicing. Demonstrated in the prototype, outside the signed MVP.</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FR-SHP-001</w:t>
            </w:r>
          </w:p>
        </w:tc>
        <w:tc>
          <w:tcPr>
            <w:tcW w:type="dxa" w:w="5976"/>
            <w:tcMar>
              <w:top w:w="60" w:type="dxa"/>
              <w:left w:w="110" w:type="dxa"/>
              <w:bottom w:w="60" w:type="dxa"/>
              <w:right w:w="110" w:type="dxa"/>
            </w:tcMar>
          </w:tcPr>
          <w:p>
            <w:pPr>
              <w:spacing w:after="0"/>
            </w:pPr>
            <w:r>
              <w:rPr>
                <w:b w:val="0"/>
                <w:i w:val="0"/>
                <w:color w:val="16261F"/>
                <w:sz w:val="19"/>
              </w:rPr>
              <w:t>The system shall connect a brand to a Shopify store via OAuth.</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FR-SHP-002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import Shopify B2B draft orders and quotes for the connected store.</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FR-SHP-003</w:t>
            </w:r>
          </w:p>
        </w:tc>
        <w:tc>
          <w:tcPr>
            <w:tcW w:type="dxa" w:w="5976"/>
            <w:tcMar>
              <w:top w:w="60" w:type="dxa"/>
              <w:left w:w="110" w:type="dxa"/>
              <w:bottom w:w="60" w:type="dxa"/>
              <w:right w:w="110" w:type="dxa"/>
            </w:tcMar>
          </w:tcPr>
          <w:p>
            <w:pPr>
              <w:spacing w:after="0"/>
            </w:pPr>
            <w:r>
              <w:rPr>
                <w:b w:val="0"/>
                <w:i w:val="0"/>
                <w:color w:val="16261F"/>
                <w:sz w:val="19"/>
              </w:rPr>
              <w:t>The system shall map Shopify companies to platform customers.</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FR-SHP-004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map Shopify products to platform line items.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FR-SHP-005</w:t>
            </w:r>
          </w:p>
        </w:tc>
        <w:tc>
          <w:tcPr>
            <w:tcW w:type="dxa" w:w="5976"/>
            <w:tcMar>
              <w:top w:w="60" w:type="dxa"/>
              <w:left w:w="110" w:type="dxa"/>
              <w:bottom w:w="60" w:type="dxa"/>
              <w:right w:w="110" w:type="dxa"/>
            </w:tcMar>
          </w:tcPr>
          <w:p>
            <w:pPr>
              <w:spacing w:after="0"/>
            </w:pPr>
            <w:r>
              <w:rPr>
                <w:b w:val="0"/>
                <w:i w:val="0"/>
                <w:color w:val="16261F"/>
                <w:sz w:val="19"/>
              </w:rPr>
              <w:t>The system shall convert an imported draft order into a platform invoice, preserving line detail and pricing.</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FR-SHP-006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write payment status back to the originating Shopify order.</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FR-SHP-007</w:t>
            </w:r>
          </w:p>
        </w:tc>
        <w:tc>
          <w:tcPr>
            <w:tcW w:type="dxa" w:w="5976"/>
            <w:tcMar>
              <w:top w:w="60" w:type="dxa"/>
              <w:left w:w="110" w:type="dxa"/>
              <w:bottom w:w="60" w:type="dxa"/>
              <w:right w:w="110" w:type="dxa"/>
            </w:tcMar>
          </w:tcPr>
          <w:p>
            <w:pPr>
              <w:spacing w:after="0"/>
            </w:pPr>
            <w:r>
              <w:rPr>
                <w:b w:val="0"/>
                <w:i w:val="0"/>
                <w:color w:val="16261F"/>
                <w:sz w:val="19"/>
              </w:rPr>
              <w:t>The system shall allow Shopify synchronisation frequency to be configured per brand.</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FR-SHP-008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log Shopify synchronisation events and surface failures with retry.</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FR-SHP-009</w:t>
            </w:r>
          </w:p>
        </w:tc>
        <w:tc>
          <w:tcPr>
            <w:tcW w:type="dxa" w:w="5976"/>
            <w:tcMar>
              <w:top w:w="60" w:type="dxa"/>
              <w:left w:w="110" w:type="dxa"/>
              <w:bottom w:w="60" w:type="dxa"/>
              <w:right w:w="110" w:type="dxa"/>
            </w:tcMar>
          </w:tcPr>
          <w:p>
            <w:pPr>
              <w:spacing w:after="0"/>
            </w:pPr>
            <w:r>
              <w:rPr>
                <w:b w:val="0"/>
                <w:i w:val="0"/>
                <w:color w:val="16261F"/>
                <w:sz w:val="19"/>
              </w:rPr>
              <w:t>The system shall present an explicit empty state where no store is connected.</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bl>
    <w:p>
      <w:r>
        <w:br w:type="page"/>
      </w:r>
    </w:p>
    <w:p>
      <w:pPr>
        <w:pStyle w:val="Heading1"/>
      </w:pPr>
      <w:r>
        <w:t>20. FR-GTW — Payment gateway integration</w:t>
      </w:r>
    </w:p>
    <w:p>
      <w:pPr>
        <w:spacing w:after="140"/>
      </w:pPr>
      <w:r>
        <w:rPr>
          <w:b w:val="0"/>
          <w:i w:val="0"/>
          <w:color w:val="16261F"/>
          <w:sz w:val="21"/>
        </w:rPr>
        <w:t>The transaction engine behind the payment experience. Each brand configures its own gateway credentials and operates independently. The named target provider is Numbers Gateway (docs.numbersgateway.com), which is the referent of the MVP Feature List line 'Account Authorization from Numbers'.</w:t>
      </w:r>
    </w:p>
    <w:p>
      <w:pPr>
        <w:pBdr>
          <w:left w:val="single" w:sz="18" w:space="10" w:color="C0473D"/>
        </w:pBdr>
        <w:shd w:val="clear" w:color="auto" w:fill="F9E7E5"/>
        <w:spacing w:before="160" w:after="180"/>
        <w:ind w:left="173"/>
      </w:pPr>
      <w:r>
        <w:rPr>
          <w:b/>
          <w:color w:val="C0473D"/>
          <w:sz w:val="17"/>
        </w:rPr>
        <w:t xml:space="preserve">UNVERIFIED DEPENDENCY  </w:t>
      </w:r>
      <w:r>
        <w:rPr>
          <w:color w:val="16261F"/>
          <w:sz w:val="20"/>
        </w:rPr>
        <w:t>Numbers Gateway's API surface could not be verified during specification. The documentation host docs.numbersgateway.com resolves but returns no readable content to an unauthenticated client, and the referenced path /api/v2 returns HTTP 404. Every requirement in this module is therefore written against generic gateway capability, not against Numbers Gateway's actual contract. Before the integration design is finalised, the following must be confirmed from the real documentation: authentication model, whether hosted card fields or a hosted checkout page are offered, tokenisation support, the authorise/capture/sale/refund/void operation set, webhook delivery and signature verification, sandbox availability, and rate limits. Assumption A-04 — that card data never touches platform infrastructure — depends entirely on the answer to the hosted-fields question and is the single largest compliance variable in the project. See Q-02 and DEP-01.</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FR-GTW-001</w:t>
            </w:r>
          </w:p>
        </w:tc>
        <w:tc>
          <w:tcPr>
            <w:tcW w:type="dxa" w:w="5976"/>
            <w:tcMar>
              <w:top w:w="60" w:type="dxa"/>
              <w:left w:w="110" w:type="dxa"/>
              <w:bottom w:w="60" w:type="dxa"/>
              <w:right w:w="110" w:type="dxa"/>
            </w:tcMar>
          </w:tcPr>
          <w:p>
            <w:pPr>
              <w:spacing w:after="0"/>
            </w:pPr>
            <w:r>
              <w:rPr>
                <w:b w:val="0"/>
                <w:i w:val="0"/>
                <w:color w:val="16261F"/>
                <w:sz w:val="19"/>
              </w:rPr>
              <w:t>The system shall integrate Numbers Gateway as the primary payment gateway provider.</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FR-GTW-001a</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isolate all gateway interaction behind a provider-agnostic internal interface, so that a second provider can be added without change to invoicing or payment domain logic.</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FR-GTW-002</w:t>
            </w:r>
          </w:p>
        </w:tc>
        <w:tc>
          <w:tcPr>
            <w:tcW w:type="dxa" w:w="5976"/>
            <w:tcMar>
              <w:top w:w="60" w:type="dxa"/>
              <w:left w:w="110" w:type="dxa"/>
              <w:bottom w:w="60" w:type="dxa"/>
              <w:right w:w="110" w:type="dxa"/>
            </w:tcMar>
          </w:tcPr>
          <w:p>
            <w:pPr>
              <w:spacing w:after="0"/>
            </w:pPr>
            <w:r>
              <w:rPr>
                <w:b w:val="0"/>
                <w:i w:val="0"/>
                <w:color w:val="16261F"/>
                <w:sz w:val="19"/>
              </w:rPr>
              <w:t>The system shall list available gateways with their connection state and operating mode.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FR-GTW-003</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gateway credentials to be entered and authorised per brand.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FR-GTW-004</w:t>
            </w:r>
          </w:p>
        </w:tc>
        <w:tc>
          <w:tcPr>
            <w:tcW w:type="dxa" w:w="5976"/>
            <w:tcMar>
              <w:top w:w="60" w:type="dxa"/>
              <w:left w:w="110" w:type="dxa"/>
              <w:bottom w:w="60" w:type="dxa"/>
              <w:right w:w="110" w:type="dxa"/>
            </w:tcMar>
          </w:tcPr>
          <w:p>
            <w:pPr>
              <w:spacing w:after="0"/>
            </w:pPr>
            <w:r>
              <w:rPr>
                <w:b w:val="0"/>
                <w:i w:val="0"/>
                <w:color w:val="16261F"/>
                <w:sz w:val="19"/>
              </w:rPr>
              <w:t>The system shall store gateway credentials encrypted at rest and never render a stored secret back to the user interface.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FR-GTW-005</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validate credentials on save by performing a non-financial authorisation check against the provider.</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FR-GTW-006</w:t>
            </w:r>
          </w:p>
        </w:tc>
        <w:tc>
          <w:tcPr>
            <w:tcW w:type="dxa" w:w="5976"/>
            <w:tcMar>
              <w:top w:w="60" w:type="dxa"/>
              <w:left w:w="110" w:type="dxa"/>
              <w:bottom w:w="60" w:type="dxa"/>
              <w:right w:w="110" w:type="dxa"/>
            </w:tcMar>
          </w:tcPr>
          <w:p>
            <w:pPr>
              <w:spacing w:after="0"/>
            </w:pPr>
            <w:r>
              <w:rPr>
                <w:b w:val="0"/>
                <w:i w:val="0"/>
                <w:color w:val="16261F"/>
                <w:sz w:val="19"/>
              </w:rPr>
              <w:t>The system shall support a test mode per brand that routes to the provider's sandbox.</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FR-GTW-007</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designate exactly one gateway as active for card processing per brand.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FR-GTW-008</w:t>
            </w:r>
          </w:p>
        </w:tc>
        <w:tc>
          <w:tcPr>
            <w:tcW w:type="dxa" w:w="5976"/>
            <w:tcMar>
              <w:top w:w="60" w:type="dxa"/>
              <w:left w:w="110" w:type="dxa"/>
              <w:bottom w:w="60" w:type="dxa"/>
              <w:right w:w="110" w:type="dxa"/>
            </w:tcMar>
          </w:tcPr>
          <w:p>
            <w:pPr>
              <w:spacing w:after="0"/>
            </w:pPr>
            <w:r>
              <w:rPr>
                <w:b w:val="0"/>
                <w:i w:val="0"/>
                <w:color w:val="16261F"/>
                <w:sz w:val="19"/>
              </w:rPr>
              <w:t>The system shall enable and disable individual gateways per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FR-GTW-010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receive gateway webhooks at a per-brand endpoint and verify their signature before processing.</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FR-GTW-011</w:t>
            </w:r>
          </w:p>
        </w:tc>
        <w:tc>
          <w:tcPr>
            <w:tcW w:type="dxa" w:w="5976"/>
            <w:tcMar>
              <w:top w:w="60" w:type="dxa"/>
              <w:left w:w="110" w:type="dxa"/>
              <w:bottom w:w="60" w:type="dxa"/>
              <w:right w:w="110" w:type="dxa"/>
            </w:tcMar>
          </w:tcPr>
          <w:p>
            <w:pPr>
              <w:spacing w:after="0"/>
            </w:pPr>
            <w:r>
              <w:rPr>
                <w:b w:val="0"/>
                <w:i w:val="0"/>
                <w:color w:val="16261F"/>
                <w:sz w:val="19"/>
              </w:rPr>
              <w:t>The system shall process webhook events idempotently, so that duplicate delivery produces no duplicate state change.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FR-GTW-012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reconcile authorisation, capture, settlement, failure and refund events against the corresponding payment record.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FR-GTW-013</w:t>
            </w:r>
          </w:p>
        </w:tc>
        <w:tc>
          <w:tcPr>
            <w:tcW w:type="dxa" w:w="5976"/>
            <w:tcMar>
              <w:top w:w="60" w:type="dxa"/>
              <w:left w:w="110" w:type="dxa"/>
              <w:bottom w:w="60" w:type="dxa"/>
              <w:right w:w="110" w:type="dxa"/>
            </w:tcMar>
          </w:tcPr>
          <w:p>
            <w:pPr>
              <w:spacing w:after="0"/>
            </w:pPr>
            <w:r>
              <w:rPr>
                <w:b w:val="0"/>
                <w:i w:val="0"/>
                <w:color w:val="16261F"/>
                <w:sz w:val="19"/>
              </w:rPr>
              <w:t>The system shall record the gateway transaction reference against every payment.</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FR-GTW-014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 transaction monitor listing recent transactions with reference, method, amount and status.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FR-GTW-015</w:t>
            </w:r>
          </w:p>
        </w:tc>
        <w:tc>
          <w:tcPr>
            <w:tcW w:type="dxa" w:w="5976"/>
            <w:tcMar>
              <w:top w:w="60" w:type="dxa"/>
              <w:left w:w="110" w:type="dxa"/>
              <w:bottom w:w="60" w:type="dxa"/>
              <w:right w:w="110" w:type="dxa"/>
            </w:tcMar>
          </w:tcPr>
          <w:p>
            <w:pPr>
              <w:spacing w:after="0"/>
            </w:pPr>
            <w:r>
              <w:rPr>
                <w:b w:val="0"/>
                <w:i w:val="0"/>
                <w:color w:val="16261F"/>
                <w:sz w:val="19"/>
              </w:rPr>
              <w:t>The system shall support retrying a failed transaction from the transaction monitor.</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FR-GTW-016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issuing a full or partial refund against a settled payment.</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FR-GTW-017</w:t>
            </w:r>
          </w:p>
        </w:tc>
        <w:tc>
          <w:tcPr>
            <w:tcW w:type="dxa" w:w="5976"/>
            <w:tcMar>
              <w:top w:w="60" w:type="dxa"/>
              <w:left w:w="110" w:type="dxa"/>
              <w:bottom w:w="60" w:type="dxa"/>
              <w:right w:w="110" w:type="dxa"/>
            </w:tcMar>
          </w:tcPr>
          <w:p>
            <w:pPr>
              <w:spacing w:after="0"/>
            </w:pPr>
            <w:r>
              <w:rPr>
                <w:b w:val="0"/>
                <w:i w:val="0"/>
                <w:color w:val="16261F"/>
                <w:sz w:val="19"/>
              </w:rPr>
              <w:t>The system shall reflect a refund on the invoice balance and push it to Zoho Books.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FR-GTW-018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alert an operator where a gateway becomes unreachable or begins failing above a threshold rate.</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bl>
    <w:p>
      <w:pPr>
        <w:pStyle w:val="Heading2"/>
      </w:pPr>
      <w:r>
        <w:t>20.1 Key acceptance criteria</w:t>
      </w:r>
    </w:p>
    <w:p>
      <w:pPr>
        <w:pStyle w:val="ListNumber"/>
        <w:spacing w:after="60"/>
        <w:ind w:left="360"/>
      </w:pPr>
      <w:r>
        <w:rPr>
          <w:color w:val="16261F"/>
          <w:sz w:val="21"/>
        </w:rPr>
        <w:t>A webhook replayed five times results in exactly one payment record and one invoice status transition.</w:t>
      </w:r>
    </w:p>
    <w:p>
      <w:pPr>
        <w:pStyle w:val="ListNumber"/>
        <w:spacing w:after="60"/>
        <w:ind w:left="360"/>
      </w:pPr>
      <w:r>
        <w:rPr>
          <w:color w:val="16261F"/>
          <w:sz w:val="21"/>
        </w:rPr>
        <w:t>A webhook bearing an invalid signature is rejected with HTTP 400 and logged, with no state change.</w:t>
      </w:r>
    </w:p>
    <w:p>
      <w:pPr>
        <w:pStyle w:val="ListNumber"/>
        <w:spacing w:after="60"/>
        <w:ind w:left="360"/>
      </w:pPr>
      <w:r>
        <w:rPr>
          <w:color w:val="16261F"/>
          <w:sz w:val="21"/>
        </w:rPr>
        <w:t>Gateway secret keys are not retrievable through any API response or rendered page, including administrative screens.</w:t>
      </w:r>
    </w:p>
    <w:p>
      <w:r>
        <w:br w:type="page"/>
      </w:r>
    </w:p>
    <w:p>
      <w:pPr>
        <w:pStyle w:val="Heading1"/>
      </w:pPr>
      <w:r>
        <w:t>21. FR-SYN — Synchronisation engine</w:t>
      </w:r>
    </w:p>
    <w:p>
      <w:pPr>
        <w:spacing w:after="140"/>
      </w:pPr>
      <w:r>
        <w:rPr>
          <w:b w:val="0"/>
          <w:i w:val="0"/>
          <w:color w:val="16261F"/>
          <w:sz w:val="21"/>
        </w:rPr>
        <w:t>The shared machinery underlying every integration: queueing, retry, conflict handling and observability.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FR-SYN-001</w:t>
            </w:r>
          </w:p>
        </w:tc>
        <w:tc>
          <w:tcPr>
            <w:tcW w:type="dxa" w:w="5976"/>
            <w:tcMar>
              <w:top w:w="60" w:type="dxa"/>
              <w:left w:w="110" w:type="dxa"/>
              <w:bottom w:w="60" w:type="dxa"/>
              <w:right w:w="110" w:type="dxa"/>
            </w:tcMar>
          </w:tcPr>
          <w:p>
            <w:pPr>
              <w:spacing w:after="0"/>
            </w:pPr>
            <w:r>
              <w:rPr>
                <w:b w:val="0"/>
                <w:i w:val="0"/>
                <w:color w:val="16261F"/>
                <w:sz w:val="19"/>
              </w:rPr>
              <w:t>The system shall process all synchronisation work through a durable queue rather than inline with user requests.</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FR-SYN-002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retry a failed synchronisation job with exponential backoff to a configurable maximum attempt count.</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FR-SYN-003</w:t>
            </w:r>
          </w:p>
        </w:tc>
        <w:tc>
          <w:tcPr>
            <w:tcW w:type="dxa" w:w="5976"/>
            <w:tcMar>
              <w:top w:w="60" w:type="dxa"/>
              <w:left w:w="110" w:type="dxa"/>
              <w:bottom w:w="60" w:type="dxa"/>
              <w:right w:w="110" w:type="dxa"/>
            </w:tcMar>
          </w:tcPr>
          <w:p>
            <w:pPr>
              <w:spacing w:after="0"/>
            </w:pPr>
            <w:r>
              <w:rPr>
                <w:b w:val="0"/>
                <w:i w:val="0"/>
                <w:color w:val="16261F"/>
                <w:sz w:val="19"/>
              </w:rPr>
              <w:t>The system shall move jobs exhausting their retry budget to a dead letter queue and raise an operator alert.</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FR-SYN-004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make every synchronisation operation idempotent against a stable external identifier.</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FR-SYN-005</w:t>
            </w:r>
          </w:p>
        </w:tc>
        <w:tc>
          <w:tcPr>
            <w:tcW w:type="dxa" w:w="5976"/>
            <w:tcMar>
              <w:top w:w="60" w:type="dxa"/>
              <w:left w:w="110" w:type="dxa"/>
              <w:bottom w:w="60" w:type="dxa"/>
              <w:right w:w="110" w:type="dxa"/>
            </w:tcMar>
          </w:tcPr>
          <w:p>
            <w:pPr>
              <w:spacing w:after="0"/>
            </w:pPr>
            <w:r>
              <w:rPr>
                <w:b w:val="0"/>
                <w:i w:val="0"/>
                <w:color w:val="16261F"/>
                <w:sz w:val="19"/>
              </w:rPr>
              <w:t>The system shall respect the rate limits published by each external provider and throttle accordingly.</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FR-SYN-006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isolate synchronisation failure to a single brand, so that one brand's failing integration cannot stall another's.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FR-SYN-007</w:t>
            </w:r>
          </w:p>
        </w:tc>
        <w:tc>
          <w:tcPr>
            <w:tcW w:type="dxa" w:w="5976"/>
            <w:tcMar>
              <w:top w:w="60" w:type="dxa"/>
              <w:left w:w="110" w:type="dxa"/>
              <w:bottom w:w="60" w:type="dxa"/>
              <w:right w:w="110" w:type="dxa"/>
            </w:tcMar>
          </w:tcPr>
          <w:p>
            <w:pPr>
              <w:spacing w:after="0"/>
            </w:pPr>
            <w:r>
              <w:rPr>
                <w:b w:val="0"/>
                <w:i w:val="0"/>
                <w:color w:val="16261F"/>
                <w:sz w:val="19"/>
              </w:rPr>
              <w:t>The system shall detect conflicts where a record changed on both sides since last sync and apply a documented resolution policy.</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FR-SYN-008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surface unresolvable conflicts to an operator with both versions displayed for manual selection.</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FR-SYN-009</w:t>
            </w:r>
          </w:p>
        </w:tc>
        <w:tc>
          <w:tcPr>
            <w:tcW w:type="dxa" w:w="5976"/>
            <w:tcMar>
              <w:top w:w="60" w:type="dxa"/>
              <w:left w:w="110" w:type="dxa"/>
              <w:bottom w:w="60" w:type="dxa"/>
              <w:right w:w="110" w:type="dxa"/>
            </w:tcMar>
          </w:tcPr>
          <w:p>
            <w:pPr>
              <w:spacing w:after="0"/>
            </w:pPr>
            <w:r>
              <w:rPr>
                <w:b w:val="0"/>
                <w:i w:val="0"/>
                <w:color w:val="16261F"/>
                <w:sz w:val="19"/>
              </w:rPr>
              <w:t>The system shall expose queue depth, active worker count, retry queue depth and dead letter depth.</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FR-SYN-010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an operator to replay a dead-lettered job after the underlying cause is resolved.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FR-SYN-011</w:t>
            </w:r>
          </w:p>
        </w:tc>
        <w:tc>
          <w:tcPr>
            <w:tcW w:type="dxa" w:w="5976"/>
            <w:tcMar>
              <w:top w:w="60" w:type="dxa"/>
              <w:left w:w="110" w:type="dxa"/>
              <w:bottom w:w="60" w:type="dxa"/>
              <w:right w:w="110" w:type="dxa"/>
            </w:tcMar>
          </w:tcPr>
          <w:p>
            <w:pPr>
              <w:spacing w:after="0"/>
            </w:pPr>
            <w:r>
              <w:rPr>
                <w:b w:val="0"/>
                <w:i w:val="0"/>
                <w:color w:val="16261F"/>
                <w:sz w:val="19"/>
              </w:rPr>
              <w:t>The system shall record every sync operation in the audit trail with actor, direction, object and outcome.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bl>
    <w:p>
      <w:r>
        <w:br w:type="page"/>
      </w:r>
    </w:p>
    <w:p>
      <w:pPr>
        <w:pStyle w:val="Heading1"/>
      </w:pPr>
      <w:r>
        <w:t>22. FR-DSH — Dashboard and reporting</w:t>
      </w:r>
    </w:p>
    <w:p>
      <w:pPr>
        <w:spacing w:after="140"/>
      </w:pPr>
      <w:r>
        <w:rPr>
          <w:b w:val="0"/>
          <w:i w:val="0"/>
          <w:color w:val="16261F"/>
          <w:sz w:val="21"/>
        </w:rPr>
        <w:t>Cross-brand financial position for the merchant, and per-brand reporting detail.</w:t>
      </w:r>
    </w:p>
    <w:p>
      <w:pPr>
        <w:pBdr>
          <w:left w:val="single" w:sz="18" w:space="10" w:color="C7862B"/>
        </w:pBdr>
        <w:shd w:val="clear" w:color="auto" w:fill="FBF0DF"/>
        <w:spacing w:before="160" w:after="180"/>
        <w:ind w:left="173"/>
      </w:pPr>
      <w:r>
        <w:rPr>
          <w:b/>
          <w:color w:val="C7862B"/>
          <w:sz w:val="17"/>
        </w:rPr>
        <w:t xml:space="preserve">GAP  </w:t>
      </w:r>
      <w:r>
        <w:rPr>
          <w:color w:val="16261F"/>
          <w:sz w:val="20"/>
        </w:rPr>
        <w:t>The prototype dashboard has no filters of any kind, and its brand table omits the collected-amount column the MVP Feature List specifies. See GAP-008.</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FR-DSH-001</w:t>
            </w:r>
          </w:p>
        </w:tc>
        <w:tc>
          <w:tcPr>
            <w:tcW w:type="dxa" w:w="5976"/>
            <w:tcMar>
              <w:top w:w="60" w:type="dxa"/>
              <w:left w:w="110" w:type="dxa"/>
              <w:bottom w:w="60" w:type="dxa"/>
              <w:right w:w="110" w:type="dxa"/>
            </w:tcMar>
          </w:tcPr>
          <w:p>
            <w:pPr>
              <w:spacing w:after="0"/>
            </w:pPr>
            <w:r>
              <w:rPr>
                <w:b w:val="0"/>
                <w:i w:val="0"/>
                <w:color w:val="16261F"/>
                <w:sz w:val="19"/>
              </w:rPr>
              <w:t>The system shall present a merchant dashboard aggregating across every brand the user is assigned to.</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FR-DSH-002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display total outstanding, total collected and total overdue as headline figures.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FR-DSH-003</w:t>
            </w:r>
          </w:p>
        </w:tc>
        <w:tc>
          <w:tcPr>
            <w:tcW w:type="dxa" w:w="5976"/>
            <w:tcMar>
              <w:top w:w="60" w:type="dxa"/>
              <w:left w:w="110" w:type="dxa"/>
              <w:bottom w:w="60" w:type="dxa"/>
              <w:right w:w="110" w:type="dxa"/>
            </w:tcMar>
          </w:tcPr>
          <w:p>
            <w:pPr>
              <w:spacing w:after="0"/>
            </w:pPr>
            <w:r>
              <w:rPr>
                <w:b w:val="0"/>
                <w:i w:val="0"/>
                <w:color w:val="16261F"/>
                <w:sz w:val="19"/>
              </w:rPr>
              <w:t>The system shall filter the entire dashboard by date range.</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FR-DSH-004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filter the entire dashboard by brand, including multi-brand selection.</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FR-DSH-005</w:t>
            </w:r>
          </w:p>
        </w:tc>
        <w:tc>
          <w:tcPr>
            <w:tcW w:type="dxa" w:w="5976"/>
            <w:tcMar>
              <w:top w:w="60" w:type="dxa"/>
              <w:left w:w="110" w:type="dxa"/>
              <w:bottom w:w="60" w:type="dxa"/>
              <w:right w:w="110" w:type="dxa"/>
            </w:tcMar>
          </w:tcPr>
          <w:p>
            <w:pPr>
              <w:spacing w:after="0"/>
            </w:pPr>
            <w:r>
              <w:rPr>
                <w:b w:val="0"/>
                <w:i w:val="0"/>
                <w:color w:val="16261F"/>
                <w:sz w:val="19"/>
              </w:rPr>
              <w:t>The system shall present a brand list showing, per brand: name, customer count, status, open invoice count, outstanding amount and collected amount.</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FR-DSH-006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 revenue overview as a bar chart over the selected period.</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FR-DSH-007</w:t>
            </w:r>
          </w:p>
        </w:tc>
        <w:tc>
          <w:tcPr>
            <w:tcW w:type="dxa" w:w="5976"/>
            <w:tcMar>
              <w:top w:w="60" w:type="dxa"/>
              <w:left w:w="110" w:type="dxa"/>
              <w:bottom w:w="60" w:type="dxa"/>
              <w:right w:w="110" w:type="dxa"/>
            </w:tcMar>
          </w:tcPr>
          <w:p>
            <w:pPr>
              <w:spacing w:after="0"/>
            </w:pPr>
            <w:r>
              <w:rPr>
                <w:b w:val="0"/>
                <w:i w:val="0"/>
                <w:color w:val="16261F"/>
                <w:sz w:val="19"/>
              </w:rPr>
              <w:t>The system shall present a collection overview as a bar chart over the selected period.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FR-DSH-008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reflect the active date and brand filters in every dashboard figure and chart consistently.</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FR-DSH-010</w:t>
            </w:r>
          </w:p>
        </w:tc>
        <w:tc>
          <w:tcPr>
            <w:tcW w:type="dxa" w:w="5976"/>
            <w:tcMar>
              <w:top w:w="60" w:type="dxa"/>
              <w:left w:w="110" w:type="dxa"/>
              <w:bottom w:w="60" w:type="dxa"/>
              <w:right w:w="110" w:type="dxa"/>
            </w:tcMar>
          </w:tcPr>
          <w:p>
            <w:pPr>
              <w:spacing w:after="0"/>
            </w:pPr>
            <w:r>
              <w:rPr>
                <w:b w:val="0"/>
                <w:i w:val="0"/>
                <w:color w:val="16261F"/>
                <w:sz w:val="19"/>
              </w:rPr>
              <w:t>The system shall present per-brand reports covering outstanding invoice count, paid versus unpaid ratio and average days to payment.</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FR-DSH-011</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 receivables ageing report bucketed at 0–15, 16–30, 31–60 and 60-plus days.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FR-DSH-012</w:t>
            </w:r>
          </w:p>
        </w:tc>
        <w:tc>
          <w:tcPr>
            <w:tcW w:type="dxa" w:w="5976"/>
            <w:tcMar>
              <w:top w:w="60" w:type="dxa"/>
              <w:left w:w="110" w:type="dxa"/>
              <w:bottom w:w="60" w:type="dxa"/>
              <w:right w:w="110" w:type="dxa"/>
            </w:tcMar>
          </w:tcPr>
          <w:p>
            <w:pPr>
              <w:spacing w:after="0"/>
            </w:pPr>
            <w:r>
              <w:rPr>
                <w:b w:val="0"/>
                <w:i w:val="0"/>
                <w:color w:val="16261F"/>
                <w:sz w:val="19"/>
              </w:rPr>
              <w:t>The system shall present a payment trend chart per brand.</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FR-DSH-013</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export any report to CSV.</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FR-DSH-014</w:t>
            </w:r>
          </w:p>
        </w:tc>
        <w:tc>
          <w:tcPr>
            <w:tcW w:type="dxa" w:w="5976"/>
            <w:tcMar>
              <w:top w:w="60" w:type="dxa"/>
              <w:left w:w="110" w:type="dxa"/>
              <w:bottom w:w="60" w:type="dxa"/>
              <w:right w:w="110" w:type="dxa"/>
            </w:tcMar>
          </w:tcPr>
          <w:p>
            <w:pPr>
              <w:spacing w:after="0"/>
            </w:pPr>
            <w:r>
              <w:rPr>
                <w:b w:val="0"/>
                <w:i w:val="0"/>
                <w:color w:val="16261F"/>
                <w:sz w:val="19"/>
              </w:rPr>
              <w:t>The system shall export any report to PDF.</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FR-DSH-015</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 payment method breakdown per brand.</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FR-DSH-016</w:t>
            </w:r>
          </w:p>
        </w:tc>
        <w:tc>
          <w:tcPr>
            <w:tcW w:type="dxa" w:w="5976"/>
            <w:tcMar>
              <w:top w:w="60" w:type="dxa"/>
              <w:left w:w="110" w:type="dxa"/>
              <w:bottom w:w="60" w:type="dxa"/>
              <w:right w:w="110" w:type="dxa"/>
            </w:tcMar>
          </w:tcPr>
          <w:p>
            <w:pPr>
              <w:spacing w:after="0"/>
            </w:pPr>
            <w:r>
              <w:rPr>
                <w:b w:val="0"/>
                <w:i w:val="0"/>
                <w:color w:val="16261F"/>
                <w:sz w:val="19"/>
              </w:rPr>
              <w:t>The system shall present a customer ranking by outstanding balance and by lifetime value.</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FR-DSH-017</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compute all dashboard figures in the merchant's reporting currency, converting where brands operate in different currencies.</w:t>
            </w:r>
          </w:p>
        </w:tc>
        <w:tc>
          <w:tcPr>
            <w:tcW w:type="dxa" w:w="1037"/>
            <w:tcMar>
              <w:top w:w="60" w:type="dxa"/>
              <w:left w:w="110" w:type="dxa"/>
              <w:bottom w:w="60" w:type="dxa"/>
              <w:right w:w="110" w:type="dxa"/>
            </w:tcMar>
            <w:shd w:val="clear" w:color="auto" w:fill="F5F7F5"/>
          </w:tcPr>
          <w:p>
            <w:pPr>
              <w:spacing w:after="0"/>
              <w:jc w:val="center"/>
            </w:pPr>
            <w:r>
              <w:rPr>
                <w:b/>
                <w:i w:val="0"/>
                <w:color w:val="2D6A6A"/>
                <w:sz w:val="17"/>
              </w:rPr>
              <w:t>MVP</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FR-DSH-018</w:t>
            </w:r>
          </w:p>
        </w:tc>
        <w:tc>
          <w:tcPr>
            <w:tcW w:type="dxa" w:w="5976"/>
            <w:tcMar>
              <w:top w:w="60" w:type="dxa"/>
              <w:left w:w="110" w:type="dxa"/>
              <w:bottom w:w="60" w:type="dxa"/>
              <w:right w:w="110" w:type="dxa"/>
            </w:tcMar>
          </w:tcPr>
          <w:p>
            <w:pPr>
              <w:spacing w:after="0"/>
            </w:pPr>
            <w:r>
              <w:rPr>
                <w:b w:val="0"/>
                <w:i w:val="0"/>
                <w:color w:val="16261F"/>
                <w:sz w:val="19"/>
              </w:rPr>
              <w:t>The system shall restrict every dashboard figure to brands the signed-in user is assigned to.</w:t>
            </w:r>
          </w:p>
        </w:tc>
        <w:tc>
          <w:tcPr>
            <w:tcW w:type="dxa" w:w="1037"/>
            <w:tcMar>
              <w:top w:w="60" w:type="dxa"/>
              <w:left w:w="110" w:type="dxa"/>
              <w:bottom w:w="60" w:type="dxa"/>
              <w:right w:w="110" w:type="dxa"/>
            </w:tcMar>
          </w:tcPr>
          <w:p>
            <w:pPr>
              <w:spacing w:after="0"/>
              <w:jc w:val="center"/>
            </w:pPr>
            <w:r>
              <w:rPr>
                <w:b/>
                <w:i w:val="0"/>
                <w:color w:val="2D6A6A"/>
                <w:sz w:val="17"/>
              </w:rPr>
              <w:t>MVP</w:t>
            </w:r>
          </w:p>
        </w:tc>
        <w:tc>
          <w:tcPr>
            <w:tcW w:type="dxa" w:w="547"/>
            <w:tcMar>
              <w:top w:w="60" w:type="dxa"/>
              <w:left w:w="110" w:type="dxa"/>
              <w:bottom w:w="60" w:type="dxa"/>
              <w:right w:w="110" w:type="dxa"/>
            </w:tcMar>
          </w:tcPr>
          <w:p>
            <w:pPr>
              <w:spacing w:after="0"/>
              <w:jc w:val="center"/>
            </w:pPr>
            <w:r>
              <w:rPr>
                <w:b w:val="0"/>
                <w:i w:val="0"/>
                <w:color w:val="16261F"/>
                <w:sz w:val="19"/>
              </w:rPr>
              <w:t>M</w:t>
            </w:r>
          </w:p>
        </w:tc>
      </w:tr>
    </w:tbl>
    <w:p>
      <w:r>
        <w:br w:type="page"/>
      </w:r>
    </w:p>
    <w:p>
      <w:pPr>
        <w:pStyle w:val="Heading1"/>
      </w:pPr>
      <w:r>
        <w:t>23. FR-AIX — AI insights</w:t>
      </w:r>
    </w:p>
    <w:p>
      <w:pPr>
        <w:spacing w:after="140"/>
      </w:pPr>
      <w:r>
        <w:rPr>
          <w:b w:val="0"/>
          <w:i w:val="0"/>
          <w:color w:val="16261F"/>
          <w:sz w:val="21"/>
        </w:rPr>
        <w:t>Derived financial intelligence. Demonstrated in the prototype, outside the signed MVP.</w:t>
      </w:r>
    </w:p>
    <w:p>
      <w:pPr>
        <w:pBdr>
          <w:left w:val="single" w:sz="18" w:space="10" w:color="C7862B"/>
        </w:pBdr>
        <w:shd w:val="clear" w:color="auto" w:fill="FBF0DF"/>
        <w:spacing w:before="160" w:after="180"/>
        <w:ind w:left="173"/>
      </w:pPr>
      <w:r>
        <w:rPr>
          <w:b/>
          <w:color w:val="C7862B"/>
          <w:sz w:val="17"/>
        </w:rPr>
        <w:t xml:space="preserve">DEFECT  </w:t>
      </w:r>
      <w:r>
        <w:rPr>
          <w:color w:val="16261F"/>
          <w:sz w:val="20"/>
        </w:rPr>
        <w:t>The prototype's vendor risk panel passes internal tone keywords as display labels, so the screen renders the literal words 'danger' and 'pending' where 'High' and 'Medium' were intended (line 739). See GAP-009.</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FR-AIX-001</w:t>
            </w:r>
          </w:p>
        </w:tc>
        <w:tc>
          <w:tcPr>
            <w:tcW w:type="dxa" w:w="5976"/>
            <w:tcMar>
              <w:top w:w="60" w:type="dxa"/>
              <w:left w:w="110" w:type="dxa"/>
              <w:bottom w:w="60" w:type="dxa"/>
              <w:right w:w="110" w:type="dxa"/>
            </w:tcMar>
          </w:tcPr>
          <w:p>
            <w:pPr>
              <w:spacing w:after="0"/>
            </w:pPr>
            <w:r>
              <w:rPr>
                <w:b w:val="0"/>
                <w:i w:val="0"/>
                <w:color w:val="16261F"/>
                <w:sz w:val="19"/>
              </w:rPr>
              <w:t>The system shall generate a narrative summary of a brand's receivables position.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FR-AIX-002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project expected collections over a forward window from historical payment behaviour.</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FR-AIX-003</w:t>
            </w:r>
          </w:p>
        </w:tc>
        <w:tc>
          <w:tcPr>
            <w:tcW w:type="dxa" w:w="5976"/>
            <w:tcMar>
              <w:top w:w="60" w:type="dxa"/>
              <w:left w:w="110" w:type="dxa"/>
              <w:bottom w:w="60" w:type="dxa"/>
              <w:right w:w="110" w:type="dxa"/>
            </w:tcMar>
          </w:tcPr>
          <w:p>
            <w:pPr>
              <w:spacing w:after="0"/>
            </w:pPr>
            <w:r>
              <w:rPr>
                <w:b w:val="0"/>
                <w:i w:val="0"/>
                <w:color w:val="16261F"/>
                <w:sz w:val="19"/>
              </w:rPr>
              <w:t>The system shall score customers for payment risk from their payment history and current exposure.</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FR-AIX-004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recommend a collection action per overdue invoice.</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FR-AIX-005</w:t>
            </w:r>
          </w:p>
        </w:tc>
        <w:tc>
          <w:tcPr>
            <w:tcW w:type="dxa" w:w="5976"/>
            <w:tcMar>
              <w:top w:w="60" w:type="dxa"/>
              <w:left w:w="110" w:type="dxa"/>
              <w:bottom w:w="60" w:type="dxa"/>
              <w:right w:w="110" w:type="dxa"/>
            </w:tcMar>
          </w:tcPr>
          <w:p>
            <w:pPr>
              <w:spacing w:after="0"/>
            </w:pPr>
            <w:r>
              <w:rPr>
                <w:b w:val="0"/>
                <w:i w:val="0"/>
                <w:color w:val="16261F"/>
                <w:sz w:val="19"/>
              </w:rPr>
              <w:t>The system shall label every generated figure as an estimate and state the basis of the calculation.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FR-AIX-006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exclude customer personally identifying information from any payload sent to an external model provider.</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FR-AIX-007</w:t>
            </w:r>
          </w:p>
        </w:tc>
        <w:tc>
          <w:tcPr>
            <w:tcW w:type="dxa" w:w="5976"/>
            <w:tcMar>
              <w:top w:w="60" w:type="dxa"/>
              <w:left w:w="110" w:type="dxa"/>
              <w:bottom w:w="60" w:type="dxa"/>
              <w:right w:w="110" w:type="dxa"/>
            </w:tcMar>
          </w:tcPr>
          <w:p>
            <w:pPr>
              <w:spacing w:after="0"/>
            </w:pPr>
            <w:r>
              <w:rPr>
                <w:b w:val="0"/>
                <w:i w:val="0"/>
                <w:color w:val="16261F"/>
                <w:sz w:val="19"/>
              </w:rPr>
              <w:t>The system shall allow AI insights to be disabled per merchant organisation.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FR-AIX-008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degrade gracefully to a non-AI view where the model provider is unavailable.</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bl>
    <w:p>
      <w:r>
        <w:br w:type="page"/>
      </w:r>
    </w:p>
    <w:p>
      <w:pPr>
        <w:pStyle w:val="Heading1"/>
      </w:pPr>
      <w:r>
        <w:t>24. FR-NTF — Notifications</w:t>
      </w:r>
    </w:p>
    <w:p>
      <w:pPr>
        <w:spacing w:after="140"/>
      </w:pPr>
      <w:r>
        <w:rPr>
          <w:b w:val="0"/>
          <w:i w:val="0"/>
          <w:color w:val="16261F"/>
          <w:sz w:val="21"/>
        </w:rPr>
        <w:t>In-platform and outbound notification of significant events. Demonstrated in the prototype, outside the signed MVP.</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FR-NTF-001</w:t>
            </w:r>
          </w:p>
        </w:tc>
        <w:tc>
          <w:tcPr>
            <w:tcW w:type="dxa" w:w="5976"/>
            <w:tcMar>
              <w:top w:w="60" w:type="dxa"/>
              <w:left w:w="110" w:type="dxa"/>
              <w:bottom w:w="60" w:type="dxa"/>
              <w:right w:w="110" w:type="dxa"/>
            </w:tcMar>
          </w:tcPr>
          <w:p>
            <w:pPr>
              <w:spacing w:after="0"/>
            </w:pPr>
            <w:r>
              <w:rPr>
                <w:b w:val="0"/>
                <w:i w:val="0"/>
                <w:color w:val="16261F"/>
                <w:sz w:val="19"/>
              </w:rPr>
              <w:t>The system shall raise a notification for each defined event across invoicing, payments, check workflow and system health.</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FR-NTF-002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an in-application notification feed scoped to the user's assigned brands.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FR-NTF-003</w:t>
            </w:r>
          </w:p>
        </w:tc>
        <w:tc>
          <w:tcPr>
            <w:tcW w:type="dxa" w:w="5976"/>
            <w:tcMar>
              <w:top w:w="60" w:type="dxa"/>
              <w:left w:w="110" w:type="dxa"/>
              <w:bottom w:w="60" w:type="dxa"/>
              <w:right w:w="110" w:type="dxa"/>
            </w:tcMar>
          </w:tcPr>
          <w:p>
            <w:pPr>
              <w:spacing w:after="0"/>
            </w:pPr>
            <w:r>
              <w:rPr>
                <w:b w:val="0"/>
                <w:i w:val="0"/>
                <w:color w:val="16261F"/>
                <w:sz w:val="19"/>
              </w:rPr>
              <w:t>The system shall indicate unread notifications and allow them to be marked read.</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FR-NTF-004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allow each notification category to be enabled or disabled per brand.</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FR-NTF-005</w:t>
            </w:r>
          </w:p>
        </w:tc>
        <w:tc>
          <w:tcPr>
            <w:tcW w:type="dxa" w:w="5976"/>
            <w:tcMar>
              <w:top w:w="60" w:type="dxa"/>
              <w:left w:w="110" w:type="dxa"/>
              <w:bottom w:w="60" w:type="dxa"/>
              <w:right w:w="110" w:type="dxa"/>
            </w:tcMar>
          </w:tcPr>
          <w:p>
            <w:pPr>
              <w:spacing w:after="0"/>
            </w:pPr>
            <w:r>
              <w:rPr>
                <w:b w:val="0"/>
                <w:i w:val="0"/>
                <w:color w:val="16261F"/>
                <w:sz w:val="19"/>
              </w:rPr>
              <w:t>The system shall allow each user to set their own delivery preference per category across in-app and email.</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FR-NTF-006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route system-health notifications only to roles holding administrative rights.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FR-NTF-007</w:t>
            </w:r>
          </w:p>
        </w:tc>
        <w:tc>
          <w:tcPr>
            <w:tcW w:type="dxa" w:w="5976"/>
            <w:tcMar>
              <w:top w:w="60" w:type="dxa"/>
              <w:left w:w="110" w:type="dxa"/>
              <w:bottom w:w="60" w:type="dxa"/>
              <w:right w:w="110" w:type="dxa"/>
            </w:tcMar>
          </w:tcPr>
          <w:p>
            <w:pPr>
              <w:spacing w:after="0"/>
            </w:pPr>
            <w:r>
              <w:rPr>
                <w:b w:val="0"/>
                <w:i w:val="0"/>
                <w:color w:val="16261F"/>
                <w:sz w:val="19"/>
              </w:rPr>
              <w:t>The system shall batch repeated notifications of the same category within a configurable window into a single digest.</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bl>
    <w:p>
      <w:r>
        <w:br w:type="page"/>
      </w:r>
    </w:p>
    <w:p>
      <w:pPr>
        <w:pStyle w:val="Heading1"/>
      </w:pPr>
      <w:r>
        <w:t>25. FR-AUD — Audit and activity logging</w:t>
      </w:r>
    </w:p>
    <w:p>
      <w:pPr>
        <w:spacing w:after="140"/>
      </w:pPr>
      <w:r>
        <w:rPr>
          <w:b w:val="0"/>
          <w:i w:val="0"/>
          <w:color w:val="16261F"/>
          <w:sz w:val="21"/>
        </w:rPr>
        <w:t>A defensible record of who did what. Demonstrated in the prototype, outside the signed MVP, but load-bearing for any payments platform.</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FR-AUD-001</w:t>
            </w:r>
          </w:p>
        </w:tc>
        <w:tc>
          <w:tcPr>
            <w:tcW w:type="dxa" w:w="5976"/>
            <w:tcMar>
              <w:top w:w="60" w:type="dxa"/>
              <w:left w:w="110" w:type="dxa"/>
              <w:bottom w:w="60" w:type="dxa"/>
              <w:right w:w="110" w:type="dxa"/>
            </w:tcMar>
          </w:tcPr>
          <w:p>
            <w:pPr>
              <w:spacing w:after="0"/>
            </w:pPr>
            <w:r>
              <w:rPr>
                <w:b w:val="0"/>
                <w:i w:val="0"/>
                <w:color w:val="16261F"/>
                <w:sz w:val="19"/>
              </w:rPr>
              <w:t>The system shall record an immutable audit entry for every state-changing operation.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FR-AUD-002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capture, per entry: actor, action, object type and identifier, brand, timestamp, source IP and outcome.</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FR-AUD-003</w:t>
            </w:r>
          </w:p>
        </w:tc>
        <w:tc>
          <w:tcPr>
            <w:tcW w:type="dxa" w:w="5976"/>
            <w:tcMar>
              <w:top w:w="60" w:type="dxa"/>
              <w:left w:w="110" w:type="dxa"/>
              <w:bottom w:w="60" w:type="dxa"/>
              <w:right w:w="110" w:type="dxa"/>
            </w:tcMar>
          </w:tcPr>
          <w:p>
            <w:pPr>
              <w:spacing w:after="0"/>
            </w:pPr>
            <w:r>
              <w:rPr>
                <w:b w:val="0"/>
                <w:i w:val="0"/>
                <w:color w:val="16261F"/>
                <w:sz w:val="19"/>
              </w:rPr>
              <w:t>The system shall record system-initiated actions with the responsible service as actor.</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FR-AUD-004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prevent modification or deletion of audit entries through any application interface.</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FR-AUD-005</w:t>
            </w:r>
          </w:p>
        </w:tc>
        <w:tc>
          <w:tcPr>
            <w:tcW w:type="dxa" w:w="5976"/>
            <w:tcMar>
              <w:top w:w="60" w:type="dxa"/>
              <w:left w:w="110" w:type="dxa"/>
              <w:bottom w:w="60" w:type="dxa"/>
              <w:right w:w="110" w:type="dxa"/>
            </w:tcMar>
          </w:tcPr>
          <w:p>
            <w:pPr>
              <w:spacing w:after="0"/>
            </w:pPr>
            <w:r>
              <w:rPr>
                <w:b w:val="0"/>
                <w:i w:val="0"/>
                <w:color w:val="16261F"/>
                <w:sz w:val="19"/>
              </w:rPr>
              <w:t>The system shall present a searchable audit view filtered by actor, category, brand and date range.</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FR-AUD-006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record authentication events, authorisation denials and permission changes.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FR-AUD-007</w:t>
            </w:r>
          </w:p>
        </w:tc>
        <w:tc>
          <w:tcPr>
            <w:tcW w:type="dxa" w:w="5976"/>
            <w:tcMar>
              <w:top w:w="60" w:type="dxa"/>
              <w:left w:w="110" w:type="dxa"/>
              <w:bottom w:w="60" w:type="dxa"/>
              <w:right w:w="110" w:type="dxa"/>
            </w:tcMar>
          </w:tcPr>
          <w:p>
            <w:pPr>
              <w:spacing w:after="0"/>
            </w:pPr>
            <w:r>
              <w:rPr>
                <w:b w:val="0"/>
                <w:i w:val="0"/>
                <w:color w:val="16261F"/>
                <w:sz w:val="19"/>
              </w:rPr>
              <w:t>The system shall record every access to and change of integration credentials.</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FR-AUD-008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retain audit entries for a minimum of seven years.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FR-AUD-009</w:t>
            </w:r>
          </w:p>
        </w:tc>
        <w:tc>
          <w:tcPr>
            <w:tcW w:type="dxa" w:w="5976"/>
            <w:tcMar>
              <w:top w:w="60" w:type="dxa"/>
              <w:left w:w="110" w:type="dxa"/>
              <w:bottom w:w="60" w:type="dxa"/>
              <w:right w:w="110" w:type="dxa"/>
            </w:tcMar>
          </w:tcPr>
          <w:p>
            <w:pPr>
              <w:spacing w:after="0"/>
            </w:pPr>
            <w:r>
              <w:rPr>
                <w:b w:val="0"/>
                <w:i w:val="0"/>
                <w:color w:val="16261F"/>
                <w:sz w:val="19"/>
              </w:rPr>
              <w:t>The system shall support export of a filtered audit range to CSV.</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S</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FR-AUD-010</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exclude card numbers, security codes, bank account numbers and passwords from audit payloads.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bl>
    <w:p>
      <w:r>
        <w:br w:type="page"/>
      </w:r>
    </w:p>
    <w:p>
      <w:pPr>
        <w:pStyle w:val="Heading1"/>
      </w:pPr>
      <w:r>
        <w:t>26. FR-SYS — System administration</w:t>
      </w:r>
    </w:p>
    <w:p>
      <w:pPr>
        <w:spacing w:after="140"/>
      </w:pPr>
      <w:r>
        <w:rPr>
          <w:b w:val="0"/>
          <w:i w:val="0"/>
          <w:color w:val="16261F"/>
          <w:sz w:val="21"/>
        </w:rPr>
        <w:t>Platform-level operational controls. Demonstrated in the prototype, outside the signed MVP.</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8"/>
              </w:rPr>
              <w:t>ID</w:t>
            </w:r>
          </w:p>
        </w:tc>
        <w:tc>
          <w:tcPr>
            <w:tcW w:type="dxa" w:w="5976"/>
            <w:shd w:val="clear" w:color="auto" w:fill="16261F"/>
            <w:tcMar>
              <w:top w:w="70" w:type="dxa"/>
              <w:left w:w="110" w:type="dxa"/>
              <w:bottom w:w="70" w:type="dxa"/>
              <w:right w:w="110" w:type="dxa"/>
            </w:tcMar>
          </w:tcPr>
          <w:p>
            <w:pPr>
              <w:spacing w:after="0"/>
            </w:pPr>
            <w:r>
              <w:rPr>
                <w:rFonts w:ascii="Calibri" w:hAnsi="Calibri"/>
                <w:b/>
                <w:color w:val="FFFFFF"/>
                <w:sz w:val="18"/>
              </w:rPr>
              <w:t>Requirement</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8"/>
              </w:rPr>
              <w:t>Phase</w:t>
            </w:r>
          </w:p>
        </w:tc>
        <w:tc>
          <w:tcPr>
            <w:tcW w:type="dxa" w:w="547"/>
            <w:shd w:val="clear" w:color="auto" w:fill="16261F"/>
            <w:tcMar>
              <w:top w:w="70" w:type="dxa"/>
              <w:left w:w="110" w:type="dxa"/>
              <w:bottom w:w="70" w:type="dxa"/>
              <w:right w:w="110" w:type="dxa"/>
            </w:tcMar>
          </w:tcPr>
          <w:p>
            <w:pPr>
              <w:spacing w:after="0"/>
              <w:jc w:val="center"/>
            </w:pPr>
            <w:r>
              <w:rPr>
                <w:rFonts w:ascii="Calibri" w:hAnsi="Calibri"/>
                <w:b/>
                <w:color w:val="FFFFFF"/>
                <w:sz w:val="18"/>
              </w:rPr>
              <w:t>Pri</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FR-SYS-001</w:t>
            </w:r>
          </w:p>
        </w:tc>
        <w:tc>
          <w:tcPr>
            <w:tcW w:type="dxa" w:w="5976"/>
            <w:tcMar>
              <w:top w:w="60" w:type="dxa"/>
              <w:left w:w="110" w:type="dxa"/>
              <w:bottom w:w="60" w:type="dxa"/>
              <w:right w:w="110" w:type="dxa"/>
            </w:tcMar>
          </w:tcPr>
          <w:p>
            <w:pPr>
              <w:spacing w:after="0"/>
            </w:pPr>
            <w:r>
              <w:rPr>
                <w:b w:val="0"/>
                <w:i w:val="0"/>
                <w:color w:val="16261F"/>
                <w:sz w:val="19"/>
              </w:rPr>
              <w:t>The system shall present platform health indicators including uptime and error rate.</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FR-SYS-002</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integration health per brand across every connected provider.</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S</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FR-SYS-003</w:t>
            </w:r>
          </w:p>
        </w:tc>
        <w:tc>
          <w:tcPr>
            <w:tcW w:type="dxa" w:w="5976"/>
            <w:tcMar>
              <w:top w:w="60" w:type="dxa"/>
              <w:left w:w="110" w:type="dxa"/>
              <w:bottom w:w="60" w:type="dxa"/>
              <w:right w:w="110" w:type="dxa"/>
            </w:tcMar>
          </w:tcPr>
          <w:p>
            <w:pPr>
              <w:spacing w:after="0"/>
            </w:pPr>
            <w:r>
              <w:rPr>
                <w:b w:val="0"/>
                <w:i w:val="0"/>
                <w:color w:val="16261F"/>
                <w:sz w:val="19"/>
              </w:rPr>
              <w:t>The system shall allow generation of scoped API keys.</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FR-SYS-004</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display an API key in full exactly once, at creation, and only a masked form thereafter.</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M</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FR-SYS-005</w:t>
            </w:r>
          </w:p>
        </w:tc>
        <w:tc>
          <w:tcPr>
            <w:tcW w:type="dxa" w:w="5976"/>
            <w:tcMar>
              <w:top w:w="60" w:type="dxa"/>
              <w:left w:w="110" w:type="dxa"/>
              <w:bottom w:w="60" w:type="dxa"/>
              <w:right w:w="110" w:type="dxa"/>
            </w:tcMar>
          </w:tcPr>
          <w:p>
            <w:pPr>
              <w:spacing w:after="0"/>
            </w:pPr>
            <w:r>
              <w:rPr>
                <w:b w:val="0"/>
                <w:i w:val="0"/>
                <w:color w:val="16261F"/>
                <w:sz w:val="19"/>
              </w:rPr>
              <w:t>The system shall allow immediate revocation of an API key.</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FR-SYS-006</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present queue depths across synchronisation, notification and retry queues.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FR-SYS-007</w:t>
            </w:r>
          </w:p>
        </w:tc>
        <w:tc>
          <w:tcPr>
            <w:tcW w:type="dxa" w:w="5976"/>
            <w:tcMar>
              <w:top w:w="60" w:type="dxa"/>
              <w:left w:w="110" w:type="dxa"/>
              <w:bottom w:w="60" w:type="dxa"/>
              <w:right w:w="110" w:type="dxa"/>
            </w:tcMar>
          </w:tcPr>
          <w:p>
            <w:pPr>
              <w:spacing w:after="0"/>
            </w:pPr>
            <w:r>
              <w:rPr>
                <w:b w:val="0"/>
                <w:i w:val="0"/>
                <w:color w:val="16261F"/>
                <w:sz w:val="19"/>
              </w:rPr>
              <w:t>The system shall allow platform features to be toggled per merchant organisation.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C</w:t>
            </w:r>
          </w:p>
        </w:tc>
      </w:tr>
      <w:tr>
        <w:tc>
          <w:tcPr>
            <w:tcW w:type="dxa" w:w="1368"/>
            <w:tcMar>
              <w:top w:w="60" w:type="dxa"/>
              <w:left w:w="110" w:type="dxa"/>
              <w:bottom w:w="60" w:type="dxa"/>
              <w:right w:w="110" w:type="dxa"/>
            </w:tcMar>
            <w:shd w:val="clear" w:color="auto" w:fill="F5F7F5"/>
          </w:tcPr>
          <w:p>
            <w:pPr>
              <w:spacing w:after="0"/>
            </w:pPr>
            <w:r>
              <w:rPr>
                <w:rFonts w:ascii="Consolas" w:hAnsi="Consolas"/>
                <w:b w:val="0"/>
                <w:i w:val="0"/>
                <w:color w:val="16261F"/>
                <w:sz w:val="18"/>
              </w:rPr>
              <w:t>FR-SYS-008</w:t>
            </w:r>
          </w:p>
        </w:tc>
        <w:tc>
          <w:tcPr>
            <w:tcW w:type="dxa" w:w="5976"/>
            <w:tcMar>
              <w:top w:w="60" w:type="dxa"/>
              <w:left w:w="110" w:type="dxa"/>
              <w:bottom w:w="60" w:type="dxa"/>
              <w:right w:w="110" w:type="dxa"/>
            </w:tcMar>
            <w:shd w:val="clear" w:color="auto" w:fill="F5F7F5"/>
          </w:tcPr>
          <w:p>
            <w:pPr>
              <w:spacing w:after="0"/>
            </w:pPr>
            <w:r>
              <w:rPr>
                <w:b w:val="0"/>
                <w:i w:val="0"/>
                <w:color w:val="16261F"/>
                <w:sz w:val="19"/>
              </w:rPr>
              <w:t>The system shall support a maintenance mode that presents a holding page while allowing administrative access.</w:t>
            </w:r>
          </w:p>
        </w:tc>
        <w:tc>
          <w:tcPr>
            <w:tcW w:type="dxa" w:w="1037"/>
            <w:tcMar>
              <w:top w:w="60" w:type="dxa"/>
              <w:left w:w="110" w:type="dxa"/>
              <w:bottom w:w="60" w:type="dxa"/>
              <w:right w:w="110" w:type="dxa"/>
            </w:tcMar>
            <w:shd w:val="clear" w:color="auto" w:fill="F5F7F5"/>
          </w:tcPr>
          <w:p>
            <w:pPr>
              <w:spacing w:after="0"/>
              <w:jc w:val="center"/>
            </w:pPr>
            <w:r>
              <w:rPr>
                <w:b/>
                <w:i w:val="0"/>
                <w:color w:val="3A6FA8"/>
                <w:sz w:val="17"/>
              </w:rPr>
              <w:t>Phase 2</w:t>
            </w:r>
          </w:p>
        </w:tc>
        <w:tc>
          <w:tcPr>
            <w:tcW w:type="dxa" w:w="547"/>
            <w:tcMar>
              <w:top w:w="60" w:type="dxa"/>
              <w:left w:w="110" w:type="dxa"/>
              <w:bottom w:w="60" w:type="dxa"/>
              <w:right w:w="110" w:type="dxa"/>
            </w:tcMar>
            <w:shd w:val="clear" w:color="auto" w:fill="F5F7F5"/>
          </w:tcPr>
          <w:p>
            <w:pPr>
              <w:spacing w:after="0"/>
              <w:jc w:val="center"/>
            </w:pPr>
            <w:r>
              <w:rPr>
                <w:b w:val="0"/>
                <w:i w:val="0"/>
                <w:color w:val="16261F"/>
                <w:sz w:val="19"/>
              </w:rPr>
              <w:t>C</w:t>
            </w:r>
          </w:p>
        </w:tc>
      </w:tr>
      <w:tr>
        <w:tc>
          <w:tcPr>
            <w:tcW w:type="dxa" w:w="1368"/>
            <w:tcMar>
              <w:top w:w="60" w:type="dxa"/>
              <w:left w:w="110" w:type="dxa"/>
              <w:bottom w:w="60" w:type="dxa"/>
              <w:right w:w="110" w:type="dxa"/>
            </w:tcMar>
          </w:tcPr>
          <w:p>
            <w:pPr>
              <w:spacing w:after="0"/>
            </w:pPr>
            <w:r>
              <w:rPr>
                <w:rFonts w:ascii="Consolas" w:hAnsi="Consolas"/>
                <w:b w:val="0"/>
                <w:i w:val="0"/>
                <w:color w:val="16261F"/>
                <w:sz w:val="18"/>
              </w:rPr>
              <w:t>FR-SYS-009</w:t>
            </w:r>
          </w:p>
        </w:tc>
        <w:tc>
          <w:tcPr>
            <w:tcW w:type="dxa" w:w="5976"/>
            <w:tcMar>
              <w:top w:w="60" w:type="dxa"/>
              <w:left w:w="110" w:type="dxa"/>
              <w:bottom w:w="60" w:type="dxa"/>
              <w:right w:w="110" w:type="dxa"/>
            </w:tcMar>
          </w:tcPr>
          <w:p>
            <w:pPr>
              <w:spacing w:after="0"/>
            </w:pPr>
            <w:r>
              <w:rPr>
                <w:b w:val="0"/>
                <w:i w:val="0"/>
                <w:color w:val="16261F"/>
                <w:sz w:val="19"/>
              </w:rPr>
              <w:t>The system shall require confirmation and record an audit entry for every destructive administrative action.</w:t>
            </w:r>
          </w:p>
        </w:tc>
        <w:tc>
          <w:tcPr>
            <w:tcW w:type="dxa" w:w="1037"/>
            <w:tcMar>
              <w:top w:w="60" w:type="dxa"/>
              <w:left w:w="110" w:type="dxa"/>
              <w:bottom w:w="60" w:type="dxa"/>
              <w:right w:w="110" w:type="dxa"/>
            </w:tcMar>
          </w:tcPr>
          <w:p>
            <w:pPr>
              <w:spacing w:after="0"/>
              <w:jc w:val="center"/>
            </w:pPr>
            <w:r>
              <w:rPr>
                <w:b/>
                <w:i w:val="0"/>
                <w:color w:val="3A6FA8"/>
                <w:sz w:val="17"/>
              </w:rPr>
              <w:t>Phase 2</w:t>
            </w:r>
          </w:p>
        </w:tc>
        <w:tc>
          <w:tcPr>
            <w:tcW w:type="dxa" w:w="547"/>
            <w:tcMar>
              <w:top w:w="60" w:type="dxa"/>
              <w:left w:w="110" w:type="dxa"/>
              <w:bottom w:w="60" w:type="dxa"/>
              <w:right w:w="110" w:type="dxa"/>
            </w:tcMar>
          </w:tcPr>
          <w:p>
            <w:pPr>
              <w:spacing w:after="0"/>
              <w:jc w:val="center"/>
            </w:pPr>
            <w:r>
              <w:rPr>
                <w:b w:val="0"/>
                <w:i w:val="0"/>
                <w:color w:val="16261F"/>
                <w:sz w:val="19"/>
              </w:rPr>
              <w:t>M</w:t>
            </w:r>
          </w:p>
        </w:tc>
      </w:tr>
    </w:tbl>
    <w:p>
      <w:r>
        <w:br w:type="page"/>
      </w:r>
    </w:p>
    <w:p>
      <w:pPr>
        <w:pStyle w:val="Heading1"/>
      </w:pPr>
      <w:r>
        <w:t>27. Gap register — prototype versus specification</w:t>
      </w:r>
    </w:p>
    <w:p>
      <w:pPr>
        <w:spacing w:after="140"/>
      </w:pPr>
      <w:r>
        <w:rPr>
          <w:b w:val="0"/>
          <w:i w:val="0"/>
          <w:color w:val="16261F"/>
          <w:sz w:val="21"/>
        </w:rPr>
        <w:t>Every material divergence between the demonstrated prototype and this specification, with the remediation required. This register is the basis for estimating the delta between what has been shown to the client and what has been specified.</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872"/>
        <w:gridCol w:w="1872"/>
        <w:gridCol w:w="1872"/>
        <w:gridCol w:w="1872"/>
        <w:gridCol w:w="1872"/>
      </w:tblGrid>
      <w:tr>
        <w:trPr>
          <w:tblHeader w:val="true"/>
        </w:trPr>
        <w:tc>
          <w:tcPr>
            <w:tcW w:type="dxa" w:w="893"/>
            <w:shd w:val="clear" w:color="auto" w:fill="16261F"/>
            <w:tcMar>
              <w:top w:w="70" w:type="dxa"/>
              <w:left w:w="110" w:type="dxa"/>
              <w:bottom w:w="70" w:type="dxa"/>
              <w:right w:w="110" w:type="dxa"/>
            </w:tcMar>
          </w:tcPr>
          <w:p>
            <w:pPr>
              <w:spacing w:after="0"/>
            </w:pPr>
            <w:r>
              <w:rPr>
                <w:rFonts w:ascii="Calibri" w:hAnsi="Calibri"/>
                <w:b/>
                <w:color w:val="FFFFFF"/>
                <w:sz w:val="16"/>
              </w:rPr>
              <w:t>Ref</w:t>
            </w:r>
          </w:p>
        </w:tc>
        <w:tc>
          <w:tcPr>
            <w:tcW w:type="dxa" w:w="2520"/>
            <w:shd w:val="clear" w:color="auto" w:fill="16261F"/>
            <w:tcMar>
              <w:top w:w="70" w:type="dxa"/>
              <w:left w:w="110" w:type="dxa"/>
              <w:bottom w:w="70" w:type="dxa"/>
              <w:right w:w="110" w:type="dxa"/>
            </w:tcMar>
          </w:tcPr>
          <w:p>
            <w:pPr>
              <w:spacing w:after="0"/>
            </w:pPr>
            <w:r>
              <w:rPr>
                <w:rFonts w:ascii="Calibri" w:hAnsi="Calibri"/>
                <w:b/>
                <w:color w:val="FFFFFF"/>
                <w:sz w:val="16"/>
              </w:rPr>
              <w:t>Gap</w:t>
            </w:r>
          </w:p>
        </w:tc>
        <w:tc>
          <w:tcPr>
            <w:tcW w:type="dxa" w:w="1656"/>
            <w:shd w:val="clear" w:color="auto" w:fill="16261F"/>
            <w:tcMar>
              <w:top w:w="70" w:type="dxa"/>
              <w:left w:w="110" w:type="dxa"/>
              <w:bottom w:w="70" w:type="dxa"/>
              <w:right w:w="110" w:type="dxa"/>
            </w:tcMar>
          </w:tcPr>
          <w:p>
            <w:pPr>
              <w:spacing w:after="0"/>
            </w:pPr>
            <w:r>
              <w:rPr>
                <w:rFonts w:ascii="Calibri" w:hAnsi="Calibri"/>
                <w:b/>
                <w:color w:val="FFFFFF"/>
                <w:sz w:val="16"/>
              </w:rPr>
              <w:t>Evidence</w:t>
            </w:r>
          </w:p>
        </w:tc>
        <w:tc>
          <w:tcPr>
            <w:tcW w:type="dxa" w:w="893"/>
            <w:shd w:val="clear" w:color="auto" w:fill="16261F"/>
            <w:tcMar>
              <w:top w:w="70" w:type="dxa"/>
              <w:left w:w="110" w:type="dxa"/>
              <w:bottom w:w="70" w:type="dxa"/>
              <w:right w:w="110" w:type="dxa"/>
            </w:tcMar>
          </w:tcPr>
          <w:p>
            <w:pPr>
              <w:spacing w:after="0"/>
            </w:pPr>
            <w:r>
              <w:rPr>
                <w:rFonts w:ascii="Calibri" w:hAnsi="Calibri"/>
                <w:b/>
                <w:color w:val="FFFFFF"/>
                <w:sz w:val="16"/>
              </w:rPr>
              <w:t>Impact</w:t>
            </w:r>
          </w:p>
        </w:tc>
        <w:tc>
          <w:tcPr>
            <w:tcW w:type="dxa" w:w="2246"/>
            <w:shd w:val="clear" w:color="auto" w:fill="16261F"/>
            <w:tcMar>
              <w:top w:w="70" w:type="dxa"/>
              <w:left w:w="110" w:type="dxa"/>
              <w:bottom w:w="70" w:type="dxa"/>
              <w:right w:w="110" w:type="dxa"/>
            </w:tcMar>
          </w:tcPr>
          <w:p>
            <w:pPr>
              <w:spacing w:after="0"/>
            </w:pPr>
            <w:r>
              <w:rPr>
                <w:rFonts w:ascii="Calibri" w:hAnsi="Calibri"/>
                <w:b/>
                <w:color w:val="FFFFFF"/>
                <w:sz w:val="16"/>
              </w:rPr>
              <w:t>Action</w:t>
            </w:r>
          </w:p>
        </w:tc>
      </w:tr>
      <w:tr>
        <w:tc>
          <w:tcPr>
            <w:tcW w:type="dxa" w:w="893"/>
            <w:tcMar>
              <w:top w:w="60" w:type="dxa"/>
              <w:left w:w="110" w:type="dxa"/>
              <w:bottom w:w="60" w:type="dxa"/>
              <w:right w:w="110" w:type="dxa"/>
            </w:tcMar>
          </w:tcPr>
          <w:p>
            <w:pPr>
              <w:spacing w:after="0"/>
            </w:pPr>
            <w:r>
              <w:rPr>
                <w:rFonts w:ascii="Consolas" w:hAnsi="Consolas"/>
                <w:b/>
                <w:i w:val="0"/>
                <w:color w:val="16261F"/>
                <w:sz w:val="16"/>
              </w:rPr>
              <w:t>GAP-001</w:t>
            </w:r>
          </w:p>
        </w:tc>
        <w:tc>
          <w:tcPr>
            <w:tcW w:type="dxa" w:w="2520"/>
            <w:tcMar>
              <w:top w:w="60" w:type="dxa"/>
              <w:left w:w="110" w:type="dxa"/>
              <w:bottom w:w="60" w:type="dxa"/>
              <w:right w:w="110" w:type="dxa"/>
            </w:tcMar>
          </w:tcPr>
          <w:p>
            <w:pPr>
              <w:spacing w:after="0"/>
            </w:pPr>
            <w:r>
              <w:rPr>
                <w:b w:val="0"/>
                <w:i w:val="0"/>
                <w:color w:val="16261F"/>
                <w:sz w:val="17"/>
              </w:rPr>
              <w:t>Role-based access control is entirely absent. The role selector sets state that is never read; every screen is reachable by every role.</w:t>
            </w:r>
          </w:p>
        </w:tc>
        <w:tc>
          <w:tcPr>
            <w:tcW w:type="dxa" w:w="1656"/>
            <w:tcMar>
              <w:top w:w="60" w:type="dxa"/>
              <w:left w:w="110" w:type="dxa"/>
              <w:bottom w:w="60" w:type="dxa"/>
              <w:right w:w="110" w:type="dxa"/>
            </w:tcMar>
          </w:tcPr>
          <w:p>
            <w:pPr>
              <w:spacing w:after="0"/>
            </w:pPr>
            <w:r>
              <w:rPr>
                <w:b w:val="0"/>
                <w:i w:val="0"/>
                <w:color w:val="16261F"/>
                <w:sz w:val="17"/>
              </w:rPr>
              <w:t>Prototype line 1839; no authorisation check anywhere in the file</w:t>
            </w:r>
          </w:p>
        </w:tc>
        <w:tc>
          <w:tcPr>
            <w:tcW w:type="dxa" w:w="893"/>
            <w:tcMar>
              <w:top w:w="60" w:type="dxa"/>
              <w:left w:w="110" w:type="dxa"/>
              <w:bottom w:w="60" w:type="dxa"/>
              <w:right w:w="110" w:type="dxa"/>
            </w:tcMar>
          </w:tcPr>
          <w:p>
            <w:pPr>
              <w:spacing w:after="0"/>
            </w:pPr>
            <w:r>
              <w:rPr>
                <w:b/>
                <w:i w:val="0"/>
                <w:color w:val="C0473D"/>
                <w:sz w:val="17"/>
              </w:rPr>
              <w:t>Critical</w:t>
            </w:r>
          </w:p>
        </w:tc>
        <w:tc>
          <w:tcPr>
            <w:tcW w:type="dxa" w:w="2246"/>
            <w:tcMar>
              <w:top w:w="60" w:type="dxa"/>
              <w:left w:w="110" w:type="dxa"/>
              <w:bottom w:w="60" w:type="dxa"/>
              <w:right w:w="110" w:type="dxa"/>
            </w:tcMar>
          </w:tcPr>
          <w:p>
            <w:pPr>
              <w:spacing w:after="0"/>
            </w:pPr>
            <w:r>
              <w:rPr>
                <w:b w:val="0"/>
                <w:i w:val="0"/>
                <w:color w:val="16261F"/>
                <w:sz w:val="17"/>
              </w:rPr>
              <w:t>Build authorisation from first principles, server-side. FR-AUTH-020..027.</w:t>
            </w:r>
          </w:p>
        </w:tc>
      </w:tr>
      <w:tr>
        <w:tc>
          <w:tcPr>
            <w:tcW w:type="dxa" w:w="893"/>
            <w:tcMar>
              <w:top w:w="60" w:type="dxa"/>
              <w:left w:w="110" w:type="dxa"/>
              <w:bottom w:w="60" w:type="dxa"/>
              <w:right w:w="110" w:type="dxa"/>
            </w:tcMar>
            <w:shd w:val="clear" w:color="auto" w:fill="F5F7F5"/>
          </w:tcPr>
          <w:p>
            <w:pPr>
              <w:spacing w:after="0"/>
            </w:pPr>
            <w:r>
              <w:rPr>
                <w:rFonts w:ascii="Consolas" w:hAnsi="Consolas"/>
                <w:b/>
                <w:i w:val="0"/>
                <w:color w:val="16261F"/>
                <w:sz w:val="16"/>
              </w:rPr>
              <w:t>GAP-002</w:t>
            </w:r>
          </w:p>
        </w:tc>
        <w:tc>
          <w:tcPr>
            <w:tcW w:type="dxa" w:w="2520"/>
            <w:tcMar>
              <w:top w:w="60" w:type="dxa"/>
              <w:left w:w="110" w:type="dxa"/>
              <w:bottom w:w="60" w:type="dxa"/>
              <w:right w:w="110" w:type="dxa"/>
            </w:tcMar>
            <w:shd w:val="clear" w:color="auto" w:fill="F5F7F5"/>
          </w:tcPr>
          <w:p>
            <w:pPr>
              <w:spacing w:after="0"/>
            </w:pPr>
            <w:r>
              <w:rPr>
                <w:b w:val="0"/>
                <w:i w:val="0"/>
                <w:color w:val="16261F"/>
                <w:sz w:val="17"/>
              </w:rPr>
              <w:t>The invoice recipient is modelled and labelled 'Vendor', inverting the accounting sense and conflicting with both the MVP list and Zoho.</w:t>
            </w:r>
          </w:p>
        </w:tc>
        <w:tc>
          <w:tcPr>
            <w:tcW w:type="dxa" w:w="1656"/>
            <w:tcMar>
              <w:top w:w="60" w:type="dxa"/>
              <w:left w:w="110" w:type="dxa"/>
              <w:bottom w:w="60" w:type="dxa"/>
              <w:right w:w="110" w:type="dxa"/>
            </w:tcMar>
            <w:shd w:val="clear" w:color="auto" w:fill="F5F7F5"/>
          </w:tcPr>
          <w:p>
            <w:pPr>
              <w:spacing w:after="0"/>
            </w:pPr>
            <w:r>
              <w:rPr>
                <w:b w:val="0"/>
                <w:i w:val="0"/>
                <w:color w:val="16261F"/>
                <w:sz w:val="17"/>
              </w:rPr>
              <w:t>Prototype lines 131–135, 1254–1299</w:t>
            </w:r>
          </w:p>
        </w:tc>
        <w:tc>
          <w:tcPr>
            <w:tcW w:type="dxa" w:w="893"/>
            <w:tcMar>
              <w:top w:w="60" w:type="dxa"/>
              <w:left w:w="110" w:type="dxa"/>
              <w:bottom w:w="60" w:type="dxa"/>
              <w:right w:w="110" w:type="dxa"/>
            </w:tcMar>
            <w:shd w:val="clear" w:color="auto" w:fill="F5F7F5"/>
          </w:tcPr>
          <w:p>
            <w:pPr>
              <w:spacing w:after="0"/>
            </w:pPr>
            <w:r>
              <w:rPr>
                <w:b/>
                <w:i w:val="0"/>
                <w:color w:val="C0473D"/>
                <w:sz w:val="17"/>
              </w:rPr>
              <w:t>High</w:t>
            </w:r>
          </w:p>
        </w:tc>
        <w:tc>
          <w:tcPr>
            <w:tcW w:type="dxa" w:w="2246"/>
            <w:tcMar>
              <w:top w:w="60" w:type="dxa"/>
              <w:left w:w="110" w:type="dxa"/>
              <w:bottom w:w="60" w:type="dxa"/>
              <w:right w:w="110" w:type="dxa"/>
            </w:tcMar>
            <w:shd w:val="clear" w:color="auto" w:fill="F5F7F5"/>
          </w:tcPr>
          <w:p>
            <w:pPr>
              <w:spacing w:after="0"/>
            </w:pPr>
            <w:r>
              <w:rPr>
                <w:b w:val="0"/>
                <w:i w:val="0"/>
                <w:color w:val="16261F"/>
                <w:sz w:val="17"/>
              </w:rPr>
              <w:t>Rename to Customer throughout. Introduce Vendor as the separate AP entity. FR-CUS, FR-VEN.</w:t>
            </w:r>
          </w:p>
        </w:tc>
      </w:tr>
      <w:tr>
        <w:tc>
          <w:tcPr>
            <w:tcW w:type="dxa" w:w="893"/>
            <w:tcMar>
              <w:top w:w="60" w:type="dxa"/>
              <w:left w:w="110" w:type="dxa"/>
              <w:bottom w:w="60" w:type="dxa"/>
              <w:right w:w="110" w:type="dxa"/>
            </w:tcMar>
          </w:tcPr>
          <w:p>
            <w:pPr>
              <w:spacing w:after="0"/>
            </w:pPr>
            <w:r>
              <w:rPr>
                <w:rFonts w:ascii="Consolas" w:hAnsi="Consolas"/>
                <w:b/>
                <w:i w:val="0"/>
                <w:color w:val="16261F"/>
                <w:sz w:val="16"/>
              </w:rPr>
              <w:t>GAP-003</w:t>
            </w:r>
          </w:p>
        </w:tc>
        <w:tc>
          <w:tcPr>
            <w:tcW w:type="dxa" w:w="2520"/>
            <w:tcMar>
              <w:top w:w="60" w:type="dxa"/>
              <w:left w:w="110" w:type="dxa"/>
              <w:bottom w:w="60" w:type="dxa"/>
              <w:right w:w="110" w:type="dxa"/>
            </w:tcMar>
          </w:tcPr>
          <w:p>
            <w:pPr>
              <w:spacing w:after="0"/>
            </w:pPr>
            <w:r>
              <w:rPr>
                <w:b w:val="0"/>
                <w:i w:val="0"/>
                <w:color w:val="16261F"/>
                <w:sz w:val="17"/>
              </w:rPr>
              <w:t>Card fee percentage does not exist anywhere. Tax exists only as an unvalidated free-text field. Invoices support a single line item.</w:t>
            </w:r>
          </w:p>
        </w:tc>
        <w:tc>
          <w:tcPr>
            <w:tcW w:type="dxa" w:w="1656"/>
            <w:tcMar>
              <w:top w:w="60" w:type="dxa"/>
              <w:left w:w="110" w:type="dxa"/>
              <w:bottom w:w="60" w:type="dxa"/>
              <w:right w:w="110" w:type="dxa"/>
            </w:tcMar>
          </w:tcPr>
          <w:p>
            <w:pPr>
              <w:spacing w:after="0"/>
            </w:pPr>
            <w:r>
              <w:rPr>
                <w:b w:val="0"/>
                <w:i w:val="0"/>
                <w:color w:val="16261F"/>
                <w:sz w:val="17"/>
              </w:rPr>
              <w:t>Prototype lines 1874–1887</w:t>
            </w:r>
          </w:p>
        </w:tc>
        <w:tc>
          <w:tcPr>
            <w:tcW w:type="dxa" w:w="893"/>
            <w:tcMar>
              <w:top w:w="60" w:type="dxa"/>
              <w:left w:w="110" w:type="dxa"/>
              <w:bottom w:w="60" w:type="dxa"/>
              <w:right w:w="110" w:type="dxa"/>
            </w:tcMar>
          </w:tcPr>
          <w:p>
            <w:pPr>
              <w:spacing w:after="0"/>
            </w:pPr>
            <w:r>
              <w:rPr>
                <w:b/>
                <w:i w:val="0"/>
                <w:color w:val="C0473D"/>
                <w:sz w:val="17"/>
              </w:rPr>
              <w:t>Critical</w:t>
            </w:r>
          </w:p>
        </w:tc>
        <w:tc>
          <w:tcPr>
            <w:tcW w:type="dxa" w:w="2246"/>
            <w:tcMar>
              <w:top w:w="60" w:type="dxa"/>
              <w:left w:w="110" w:type="dxa"/>
              <w:bottom w:w="60" w:type="dxa"/>
              <w:right w:w="110" w:type="dxa"/>
            </w:tcMar>
          </w:tcPr>
          <w:p>
            <w:pPr>
              <w:spacing w:after="0"/>
            </w:pPr>
            <w:r>
              <w:rPr>
                <w:b w:val="0"/>
                <w:i w:val="0"/>
                <w:color w:val="16261F"/>
                <w:sz w:val="17"/>
              </w:rPr>
              <w:t>Implement the full tax and fee engine and multi-line invoicing. FR-TAX-001..017, FR-INV-002..006.</w:t>
            </w:r>
          </w:p>
        </w:tc>
      </w:tr>
      <w:tr>
        <w:tc>
          <w:tcPr>
            <w:tcW w:type="dxa" w:w="893"/>
            <w:tcMar>
              <w:top w:w="60" w:type="dxa"/>
              <w:left w:w="110" w:type="dxa"/>
              <w:bottom w:w="60" w:type="dxa"/>
              <w:right w:w="110" w:type="dxa"/>
            </w:tcMar>
            <w:shd w:val="clear" w:color="auto" w:fill="F5F7F5"/>
          </w:tcPr>
          <w:p>
            <w:pPr>
              <w:spacing w:after="0"/>
            </w:pPr>
            <w:r>
              <w:rPr>
                <w:rFonts w:ascii="Consolas" w:hAnsi="Consolas"/>
                <w:b/>
                <w:i w:val="0"/>
                <w:color w:val="16261F"/>
                <w:sz w:val="16"/>
              </w:rPr>
              <w:t>GAP-004</w:t>
            </w:r>
          </w:p>
        </w:tc>
        <w:tc>
          <w:tcPr>
            <w:tcW w:type="dxa" w:w="2520"/>
            <w:tcMar>
              <w:top w:w="60" w:type="dxa"/>
              <w:left w:w="110" w:type="dxa"/>
              <w:bottom w:w="60" w:type="dxa"/>
              <w:right w:w="110" w:type="dxa"/>
            </w:tcMar>
            <w:shd w:val="clear" w:color="auto" w:fill="F5F7F5"/>
          </w:tcPr>
          <w:p>
            <w:pPr>
              <w:spacing w:after="0"/>
            </w:pPr>
            <w:r>
              <w:rPr>
                <w:b w:val="0"/>
                <w:i w:val="0"/>
                <w:color w:val="16261F"/>
                <w:sz w:val="17"/>
              </w:rPr>
              <w:t>Brand record omits legal name, sales person, phone and email, and does not separate mailing from billing address. Create-brand modal is inert.</w:t>
            </w:r>
          </w:p>
        </w:tc>
        <w:tc>
          <w:tcPr>
            <w:tcW w:type="dxa" w:w="1656"/>
            <w:tcMar>
              <w:top w:w="60" w:type="dxa"/>
              <w:left w:w="110" w:type="dxa"/>
              <w:bottom w:w="60" w:type="dxa"/>
              <w:right w:w="110" w:type="dxa"/>
            </w:tcMar>
            <w:shd w:val="clear" w:color="auto" w:fill="F5F7F5"/>
          </w:tcPr>
          <w:p>
            <w:pPr>
              <w:spacing w:after="0"/>
            </w:pPr>
            <w:r>
              <w:rPr>
                <w:b w:val="0"/>
                <w:i w:val="0"/>
                <w:color w:val="16261F"/>
                <w:sz w:val="17"/>
              </w:rPr>
              <w:t>Prototype lines 107–181, 1854–1865</w:t>
            </w:r>
          </w:p>
        </w:tc>
        <w:tc>
          <w:tcPr>
            <w:tcW w:type="dxa" w:w="893"/>
            <w:tcMar>
              <w:top w:w="60" w:type="dxa"/>
              <w:left w:w="110" w:type="dxa"/>
              <w:bottom w:w="60" w:type="dxa"/>
              <w:right w:w="110" w:type="dxa"/>
            </w:tcMar>
            <w:shd w:val="clear" w:color="auto" w:fill="F5F7F5"/>
          </w:tcPr>
          <w:p>
            <w:pPr>
              <w:spacing w:after="0"/>
            </w:pPr>
            <w:r>
              <w:rPr>
                <w:b/>
                <w:i w:val="0"/>
                <w:color w:val="C0473D"/>
                <w:sz w:val="17"/>
              </w:rPr>
              <w:t>High</w:t>
            </w:r>
          </w:p>
        </w:tc>
        <w:tc>
          <w:tcPr>
            <w:tcW w:type="dxa" w:w="2246"/>
            <w:tcMar>
              <w:top w:w="60" w:type="dxa"/>
              <w:left w:w="110" w:type="dxa"/>
              <w:bottom w:w="60" w:type="dxa"/>
              <w:right w:w="110" w:type="dxa"/>
            </w:tcMar>
            <w:shd w:val="clear" w:color="auto" w:fill="F5F7F5"/>
          </w:tcPr>
          <w:p>
            <w:pPr>
              <w:spacing w:after="0"/>
            </w:pPr>
            <w:r>
              <w:rPr>
                <w:b w:val="0"/>
                <w:i w:val="0"/>
                <w:color w:val="16261F"/>
                <w:sz w:val="17"/>
              </w:rPr>
              <w:t>Extend the brand model and implement creation. FR-BRD-002, FR-BRD-001.</w:t>
            </w:r>
          </w:p>
        </w:tc>
      </w:tr>
      <w:tr>
        <w:tc>
          <w:tcPr>
            <w:tcW w:type="dxa" w:w="893"/>
            <w:tcMar>
              <w:top w:w="60" w:type="dxa"/>
              <w:left w:w="110" w:type="dxa"/>
              <w:bottom w:w="60" w:type="dxa"/>
              <w:right w:w="110" w:type="dxa"/>
            </w:tcMar>
          </w:tcPr>
          <w:p>
            <w:pPr>
              <w:spacing w:after="0"/>
            </w:pPr>
            <w:r>
              <w:rPr>
                <w:rFonts w:ascii="Consolas" w:hAnsi="Consolas"/>
                <w:b/>
                <w:i w:val="0"/>
                <w:color w:val="16261F"/>
                <w:sz w:val="16"/>
              </w:rPr>
              <w:t>GAP-005</w:t>
            </w:r>
          </w:p>
        </w:tc>
        <w:tc>
          <w:tcPr>
            <w:tcW w:type="dxa" w:w="2520"/>
            <w:tcMar>
              <w:top w:w="60" w:type="dxa"/>
              <w:left w:w="110" w:type="dxa"/>
              <w:bottom w:w="60" w:type="dxa"/>
              <w:right w:w="110" w:type="dxa"/>
            </w:tcMar>
          </w:tcPr>
          <w:p>
            <w:pPr>
              <w:spacing w:after="0"/>
            </w:pPr>
            <w:r>
              <w:rPr>
                <w:b w:val="0"/>
                <w:i w:val="0"/>
                <w:color w:val="16261F"/>
                <w:sz w:val="17"/>
              </w:rPr>
              <w:t>Customer record omits type, company name, display name, phone and shipping address. No date or brand filters on the list.</w:t>
            </w:r>
          </w:p>
        </w:tc>
        <w:tc>
          <w:tcPr>
            <w:tcW w:type="dxa" w:w="1656"/>
            <w:tcMar>
              <w:top w:w="60" w:type="dxa"/>
              <w:left w:w="110" w:type="dxa"/>
              <w:bottom w:w="60" w:type="dxa"/>
              <w:right w:w="110" w:type="dxa"/>
            </w:tcMar>
          </w:tcPr>
          <w:p>
            <w:pPr>
              <w:spacing w:after="0"/>
            </w:pPr>
            <w:r>
              <w:rPr>
                <w:b w:val="0"/>
                <w:i w:val="0"/>
                <w:color w:val="16261F"/>
                <w:sz w:val="17"/>
              </w:rPr>
              <w:t>Prototype lines 1254–1277</w:t>
            </w:r>
          </w:p>
        </w:tc>
        <w:tc>
          <w:tcPr>
            <w:tcW w:type="dxa" w:w="893"/>
            <w:tcMar>
              <w:top w:w="60" w:type="dxa"/>
              <w:left w:w="110" w:type="dxa"/>
              <w:bottom w:w="60" w:type="dxa"/>
              <w:right w:w="110" w:type="dxa"/>
            </w:tcMar>
          </w:tcPr>
          <w:p>
            <w:pPr>
              <w:spacing w:after="0"/>
            </w:pPr>
            <w:r>
              <w:rPr>
                <w:b/>
                <w:i w:val="0"/>
                <w:color w:val="C0473D"/>
                <w:sz w:val="17"/>
              </w:rPr>
              <w:t>High</w:t>
            </w:r>
          </w:p>
        </w:tc>
        <w:tc>
          <w:tcPr>
            <w:tcW w:type="dxa" w:w="2246"/>
            <w:tcMar>
              <w:top w:w="60" w:type="dxa"/>
              <w:left w:w="110" w:type="dxa"/>
              <w:bottom w:w="60" w:type="dxa"/>
              <w:right w:w="110" w:type="dxa"/>
            </w:tcMar>
          </w:tcPr>
          <w:p>
            <w:pPr>
              <w:spacing w:after="0"/>
            </w:pPr>
            <w:r>
              <w:rPr>
                <w:b w:val="0"/>
                <w:i w:val="0"/>
                <w:color w:val="16261F"/>
                <w:sz w:val="17"/>
              </w:rPr>
              <w:t>Extend the customer model and implement filtering. FR-CUS-002..009.</w:t>
            </w:r>
          </w:p>
        </w:tc>
      </w:tr>
      <w:tr>
        <w:tc>
          <w:tcPr>
            <w:tcW w:type="dxa" w:w="893"/>
            <w:tcMar>
              <w:top w:w="60" w:type="dxa"/>
              <w:left w:w="110" w:type="dxa"/>
              <w:bottom w:w="60" w:type="dxa"/>
              <w:right w:w="110" w:type="dxa"/>
            </w:tcMar>
            <w:shd w:val="clear" w:color="auto" w:fill="F5F7F5"/>
          </w:tcPr>
          <w:p>
            <w:pPr>
              <w:spacing w:after="0"/>
            </w:pPr>
            <w:r>
              <w:rPr>
                <w:rFonts w:ascii="Consolas" w:hAnsi="Consolas"/>
                <w:b/>
                <w:i w:val="0"/>
                <w:color w:val="16261F"/>
                <w:sz w:val="16"/>
              </w:rPr>
              <w:t>GAP-006</w:t>
            </w:r>
          </w:p>
        </w:tc>
        <w:tc>
          <w:tcPr>
            <w:tcW w:type="dxa" w:w="2520"/>
            <w:tcMar>
              <w:top w:w="60" w:type="dxa"/>
              <w:left w:w="110" w:type="dxa"/>
              <w:bottom w:w="60" w:type="dxa"/>
              <w:right w:w="110" w:type="dxa"/>
            </w:tcMar>
            <w:shd w:val="clear" w:color="auto" w:fill="F5F7F5"/>
          </w:tcPr>
          <w:p>
            <w:pPr>
              <w:spacing w:after="0"/>
            </w:pPr>
            <w:r>
              <w:rPr>
                <w:b w:val="0"/>
                <w:i w:val="0"/>
                <w:color w:val="16261F"/>
                <w:sz w:val="17"/>
              </w:rPr>
              <w:t>Zoho error log is absent. Sync history is present but failures cannot be inspected or retried individually.</w:t>
            </w:r>
          </w:p>
        </w:tc>
        <w:tc>
          <w:tcPr>
            <w:tcW w:type="dxa" w:w="1656"/>
            <w:tcMar>
              <w:top w:w="60" w:type="dxa"/>
              <w:left w:w="110" w:type="dxa"/>
              <w:bottom w:w="60" w:type="dxa"/>
              <w:right w:w="110" w:type="dxa"/>
            </w:tcMar>
            <w:shd w:val="clear" w:color="auto" w:fill="F5F7F5"/>
          </w:tcPr>
          <w:p>
            <w:pPr>
              <w:spacing w:after="0"/>
            </w:pPr>
            <w:r>
              <w:rPr>
                <w:b w:val="0"/>
                <w:i w:val="0"/>
                <w:color w:val="16261F"/>
                <w:sz w:val="17"/>
              </w:rPr>
              <w:t>Prototype lines 1521–1591</w:t>
            </w:r>
          </w:p>
        </w:tc>
        <w:tc>
          <w:tcPr>
            <w:tcW w:type="dxa" w:w="893"/>
            <w:tcMar>
              <w:top w:w="60" w:type="dxa"/>
              <w:left w:w="110" w:type="dxa"/>
              <w:bottom w:w="60" w:type="dxa"/>
              <w:right w:w="110" w:type="dxa"/>
            </w:tcMar>
            <w:shd w:val="clear" w:color="auto" w:fill="F5F7F5"/>
          </w:tcPr>
          <w:p>
            <w:pPr>
              <w:spacing w:after="0"/>
            </w:pPr>
            <w:r>
              <w:rPr>
                <w:b/>
                <w:i w:val="0"/>
                <w:color w:val="C7862B"/>
                <w:sz w:val="17"/>
              </w:rPr>
              <w:t>Medium</w:t>
            </w:r>
          </w:p>
        </w:tc>
        <w:tc>
          <w:tcPr>
            <w:tcW w:type="dxa" w:w="2246"/>
            <w:tcMar>
              <w:top w:w="60" w:type="dxa"/>
              <w:left w:w="110" w:type="dxa"/>
              <w:bottom w:w="60" w:type="dxa"/>
              <w:right w:w="110" w:type="dxa"/>
            </w:tcMar>
            <w:shd w:val="clear" w:color="auto" w:fill="F5F7F5"/>
          </w:tcPr>
          <w:p>
            <w:pPr>
              <w:spacing w:after="0"/>
            </w:pPr>
            <w:r>
              <w:rPr>
                <w:b w:val="0"/>
                <w:i w:val="0"/>
                <w:color w:val="16261F"/>
                <w:sz w:val="17"/>
              </w:rPr>
              <w:t>Build the error log with per-record retry. FR-ZHO-021..023.</w:t>
            </w:r>
          </w:p>
        </w:tc>
      </w:tr>
      <w:tr>
        <w:tc>
          <w:tcPr>
            <w:tcW w:type="dxa" w:w="893"/>
            <w:tcMar>
              <w:top w:w="60" w:type="dxa"/>
              <w:left w:w="110" w:type="dxa"/>
              <w:bottom w:w="60" w:type="dxa"/>
              <w:right w:w="110" w:type="dxa"/>
            </w:tcMar>
          </w:tcPr>
          <w:p>
            <w:pPr>
              <w:spacing w:after="0"/>
            </w:pPr>
            <w:r>
              <w:rPr>
                <w:rFonts w:ascii="Consolas" w:hAnsi="Consolas"/>
                <w:b/>
                <w:i w:val="0"/>
                <w:color w:val="16261F"/>
                <w:sz w:val="16"/>
              </w:rPr>
              <w:t>GAP-007</w:t>
            </w:r>
          </w:p>
        </w:tc>
        <w:tc>
          <w:tcPr>
            <w:tcW w:type="dxa" w:w="2520"/>
            <w:tcMar>
              <w:top w:w="60" w:type="dxa"/>
              <w:left w:w="110" w:type="dxa"/>
              <w:bottom w:w="60" w:type="dxa"/>
              <w:right w:w="110" w:type="dxa"/>
            </w:tcMar>
          </w:tcPr>
          <w:p>
            <w:pPr>
              <w:spacing w:after="0"/>
            </w:pPr>
            <w:r>
              <w:rPr>
                <w:b w:val="0"/>
                <w:i w:val="0"/>
                <w:color w:val="16261F"/>
                <w:sz w:val="17"/>
              </w:rPr>
              <w:t>The payment processing step calls setTimeout and setState during render, queueing a further timer on every re-render.</w:t>
            </w:r>
          </w:p>
        </w:tc>
        <w:tc>
          <w:tcPr>
            <w:tcW w:type="dxa" w:w="1656"/>
            <w:tcMar>
              <w:top w:w="60" w:type="dxa"/>
              <w:left w:w="110" w:type="dxa"/>
              <w:bottom w:w="60" w:type="dxa"/>
              <w:right w:w="110" w:type="dxa"/>
            </w:tcMar>
          </w:tcPr>
          <w:p>
            <w:pPr>
              <w:spacing w:after="0"/>
            </w:pPr>
            <w:r>
              <w:rPr>
                <w:b w:val="0"/>
                <w:i w:val="0"/>
                <w:color w:val="16261F"/>
                <w:sz w:val="17"/>
              </w:rPr>
              <w:t>Prototype lines 621–627</w:t>
            </w:r>
          </w:p>
        </w:tc>
        <w:tc>
          <w:tcPr>
            <w:tcW w:type="dxa" w:w="893"/>
            <w:tcMar>
              <w:top w:w="60" w:type="dxa"/>
              <w:left w:w="110" w:type="dxa"/>
              <w:bottom w:w="60" w:type="dxa"/>
              <w:right w:w="110" w:type="dxa"/>
            </w:tcMar>
          </w:tcPr>
          <w:p>
            <w:pPr>
              <w:spacing w:after="0"/>
            </w:pPr>
            <w:r>
              <w:rPr>
                <w:b/>
                <w:i w:val="0"/>
                <w:color w:val="C7862B"/>
                <w:sz w:val="17"/>
              </w:rPr>
              <w:t>Medium</w:t>
            </w:r>
          </w:p>
        </w:tc>
        <w:tc>
          <w:tcPr>
            <w:tcW w:type="dxa" w:w="2246"/>
            <w:tcMar>
              <w:top w:w="60" w:type="dxa"/>
              <w:left w:w="110" w:type="dxa"/>
              <w:bottom w:w="60" w:type="dxa"/>
              <w:right w:w="110" w:type="dxa"/>
            </w:tcMar>
          </w:tcPr>
          <w:p>
            <w:pPr>
              <w:spacing w:after="0"/>
            </w:pPr>
            <w:r>
              <w:rPr>
                <w:b w:val="0"/>
                <w:i w:val="0"/>
                <w:color w:val="16261F"/>
                <w:sz w:val="17"/>
              </w:rPr>
              <w:t>Do not carry the pattern forward. Drive state transitions from webhook events, not client timers.</w:t>
            </w:r>
          </w:p>
        </w:tc>
      </w:tr>
      <w:tr>
        <w:tc>
          <w:tcPr>
            <w:tcW w:type="dxa" w:w="893"/>
            <w:tcMar>
              <w:top w:w="60" w:type="dxa"/>
              <w:left w:w="110" w:type="dxa"/>
              <w:bottom w:w="60" w:type="dxa"/>
              <w:right w:w="110" w:type="dxa"/>
            </w:tcMar>
            <w:shd w:val="clear" w:color="auto" w:fill="F5F7F5"/>
          </w:tcPr>
          <w:p>
            <w:pPr>
              <w:spacing w:after="0"/>
            </w:pPr>
            <w:r>
              <w:rPr>
                <w:rFonts w:ascii="Consolas" w:hAnsi="Consolas"/>
                <w:b/>
                <w:i w:val="0"/>
                <w:color w:val="16261F"/>
                <w:sz w:val="16"/>
              </w:rPr>
              <w:t>GAP-008</w:t>
            </w:r>
          </w:p>
        </w:tc>
        <w:tc>
          <w:tcPr>
            <w:tcW w:type="dxa" w:w="2520"/>
            <w:tcMar>
              <w:top w:w="60" w:type="dxa"/>
              <w:left w:w="110" w:type="dxa"/>
              <w:bottom w:w="60" w:type="dxa"/>
              <w:right w:w="110" w:type="dxa"/>
            </w:tcMar>
            <w:shd w:val="clear" w:color="auto" w:fill="F5F7F5"/>
          </w:tcPr>
          <w:p>
            <w:pPr>
              <w:spacing w:after="0"/>
            </w:pPr>
            <w:r>
              <w:rPr>
                <w:b w:val="0"/>
                <w:i w:val="0"/>
                <w:color w:val="16261F"/>
                <w:sz w:val="17"/>
              </w:rPr>
              <w:t>Dashboard has no date or brand filter, and the brand table omits collected amount.</w:t>
            </w:r>
          </w:p>
        </w:tc>
        <w:tc>
          <w:tcPr>
            <w:tcW w:type="dxa" w:w="1656"/>
            <w:tcMar>
              <w:top w:w="60" w:type="dxa"/>
              <w:left w:w="110" w:type="dxa"/>
              <w:bottom w:w="60" w:type="dxa"/>
              <w:right w:w="110" w:type="dxa"/>
            </w:tcMar>
            <w:shd w:val="clear" w:color="auto" w:fill="F5F7F5"/>
          </w:tcPr>
          <w:p>
            <w:pPr>
              <w:spacing w:after="0"/>
            </w:pPr>
            <w:r>
              <w:rPr>
                <w:b w:val="0"/>
                <w:i w:val="0"/>
                <w:color w:val="16261F"/>
                <w:sz w:val="17"/>
              </w:rPr>
              <w:t>Prototype lines 650–711</w:t>
            </w:r>
          </w:p>
        </w:tc>
        <w:tc>
          <w:tcPr>
            <w:tcW w:type="dxa" w:w="893"/>
            <w:tcMar>
              <w:top w:w="60" w:type="dxa"/>
              <w:left w:w="110" w:type="dxa"/>
              <w:bottom w:w="60" w:type="dxa"/>
              <w:right w:w="110" w:type="dxa"/>
            </w:tcMar>
            <w:shd w:val="clear" w:color="auto" w:fill="F5F7F5"/>
          </w:tcPr>
          <w:p>
            <w:pPr>
              <w:spacing w:after="0"/>
            </w:pPr>
            <w:r>
              <w:rPr>
                <w:b/>
                <w:i w:val="0"/>
                <w:color w:val="C7862B"/>
                <w:sz w:val="17"/>
              </w:rPr>
              <w:t>Medium</w:t>
            </w:r>
          </w:p>
        </w:tc>
        <w:tc>
          <w:tcPr>
            <w:tcW w:type="dxa" w:w="2246"/>
            <w:tcMar>
              <w:top w:w="60" w:type="dxa"/>
              <w:left w:w="110" w:type="dxa"/>
              <w:bottom w:w="60" w:type="dxa"/>
              <w:right w:w="110" w:type="dxa"/>
            </w:tcMar>
            <w:shd w:val="clear" w:color="auto" w:fill="F5F7F5"/>
          </w:tcPr>
          <w:p>
            <w:pPr>
              <w:spacing w:after="0"/>
            </w:pPr>
            <w:r>
              <w:rPr>
                <w:b w:val="0"/>
                <w:i w:val="0"/>
                <w:color w:val="16261F"/>
                <w:sz w:val="17"/>
              </w:rPr>
              <w:t>Implement filtering and the missing column. FR-DSH-003..005.</w:t>
            </w:r>
          </w:p>
        </w:tc>
      </w:tr>
      <w:tr>
        <w:tc>
          <w:tcPr>
            <w:tcW w:type="dxa" w:w="893"/>
            <w:tcMar>
              <w:top w:w="60" w:type="dxa"/>
              <w:left w:w="110" w:type="dxa"/>
              <w:bottom w:w="60" w:type="dxa"/>
              <w:right w:w="110" w:type="dxa"/>
            </w:tcMar>
          </w:tcPr>
          <w:p>
            <w:pPr>
              <w:spacing w:after="0"/>
            </w:pPr>
            <w:r>
              <w:rPr>
                <w:rFonts w:ascii="Consolas" w:hAnsi="Consolas"/>
                <w:b/>
                <w:i w:val="0"/>
                <w:color w:val="16261F"/>
                <w:sz w:val="16"/>
              </w:rPr>
              <w:t>GAP-009</w:t>
            </w:r>
          </w:p>
        </w:tc>
        <w:tc>
          <w:tcPr>
            <w:tcW w:type="dxa" w:w="2520"/>
            <w:tcMar>
              <w:top w:w="60" w:type="dxa"/>
              <w:left w:w="110" w:type="dxa"/>
              <w:bottom w:w="60" w:type="dxa"/>
              <w:right w:w="110" w:type="dxa"/>
            </w:tcMar>
          </w:tcPr>
          <w:p>
            <w:pPr>
              <w:spacing w:after="0"/>
            </w:pPr>
            <w:r>
              <w:rPr>
                <w:b w:val="0"/>
                <w:i w:val="0"/>
                <w:color w:val="16261F"/>
                <w:sz w:val="17"/>
              </w:rPr>
              <w:t>AI insights risk badges render internal tone keywords as user-facing labels: 'danger' displays where 'High' was intended.</w:t>
            </w:r>
          </w:p>
        </w:tc>
        <w:tc>
          <w:tcPr>
            <w:tcW w:type="dxa" w:w="1656"/>
            <w:tcMar>
              <w:top w:w="60" w:type="dxa"/>
              <w:left w:w="110" w:type="dxa"/>
              <w:bottom w:w="60" w:type="dxa"/>
              <w:right w:w="110" w:type="dxa"/>
            </w:tcMar>
          </w:tcPr>
          <w:p>
            <w:pPr>
              <w:spacing w:after="0"/>
            </w:pPr>
            <w:r>
              <w:rPr>
                <w:b w:val="0"/>
                <w:i w:val="0"/>
                <w:color w:val="16261F"/>
                <w:sz w:val="17"/>
              </w:rPr>
              <w:t>Prototype line 739</w:t>
            </w:r>
          </w:p>
        </w:tc>
        <w:tc>
          <w:tcPr>
            <w:tcW w:type="dxa" w:w="893"/>
            <w:tcMar>
              <w:top w:w="60" w:type="dxa"/>
              <w:left w:w="110" w:type="dxa"/>
              <w:bottom w:w="60" w:type="dxa"/>
              <w:right w:w="110" w:type="dxa"/>
            </w:tcMar>
          </w:tcPr>
          <w:p>
            <w:pPr>
              <w:spacing w:after="0"/>
            </w:pPr>
            <w:r>
              <w:rPr>
                <w:b/>
                <w:i w:val="0"/>
                <w:color w:val="5B6B63"/>
                <w:sz w:val="17"/>
              </w:rPr>
              <w:t>Low</w:t>
            </w:r>
          </w:p>
        </w:tc>
        <w:tc>
          <w:tcPr>
            <w:tcW w:type="dxa" w:w="2246"/>
            <w:tcMar>
              <w:top w:w="60" w:type="dxa"/>
              <w:left w:w="110" w:type="dxa"/>
              <w:bottom w:w="60" w:type="dxa"/>
              <w:right w:w="110" w:type="dxa"/>
            </w:tcMar>
          </w:tcPr>
          <w:p>
            <w:pPr>
              <w:spacing w:after="0"/>
            </w:pPr>
            <w:r>
              <w:rPr>
                <w:b w:val="0"/>
                <w:i w:val="0"/>
                <w:color w:val="16261F"/>
                <w:sz w:val="17"/>
              </w:rPr>
              <w:t>Separate presentation tone from display label.</w:t>
            </w:r>
          </w:p>
        </w:tc>
      </w:tr>
      <w:tr>
        <w:tc>
          <w:tcPr>
            <w:tcW w:type="dxa" w:w="893"/>
            <w:tcMar>
              <w:top w:w="60" w:type="dxa"/>
              <w:left w:w="110" w:type="dxa"/>
              <w:bottom w:w="60" w:type="dxa"/>
              <w:right w:w="110" w:type="dxa"/>
            </w:tcMar>
            <w:shd w:val="clear" w:color="auto" w:fill="F5F7F5"/>
          </w:tcPr>
          <w:p>
            <w:pPr>
              <w:spacing w:after="0"/>
            </w:pPr>
            <w:r>
              <w:rPr>
                <w:rFonts w:ascii="Consolas" w:hAnsi="Consolas"/>
                <w:b/>
                <w:i w:val="0"/>
                <w:color w:val="16261F"/>
                <w:sz w:val="16"/>
              </w:rPr>
              <w:t>GAP-010</w:t>
            </w:r>
          </w:p>
        </w:tc>
        <w:tc>
          <w:tcPr>
            <w:tcW w:type="dxa" w:w="2520"/>
            <w:tcMar>
              <w:top w:w="60" w:type="dxa"/>
              <w:left w:w="110" w:type="dxa"/>
              <w:bottom w:w="60" w:type="dxa"/>
              <w:right w:w="110" w:type="dxa"/>
            </w:tcMar>
            <w:shd w:val="clear" w:color="auto" w:fill="F5F7F5"/>
          </w:tcPr>
          <w:p>
            <w:pPr>
              <w:spacing w:after="0"/>
            </w:pPr>
            <w:r>
              <w:rPr>
                <w:b w:val="0"/>
                <w:i w:val="0"/>
                <w:color w:val="16261F"/>
                <w:sz w:val="17"/>
              </w:rPr>
              <w:t>Latent crashes: demoInvoice is dereferenced when a brand has no invoices; timezone parsing assumes a two-segment identifier.</w:t>
            </w:r>
          </w:p>
        </w:tc>
        <w:tc>
          <w:tcPr>
            <w:tcW w:type="dxa" w:w="1656"/>
            <w:tcMar>
              <w:top w:w="60" w:type="dxa"/>
              <w:left w:w="110" w:type="dxa"/>
              <w:bottom w:w="60" w:type="dxa"/>
              <w:right w:w="110" w:type="dxa"/>
            </w:tcMar>
            <w:shd w:val="clear" w:color="auto" w:fill="F5F7F5"/>
          </w:tcPr>
          <w:p>
            <w:pPr>
              <w:spacing w:after="0"/>
            </w:pPr>
            <w:r>
              <w:rPr>
                <w:b w:val="0"/>
                <w:i w:val="0"/>
                <w:color w:val="16261F"/>
                <w:sz w:val="17"/>
              </w:rPr>
              <w:t>Prototype lines 518, 798</w:t>
            </w:r>
          </w:p>
        </w:tc>
        <w:tc>
          <w:tcPr>
            <w:tcW w:type="dxa" w:w="893"/>
            <w:tcMar>
              <w:top w:w="60" w:type="dxa"/>
              <w:left w:w="110" w:type="dxa"/>
              <w:bottom w:w="60" w:type="dxa"/>
              <w:right w:w="110" w:type="dxa"/>
            </w:tcMar>
            <w:shd w:val="clear" w:color="auto" w:fill="F5F7F5"/>
          </w:tcPr>
          <w:p>
            <w:pPr>
              <w:spacing w:after="0"/>
            </w:pPr>
            <w:r>
              <w:rPr>
                <w:b/>
                <w:i w:val="0"/>
                <w:color w:val="5B6B63"/>
                <w:sz w:val="17"/>
              </w:rPr>
              <w:t>Low</w:t>
            </w:r>
          </w:p>
        </w:tc>
        <w:tc>
          <w:tcPr>
            <w:tcW w:type="dxa" w:w="2246"/>
            <w:tcMar>
              <w:top w:w="60" w:type="dxa"/>
              <w:left w:w="110" w:type="dxa"/>
              <w:bottom w:w="60" w:type="dxa"/>
              <w:right w:w="110" w:type="dxa"/>
            </w:tcMar>
            <w:shd w:val="clear" w:color="auto" w:fill="F5F7F5"/>
          </w:tcPr>
          <w:p>
            <w:pPr>
              <w:spacing w:after="0"/>
            </w:pPr>
            <w:r>
              <w:rPr>
                <w:b w:val="0"/>
                <w:i w:val="0"/>
                <w:color w:val="16261F"/>
                <w:sz w:val="17"/>
              </w:rPr>
              <w:t>Masked only because seed data always cooperates. Guard both paths in the real build.</w:t>
            </w:r>
          </w:p>
        </w:tc>
      </w:tr>
      <w:tr>
        <w:tc>
          <w:tcPr>
            <w:tcW w:type="dxa" w:w="893"/>
            <w:tcMar>
              <w:top w:w="60" w:type="dxa"/>
              <w:left w:w="110" w:type="dxa"/>
              <w:bottom w:w="60" w:type="dxa"/>
              <w:right w:w="110" w:type="dxa"/>
            </w:tcMar>
          </w:tcPr>
          <w:p>
            <w:pPr>
              <w:spacing w:after="0"/>
            </w:pPr>
            <w:r>
              <w:rPr>
                <w:rFonts w:ascii="Consolas" w:hAnsi="Consolas"/>
                <w:b/>
                <w:i w:val="0"/>
                <w:color w:val="16261F"/>
                <w:sz w:val="16"/>
              </w:rPr>
              <w:t>GAP-011</w:t>
            </w:r>
          </w:p>
        </w:tc>
        <w:tc>
          <w:tcPr>
            <w:tcW w:type="dxa" w:w="2520"/>
            <w:tcMar>
              <w:top w:w="60" w:type="dxa"/>
              <w:left w:w="110" w:type="dxa"/>
              <w:bottom w:w="60" w:type="dxa"/>
              <w:right w:w="110" w:type="dxa"/>
            </w:tcMar>
          </w:tcPr>
          <w:p>
            <w:pPr>
              <w:spacing w:after="0"/>
            </w:pPr>
            <w:r>
              <w:rPr>
                <w:b w:val="0"/>
                <w:i w:val="0"/>
                <w:color w:val="16261F"/>
                <w:sz w:val="17"/>
              </w:rPr>
              <w:t>No responsive layout. Fixed sidebar and unbreakpointed grids make the platform desktop-only, including the customer payment page.</w:t>
            </w:r>
          </w:p>
        </w:tc>
        <w:tc>
          <w:tcPr>
            <w:tcW w:type="dxa" w:w="1656"/>
            <w:tcMar>
              <w:top w:w="60" w:type="dxa"/>
              <w:left w:w="110" w:type="dxa"/>
              <w:bottom w:w="60" w:type="dxa"/>
              <w:right w:w="110" w:type="dxa"/>
            </w:tcMar>
          </w:tcPr>
          <w:p>
            <w:pPr>
              <w:spacing w:after="0"/>
            </w:pPr>
            <w:r>
              <w:rPr>
                <w:b w:val="0"/>
                <w:i w:val="0"/>
                <w:color w:val="16261F"/>
                <w:sz w:val="17"/>
              </w:rPr>
              <w:t>Prototype lines 1782, 1848</w:t>
            </w:r>
          </w:p>
        </w:tc>
        <w:tc>
          <w:tcPr>
            <w:tcW w:type="dxa" w:w="893"/>
            <w:tcMar>
              <w:top w:w="60" w:type="dxa"/>
              <w:left w:w="110" w:type="dxa"/>
              <w:bottom w:w="60" w:type="dxa"/>
              <w:right w:w="110" w:type="dxa"/>
            </w:tcMar>
          </w:tcPr>
          <w:p>
            <w:pPr>
              <w:spacing w:after="0"/>
            </w:pPr>
            <w:r>
              <w:rPr>
                <w:b/>
                <w:i w:val="0"/>
                <w:color w:val="C0473D"/>
                <w:sz w:val="17"/>
              </w:rPr>
              <w:t>High</w:t>
            </w:r>
          </w:p>
        </w:tc>
        <w:tc>
          <w:tcPr>
            <w:tcW w:type="dxa" w:w="2246"/>
            <w:tcMar>
              <w:top w:w="60" w:type="dxa"/>
              <w:left w:w="110" w:type="dxa"/>
              <w:bottom w:w="60" w:type="dxa"/>
              <w:right w:w="110" w:type="dxa"/>
            </w:tcMar>
          </w:tcPr>
          <w:p>
            <w:pPr>
              <w:spacing w:after="0"/>
            </w:pPr>
            <w:r>
              <w:rPr>
                <w:b w:val="0"/>
                <w:i w:val="0"/>
                <w:color w:val="16261F"/>
                <w:sz w:val="17"/>
              </w:rPr>
              <w:t>The payment page in particular must work on mobile. FR-PAY-025.</w:t>
            </w:r>
          </w:p>
        </w:tc>
      </w:tr>
      <w:tr>
        <w:tc>
          <w:tcPr>
            <w:tcW w:type="dxa" w:w="893"/>
            <w:tcMar>
              <w:top w:w="60" w:type="dxa"/>
              <w:left w:w="110" w:type="dxa"/>
              <w:bottom w:w="60" w:type="dxa"/>
              <w:right w:w="110" w:type="dxa"/>
            </w:tcMar>
            <w:shd w:val="clear" w:color="auto" w:fill="F5F7F5"/>
          </w:tcPr>
          <w:p>
            <w:pPr>
              <w:spacing w:after="0"/>
            </w:pPr>
            <w:r>
              <w:rPr>
                <w:rFonts w:ascii="Consolas" w:hAnsi="Consolas"/>
                <w:b/>
                <w:i w:val="0"/>
                <w:color w:val="16261F"/>
                <w:sz w:val="16"/>
              </w:rPr>
              <w:t>GAP-012</w:t>
            </w:r>
          </w:p>
        </w:tc>
        <w:tc>
          <w:tcPr>
            <w:tcW w:type="dxa" w:w="2520"/>
            <w:tcMar>
              <w:top w:w="60" w:type="dxa"/>
              <w:left w:w="110" w:type="dxa"/>
              <w:bottom w:w="60" w:type="dxa"/>
              <w:right w:w="110" w:type="dxa"/>
            </w:tcMar>
            <w:shd w:val="clear" w:color="auto" w:fill="F5F7F5"/>
          </w:tcPr>
          <w:p>
            <w:pPr>
              <w:spacing w:after="0"/>
            </w:pPr>
            <w:r>
              <w:rPr>
                <w:b w:val="0"/>
                <w:i w:val="0"/>
                <w:color w:val="16261F"/>
                <w:sz w:val="17"/>
              </w:rPr>
              <w:t>Logout is absent from the interface. Sign-in screens exist only as a decorative overlay, not an authentication gate.</w:t>
            </w:r>
          </w:p>
        </w:tc>
        <w:tc>
          <w:tcPr>
            <w:tcW w:type="dxa" w:w="1656"/>
            <w:tcMar>
              <w:top w:w="60" w:type="dxa"/>
              <w:left w:w="110" w:type="dxa"/>
              <w:bottom w:w="60" w:type="dxa"/>
              <w:right w:w="110" w:type="dxa"/>
            </w:tcMar>
            <w:shd w:val="clear" w:color="auto" w:fill="F5F7F5"/>
          </w:tcPr>
          <w:p>
            <w:pPr>
              <w:spacing w:after="0"/>
            </w:pPr>
            <w:r>
              <w:rPr>
                <w:b w:val="0"/>
                <w:i w:val="0"/>
                <w:color w:val="16261F"/>
                <w:sz w:val="17"/>
              </w:rPr>
              <w:t>Prototype lines 1735–1775</w:t>
            </w:r>
          </w:p>
        </w:tc>
        <w:tc>
          <w:tcPr>
            <w:tcW w:type="dxa" w:w="893"/>
            <w:tcMar>
              <w:top w:w="60" w:type="dxa"/>
              <w:left w:w="110" w:type="dxa"/>
              <w:bottom w:w="60" w:type="dxa"/>
              <w:right w:w="110" w:type="dxa"/>
            </w:tcMar>
            <w:shd w:val="clear" w:color="auto" w:fill="F5F7F5"/>
          </w:tcPr>
          <w:p>
            <w:pPr>
              <w:spacing w:after="0"/>
            </w:pPr>
            <w:r>
              <w:rPr>
                <w:b/>
                <w:i w:val="0"/>
                <w:color w:val="C0473D"/>
                <w:sz w:val="17"/>
              </w:rPr>
              <w:t>High</w:t>
            </w:r>
          </w:p>
        </w:tc>
        <w:tc>
          <w:tcPr>
            <w:tcW w:type="dxa" w:w="2246"/>
            <w:tcMar>
              <w:top w:w="60" w:type="dxa"/>
              <w:left w:w="110" w:type="dxa"/>
              <w:bottom w:w="60" w:type="dxa"/>
              <w:right w:w="110" w:type="dxa"/>
            </w:tcMar>
            <w:shd w:val="clear" w:color="auto" w:fill="F5F7F5"/>
          </w:tcPr>
          <w:p>
            <w:pPr>
              <w:spacing w:after="0"/>
            </w:pPr>
            <w:r>
              <w:rPr>
                <w:b w:val="0"/>
                <w:i w:val="0"/>
                <w:color w:val="16261F"/>
                <w:sz w:val="17"/>
              </w:rPr>
              <w:t>Implement real authentication. FR-AUTH-001..010.</w:t>
            </w:r>
          </w:p>
        </w:tc>
      </w:tr>
      <w:tr>
        <w:tc>
          <w:tcPr>
            <w:tcW w:type="dxa" w:w="893"/>
            <w:tcMar>
              <w:top w:w="60" w:type="dxa"/>
              <w:left w:w="110" w:type="dxa"/>
              <w:bottom w:w="60" w:type="dxa"/>
              <w:right w:w="110" w:type="dxa"/>
            </w:tcMar>
          </w:tcPr>
          <w:p>
            <w:pPr>
              <w:spacing w:after="0"/>
            </w:pPr>
            <w:r>
              <w:rPr>
                <w:rFonts w:ascii="Consolas" w:hAnsi="Consolas"/>
                <w:b/>
                <w:i w:val="0"/>
                <w:color w:val="16261F"/>
                <w:sz w:val="16"/>
              </w:rPr>
              <w:t>GAP-013</w:t>
            </w:r>
          </w:p>
        </w:tc>
        <w:tc>
          <w:tcPr>
            <w:tcW w:type="dxa" w:w="2520"/>
            <w:tcMar>
              <w:top w:w="60" w:type="dxa"/>
              <w:left w:w="110" w:type="dxa"/>
              <w:bottom w:w="60" w:type="dxa"/>
              <w:right w:w="110" w:type="dxa"/>
            </w:tcMar>
          </w:tcPr>
          <w:p>
            <w:pPr>
              <w:spacing w:after="0"/>
            </w:pPr>
            <w:r>
              <w:rPr>
                <w:b w:val="0"/>
                <w:i w:val="0"/>
                <w:color w:val="16261F"/>
                <w:sz w:val="17"/>
              </w:rPr>
              <w:t>The prototype seeds Stripe and Authorize.Net as the payment gateways. The actual provider is Numbers Gateway. The demonstrated gateway configuration screens target the wrong integration entirely.</w:t>
            </w:r>
          </w:p>
        </w:tc>
        <w:tc>
          <w:tcPr>
            <w:tcW w:type="dxa" w:w="1656"/>
            <w:tcMar>
              <w:top w:w="60" w:type="dxa"/>
              <w:left w:w="110" w:type="dxa"/>
              <w:bottom w:w="60" w:type="dxa"/>
              <w:right w:w="110" w:type="dxa"/>
            </w:tcMar>
          </w:tcPr>
          <w:p>
            <w:pPr>
              <w:spacing w:after="0"/>
            </w:pPr>
            <w:r>
              <w:rPr>
                <w:b w:val="0"/>
                <w:i w:val="0"/>
                <w:color w:val="16261F"/>
                <w:sz w:val="17"/>
              </w:rPr>
              <w:t>Prototype lines 121–124, 160–163, 1075–1099</w:t>
            </w:r>
          </w:p>
        </w:tc>
        <w:tc>
          <w:tcPr>
            <w:tcW w:type="dxa" w:w="893"/>
            <w:tcMar>
              <w:top w:w="60" w:type="dxa"/>
              <w:left w:w="110" w:type="dxa"/>
              <w:bottom w:w="60" w:type="dxa"/>
              <w:right w:w="110" w:type="dxa"/>
            </w:tcMar>
          </w:tcPr>
          <w:p>
            <w:pPr>
              <w:spacing w:after="0"/>
            </w:pPr>
            <w:r>
              <w:rPr>
                <w:b/>
                <w:i w:val="0"/>
                <w:color w:val="C0473D"/>
                <w:sz w:val="17"/>
              </w:rPr>
              <w:t>High</w:t>
            </w:r>
          </w:p>
        </w:tc>
        <w:tc>
          <w:tcPr>
            <w:tcW w:type="dxa" w:w="2246"/>
            <w:tcMar>
              <w:top w:w="60" w:type="dxa"/>
              <w:left w:w="110" w:type="dxa"/>
              <w:bottom w:w="60" w:type="dxa"/>
              <w:right w:w="110" w:type="dxa"/>
            </w:tcMar>
          </w:tcPr>
          <w:p>
            <w:pPr>
              <w:spacing w:after="0"/>
            </w:pPr>
            <w:r>
              <w:rPr>
                <w:b w:val="0"/>
                <w:i w:val="0"/>
                <w:color w:val="16261F"/>
                <w:sz w:val="17"/>
              </w:rPr>
              <w:t>Rebuild against Numbers Gateway behind a provider-agnostic interface. FR-GTW-001, FR-GTW-001a. Blocked on DEP-01.</w:t>
            </w:r>
          </w:p>
        </w:tc>
      </w:tr>
    </w:tbl>
    <w:p>
      <w:pPr>
        <w:pStyle w:val="Heading2"/>
      </w:pPr>
      <w:r>
        <w:t>27.1 Gap summary by severity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728"/>
            <w:shd w:val="clear" w:color="auto" w:fill="16261F"/>
            <w:tcMar>
              <w:top w:w="70" w:type="dxa"/>
              <w:left w:w="110" w:type="dxa"/>
              <w:bottom w:w="70" w:type="dxa"/>
              <w:right w:w="110" w:type="dxa"/>
            </w:tcMar>
          </w:tcPr>
          <w:p>
            <w:pPr>
              <w:spacing w:after="0"/>
            </w:pPr>
            <w:r>
              <w:rPr>
                <w:rFonts w:ascii="Calibri" w:hAnsi="Calibri"/>
                <w:b/>
                <w:color w:val="FFFFFF"/>
                <w:sz w:val="18"/>
              </w:rPr>
              <w:t>Severity</w:t>
            </w:r>
          </w:p>
        </w:tc>
        <w:tc>
          <w:tcPr>
            <w:tcW w:type="dxa" w:w="1152"/>
            <w:shd w:val="clear" w:color="auto" w:fill="16261F"/>
            <w:tcMar>
              <w:top w:w="70" w:type="dxa"/>
              <w:left w:w="110" w:type="dxa"/>
              <w:bottom w:w="70" w:type="dxa"/>
              <w:right w:w="110" w:type="dxa"/>
            </w:tcMar>
          </w:tcPr>
          <w:p>
            <w:pPr>
              <w:spacing w:after="0"/>
            </w:pPr>
            <w:r>
              <w:rPr>
                <w:rFonts w:ascii="Calibri" w:hAnsi="Calibri"/>
                <w:b/>
                <w:color w:val="FFFFFF"/>
                <w:sz w:val="18"/>
              </w:rPr>
              <w:t>Count</w:t>
            </w:r>
          </w:p>
        </w:tc>
        <w:tc>
          <w:tcPr>
            <w:tcW w:type="dxa" w:w="6480"/>
            <w:shd w:val="clear" w:color="auto" w:fill="16261F"/>
            <w:tcMar>
              <w:top w:w="70" w:type="dxa"/>
              <w:left w:w="110" w:type="dxa"/>
              <w:bottom w:w="70" w:type="dxa"/>
              <w:right w:w="110" w:type="dxa"/>
            </w:tcMar>
          </w:tcPr>
          <w:p>
            <w:pPr>
              <w:spacing w:after="0"/>
            </w:pPr>
            <w:r>
              <w:rPr>
                <w:rFonts w:ascii="Calibri" w:hAnsi="Calibri"/>
                <w:b/>
                <w:color w:val="FFFFFF"/>
                <w:sz w:val="18"/>
              </w:rPr>
              <w:t>References</w:t>
            </w:r>
          </w:p>
        </w:tc>
      </w:tr>
      <w:tr>
        <w:tc>
          <w:tcPr>
            <w:tcW w:type="dxa" w:w="1728"/>
            <w:tcMar>
              <w:top w:w="60" w:type="dxa"/>
              <w:left w:w="110" w:type="dxa"/>
              <w:bottom w:w="60" w:type="dxa"/>
              <w:right w:w="110" w:type="dxa"/>
            </w:tcMar>
          </w:tcPr>
          <w:p>
            <w:pPr>
              <w:spacing w:after="0"/>
            </w:pPr>
            <w:r>
              <w:rPr>
                <w:b/>
                <w:i w:val="0"/>
                <w:color w:val="C0473D"/>
                <w:sz w:val="19"/>
              </w:rPr>
              <w:t>Critical</w:t>
            </w:r>
          </w:p>
        </w:tc>
        <w:tc>
          <w:tcPr>
            <w:tcW w:type="dxa" w:w="1152"/>
            <w:tcMar>
              <w:top w:w="60" w:type="dxa"/>
              <w:left w:w="110" w:type="dxa"/>
              <w:bottom w:w="60" w:type="dxa"/>
              <w:right w:w="110" w:type="dxa"/>
            </w:tcMar>
          </w:tcPr>
          <w:p>
            <w:pPr>
              <w:spacing w:after="0"/>
            </w:pPr>
            <w:r>
              <w:rPr>
                <w:b w:val="0"/>
                <w:i w:val="0"/>
                <w:color w:val="16261F"/>
                <w:sz w:val="19"/>
              </w:rPr>
              <w:t>2</w:t>
            </w:r>
          </w:p>
        </w:tc>
        <w:tc>
          <w:tcPr>
            <w:tcW w:type="dxa" w:w="6480"/>
            <w:tcMar>
              <w:top w:w="60" w:type="dxa"/>
              <w:left w:w="110" w:type="dxa"/>
              <w:bottom w:w="60" w:type="dxa"/>
              <w:right w:w="110" w:type="dxa"/>
            </w:tcMar>
          </w:tcPr>
          <w:p>
            <w:pPr>
              <w:spacing w:after="0"/>
            </w:pPr>
            <w:r>
              <w:rPr>
                <w:b w:val="0"/>
                <w:i w:val="0"/>
                <w:color w:val="16261F"/>
                <w:sz w:val="19"/>
              </w:rPr>
              <w:t>GAP-001, GAP-003</w:t>
            </w:r>
          </w:p>
        </w:tc>
      </w:tr>
      <w:tr>
        <w:tc>
          <w:tcPr>
            <w:tcW w:type="dxa" w:w="1728"/>
            <w:tcMar>
              <w:top w:w="60" w:type="dxa"/>
              <w:left w:w="110" w:type="dxa"/>
              <w:bottom w:w="60" w:type="dxa"/>
              <w:right w:w="110" w:type="dxa"/>
            </w:tcMar>
            <w:shd w:val="clear" w:color="auto" w:fill="F5F7F5"/>
          </w:tcPr>
          <w:p>
            <w:pPr>
              <w:spacing w:after="0"/>
            </w:pPr>
            <w:r>
              <w:rPr>
                <w:b/>
                <w:i w:val="0"/>
                <w:color w:val="C0473D"/>
                <w:sz w:val="19"/>
              </w:rPr>
              <w:t>High</w:t>
            </w:r>
          </w:p>
        </w:tc>
        <w:tc>
          <w:tcPr>
            <w:tcW w:type="dxa" w:w="1152"/>
            <w:tcMar>
              <w:top w:w="60" w:type="dxa"/>
              <w:left w:w="110" w:type="dxa"/>
              <w:bottom w:w="60" w:type="dxa"/>
              <w:right w:w="110" w:type="dxa"/>
            </w:tcMar>
            <w:shd w:val="clear" w:color="auto" w:fill="F5F7F5"/>
          </w:tcPr>
          <w:p>
            <w:pPr>
              <w:spacing w:after="0"/>
            </w:pPr>
            <w:r>
              <w:rPr>
                <w:b w:val="0"/>
                <w:i w:val="0"/>
                <w:color w:val="16261F"/>
                <w:sz w:val="19"/>
              </w:rPr>
              <w:t>6</w:t>
            </w:r>
          </w:p>
        </w:tc>
        <w:tc>
          <w:tcPr>
            <w:tcW w:type="dxa" w:w="6480"/>
            <w:tcMar>
              <w:top w:w="60" w:type="dxa"/>
              <w:left w:w="110" w:type="dxa"/>
              <w:bottom w:w="60" w:type="dxa"/>
              <w:right w:w="110" w:type="dxa"/>
            </w:tcMar>
            <w:shd w:val="clear" w:color="auto" w:fill="F5F7F5"/>
          </w:tcPr>
          <w:p>
            <w:pPr>
              <w:spacing w:after="0"/>
            </w:pPr>
            <w:r>
              <w:rPr>
                <w:b w:val="0"/>
                <w:i w:val="0"/>
                <w:color w:val="16261F"/>
                <w:sz w:val="19"/>
              </w:rPr>
              <w:t>GAP-002, GAP-004, GAP-005, GAP-011, GAP-012, GAP-013</w:t>
            </w:r>
          </w:p>
        </w:tc>
      </w:tr>
      <w:tr>
        <w:tc>
          <w:tcPr>
            <w:tcW w:type="dxa" w:w="1728"/>
            <w:tcMar>
              <w:top w:w="60" w:type="dxa"/>
              <w:left w:w="110" w:type="dxa"/>
              <w:bottom w:w="60" w:type="dxa"/>
              <w:right w:w="110" w:type="dxa"/>
            </w:tcMar>
          </w:tcPr>
          <w:p>
            <w:pPr>
              <w:spacing w:after="0"/>
            </w:pPr>
            <w:r>
              <w:rPr>
                <w:b/>
                <w:i w:val="0"/>
                <w:color w:val="C7862B"/>
                <w:sz w:val="19"/>
              </w:rPr>
              <w:t>Medium</w:t>
            </w:r>
          </w:p>
        </w:tc>
        <w:tc>
          <w:tcPr>
            <w:tcW w:type="dxa" w:w="1152"/>
            <w:tcMar>
              <w:top w:w="60" w:type="dxa"/>
              <w:left w:w="110" w:type="dxa"/>
              <w:bottom w:w="60" w:type="dxa"/>
              <w:right w:w="110" w:type="dxa"/>
            </w:tcMar>
          </w:tcPr>
          <w:p>
            <w:pPr>
              <w:spacing w:after="0"/>
            </w:pPr>
            <w:r>
              <w:rPr>
                <w:b w:val="0"/>
                <w:i w:val="0"/>
                <w:color w:val="16261F"/>
                <w:sz w:val="19"/>
              </w:rPr>
              <w:t>3</w:t>
            </w:r>
          </w:p>
        </w:tc>
        <w:tc>
          <w:tcPr>
            <w:tcW w:type="dxa" w:w="6480"/>
            <w:tcMar>
              <w:top w:w="60" w:type="dxa"/>
              <w:left w:w="110" w:type="dxa"/>
              <w:bottom w:w="60" w:type="dxa"/>
              <w:right w:w="110" w:type="dxa"/>
            </w:tcMar>
          </w:tcPr>
          <w:p>
            <w:pPr>
              <w:spacing w:after="0"/>
            </w:pPr>
            <w:r>
              <w:rPr>
                <w:b w:val="0"/>
                <w:i w:val="0"/>
                <w:color w:val="16261F"/>
                <w:sz w:val="19"/>
              </w:rPr>
              <w:t>GAP-006, GAP-007, GAP-008</w:t>
            </w:r>
          </w:p>
        </w:tc>
      </w:tr>
      <w:tr>
        <w:tc>
          <w:tcPr>
            <w:tcW w:type="dxa" w:w="1728"/>
            <w:tcMar>
              <w:top w:w="60" w:type="dxa"/>
              <w:left w:w="110" w:type="dxa"/>
              <w:bottom w:w="60" w:type="dxa"/>
              <w:right w:w="110" w:type="dxa"/>
            </w:tcMar>
            <w:shd w:val="clear" w:color="auto" w:fill="F5F7F5"/>
          </w:tcPr>
          <w:p>
            <w:pPr>
              <w:spacing w:after="0"/>
            </w:pPr>
            <w:r>
              <w:rPr>
                <w:b/>
                <w:i w:val="0"/>
                <w:color w:val="5B6B63"/>
                <w:sz w:val="19"/>
              </w:rPr>
              <w:t>Low</w:t>
            </w:r>
          </w:p>
        </w:tc>
        <w:tc>
          <w:tcPr>
            <w:tcW w:type="dxa" w:w="1152"/>
            <w:tcMar>
              <w:top w:w="60" w:type="dxa"/>
              <w:left w:w="110" w:type="dxa"/>
              <w:bottom w:w="60" w:type="dxa"/>
              <w:right w:w="110" w:type="dxa"/>
            </w:tcMar>
            <w:shd w:val="clear" w:color="auto" w:fill="F5F7F5"/>
          </w:tcPr>
          <w:p>
            <w:pPr>
              <w:spacing w:after="0"/>
            </w:pPr>
            <w:r>
              <w:rPr>
                <w:b w:val="0"/>
                <w:i w:val="0"/>
                <w:color w:val="16261F"/>
                <w:sz w:val="19"/>
              </w:rPr>
              <w:t>2</w:t>
            </w:r>
          </w:p>
        </w:tc>
        <w:tc>
          <w:tcPr>
            <w:tcW w:type="dxa" w:w="6480"/>
            <w:tcMar>
              <w:top w:w="60" w:type="dxa"/>
              <w:left w:w="110" w:type="dxa"/>
              <w:bottom w:w="60" w:type="dxa"/>
              <w:right w:w="110" w:type="dxa"/>
            </w:tcMar>
            <w:shd w:val="clear" w:color="auto" w:fill="F5F7F5"/>
          </w:tcPr>
          <w:p>
            <w:pPr>
              <w:spacing w:after="0"/>
            </w:pPr>
            <w:r>
              <w:rPr>
                <w:b w:val="0"/>
                <w:i w:val="0"/>
                <w:color w:val="16261F"/>
                <w:sz w:val="19"/>
              </w:rPr>
              <w:t>GAP-009, GAP-010</w:t>
            </w:r>
          </w:p>
        </w:tc>
      </w:tr>
    </w:tbl>
    <w:p>
      <w:pPr>
        <w:pBdr>
          <w:left w:val="single" w:sz="18" w:space="10" w:color="2D6A6A"/>
        </w:pBdr>
        <w:shd w:val="clear" w:color="auto" w:fill="EDF1EE"/>
        <w:spacing w:before="160" w:after="180"/>
        <w:ind w:left="173"/>
      </w:pPr>
      <w:r>
        <w:rPr>
          <w:b/>
          <w:color w:val="2D6A6A"/>
          <w:sz w:val="17"/>
        </w:rPr>
        <w:t xml:space="preserve">READING OF THE REGISTER  </w:t>
      </w:r>
      <w:r>
        <w:rPr>
          <w:color w:val="16261F"/>
          <w:sz w:val="20"/>
        </w:rPr>
        <w:t>The two critical gaps — no access control, and no tax or card fee engine — are both squarely inside the signed MVP. The prototype's most visible strengths, by contrast, sit in Phase 2. The build effort remaining on contracted scope is therefore considerably larger than the demonstration suggests.</w:t>
      </w:r>
    </w:p>
    <w:p>
      <w:r>
        <w:br w:type="page"/>
      </w:r>
    </w:p>
    <w:p>
      <w:pPr>
        <w:pStyle w:val="Heading1"/>
      </w:pPr>
      <w:r>
        <w:t>28. Assumptions, exclusions and open questions</w:t>
      </w:r>
    </w:p>
    <w:p>
      <w:pPr>
        <w:pStyle w:val="Heading2"/>
      </w:pPr>
      <w:r>
        <w:t>28.1 Assumptions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792"/>
            <w:shd w:val="clear" w:color="auto" w:fill="16261F"/>
            <w:tcMar>
              <w:top w:w="70" w:type="dxa"/>
              <w:left w:w="110" w:type="dxa"/>
              <w:bottom w:w="70" w:type="dxa"/>
              <w:right w:w="110" w:type="dxa"/>
            </w:tcMar>
          </w:tcPr>
          <w:p>
            <w:pPr>
              <w:spacing w:after="0"/>
            </w:pPr>
            <w:r>
              <w:rPr>
                <w:rFonts w:ascii="Calibri" w:hAnsi="Calibri"/>
                <w:b/>
                <w:color w:val="FFFFFF"/>
                <w:sz w:val="18"/>
              </w:rPr>
              <w:t>Ref</w:t>
            </w:r>
          </w:p>
        </w:tc>
        <w:tc>
          <w:tcPr>
            <w:tcW w:type="dxa" w:w="4536"/>
            <w:shd w:val="clear" w:color="auto" w:fill="16261F"/>
            <w:tcMar>
              <w:top w:w="70" w:type="dxa"/>
              <w:left w:w="110" w:type="dxa"/>
              <w:bottom w:w="70" w:type="dxa"/>
              <w:right w:w="110" w:type="dxa"/>
            </w:tcMar>
          </w:tcPr>
          <w:p>
            <w:pPr>
              <w:spacing w:after="0"/>
            </w:pPr>
            <w:r>
              <w:rPr>
                <w:rFonts w:ascii="Calibri" w:hAnsi="Calibri"/>
                <w:b/>
                <w:color w:val="FFFFFF"/>
                <w:sz w:val="18"/>
              </w:rPr>
              <w:t>Assumption</w:t>
            </w:r>
          </w:p>
        </w:tc>
        <w:tc>
          <w:tcPr>
            <w:tcW w:type="dxa" w:w="4032"/>
            <w:shd w:val="clear" w:color="auto" w:fill="16261F"/>
            <w:tcMar>
              <w:top w:w="70" w:type="dxa"/>
              <w:left w:w="110" w:type="dxa"/>
              <w:bottom w:w="70" w:type="dxa"/>
              <w:right w:w="110" w:type="dxa"/>
            </w:tcMar>
          </w:tcPr>
          <w:p>
            <w:pPr>
              <w:spacing w:after="0"/>
            </w:pPr>
            <w:r>
              <w:rPr>
                <w:rFonts w:ascii="Calibri" w:hAnsi="Calibri"/>
                <w:b/>
                <w:color w:val="FFFFFF"/>
                <w:sz w:val="18"/>
              </w:rPr>
              <w:t>If false</w:t>
            </w:r>
          </w:p>
        </w:tc>
      </w:tr>
      <w:tr>
        <w:tc>
          <w:tcPr>
            <w:tcW w:type="dxa" w:w="792"/>
            <w:tcMar>
              <w:top w:w="60" w:type="dxa"/>
              <w:left w:w="110" w:type="dxa"/>
              <w:bottom w:w="60" w:type="dxa"/>
              <w:right w:w="110" w:type="dxa"/>
            </w:tcMar>
          </w:tcPr>
          <w:p>
            <w:pPr>
              <w:spacing w:after="0"/>
            </w:pPr>
            <w:r>
              <w:rPr>
                <w:rFonts w:ascii="Consolas" w:hAnsi="Consolas"/>
                <w:b w:val="0"/>
                <w:i w:val="0"/>
                <w:color w:val="16261F"/>
                <w:sz w:val="18"/>
              </w:rPr>
              <w:t>A-01</w:t>
            </w:r>
          </w:p>
        </w:tc>
        <w:tc>
          <w:tcPr>
            <w:tcW w:type="dxa" w:w="4536"/>
            <w:tcMar>
              <w:top w:w="60" w:type="dxa"/>
              <w:left w:w="110" w:type="dxa"/>
              <w:bottom w:w="60" w:type="dxa"/>
              <w:right w:w="110" w:type="dxa"/>
            </w:tcMar>
          </w:tcPr>
          <w:p>
            <w:pPr>
              <w:spacing w:after="0"/>
            </w:pPr>
            <w:r>
              <w:rPr>
                <w:b w:val="0"/>
                <w:i w:val="0"/>
                <w:color w:val="16261F"/>
                <w:sz w:val="19"/>
              </w:rPr>
              <w:t>Zoho Books is the accounting system of record; the platform never becomes the ledger.</w:t>
            </w:r>
          </w:p>
        </w:tc>
        <w:tc>
          <w:tcPr>
            <w:tcW w:type="dxa" w:w="4032"/>
            <w:tcMar>
              <w:top w:w="60" w:type="dxa"/>
              <w:left w:w="110" w:type="dxa"/>
              <w:bottom w:w="60" w:type="dxa"/>
              <w:right w:w="110" w:type="dxa"/>
            </w:tcMar>
          </w:tcPr>
          <w:p>
            <w:pPr>
              <w:spacing w:after="0"/>
            </w:pPr>
            <w:r>
              <w:rPr>
                <w:b w:val="0"/>
                <w:i w:val="0"/>
                <w:color w:val="16261F"/>
                <w:sz w:val="19"/>
              </w:rPr>
              <w:t>Reconciliation and reporting requirements expand substantially.</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8"/>
              </w:rPr>
              <w:t>A-02</w:t>
            </w:r>
          </w:p>
        </w:tc>
        <w:tc>
          <w:tcPr>
            <w:tcW w:type="dxa" w:w="4536"/>
            <w:tcMar>
              <w:top w:w="60" w:type="dxa"/>
              <w:left w:w="110" w:type="dxa"/>
              <w:bottom w:w="60" w:type="dxa"/>
              <w:right w:w="110" w:type="dxa"/>
            </w:tcMar>
            <w:shd w:val="clear" w:color="auto" w:fill="F5F7F5"/>
          </w:tcPr>
          <w:p>
            <w:pPr>
              <w:spacing w:after="0"/>
            </w:pPr>
            <w:r>
              <w:rPr>
                <w:b w:val="0"/>
                <w:i w:val="0"/>
                <w:color w:val="16261F"/>
                <w:sz w:val="19"/>
              </w:rPr>
              <w:t>Each brand maps to exactly one Zoho Books organisation.</w:t>
            </w:r>
          </w:p>
        </w:tc>
        <w:tc>
          <w:tcPr>
            <w:tcW w:type="dxa" w:w="4032"/>
            <w:tcMar>
              <w:top w:w="60" w:type="dxa"/>
              <w:left w:w="110" w:type="dxa"/>
              <w:bottom w:w="60" w:type="dxa"/>
              <w:right w:w="110" w:type="dxa"/>
            </w:tcMar>
            <w:shd w:val="clear" w:color="auto" w:fill="F5F7F5"/>
          </w:tcPr>
          <w:p>
            <w:pPr>
              <w:spacing w:after="0"/>
            </w:pPr>
            <w:r>
              <w:rPr>
                <w:b w:val="0"/>
                <w:i w:val="0"/>
                <w:color w:val="16261F"/>
                <w:sz w:val="19"/>
              </w:rPr>
              <w:t>The sync model requires a many-to-one mapping layer.</w:t>
            </w:r>
          </w:p>
        </w:tc>
      </w:tr>
      <w:tr>
        <w:tc>
          <w:tcPr>
            <w:tcW w:type="dxa" w:w="792"/>
            <w:tcMar>
              <w:top w:w="60" w:type="dxa"/>
              <w:left w:w="110" w:type="dxa"/>
              <w:bottom w:w="60" w:type="dxa"/>
              <w:right w:w="110" w:type="dxa"/>
            </w:tcMar>
          </w:tcPr>
          <w:p>
            <w:pPr>
              <w:spacing w:after="0"/>
            </w:pPr>
            <w:r>
              <w:rPr>
                <w:rFonts w:ascii="Consolas" w:hAnsi="Consolas"/>
                <w:b w:val="0"/>
                <w:i w:val="0"/>
                <w:color w:val="16261F"/>
                <w:sz w:val="18"/>
              </w:rPr>
              <w:t>A-03</w:t>
            </w:r>
          </w:p>
        </w:tc>
        <w:tc>
          <w:tcPr>
            <w:tcW w:type="dxa" w:w="4536"/>
            <w:tcMar>
              <w:top w:w="60" w:type="dxa"/>
              <w:left w:w="110" w:type="dxa"/>
              <w:bottom w:w="60" w:type="dxa"/>
              <w:right w:w="110" w:type="dxa"/>
            </w:tcMar>
          </w:tcPr>
          <w:p>
            <w:pPr>
              <w:spacing w:after="0"/>
            </w:pPr>
            <w:r>
              <w:rPr>
                <w:b w:val="0"/>
                <w:i w:val="0"/>
                <w:color w:val="16261F"/>
                <w:sz w:val="19"/>
              </w:rPr>
              <w:t>All brands transact in a single base currency at MVP, with multi-currency deferred.</w:t>
            </w:r>
          </w:p>
        </w:tc>
        <w:tc>
          <w:tcPr>
            <w:tcW w:type="dxa" w:w="4032"/>
            <w:tcMar>
              <w:top w:w="60" w:type="dxa"/>
              <w:left w:w="110" w:type="dxa"/>
              <w:bottom w:w="60" w:type="dxa"/>
              <w:right w:w="110" w:type="dxa"/>
            </w:tcMar>
          </w:tcPr>
          <w:p>
            <w:pPr>
              <w:spacing w:after="0"/>
            </w:pPr>
            <w:r>
              <w:rPr>
                <w:b w:val="0"/>
                <w:i w:val="0"/>
                <w:color w:val="16261F"/>
                <w:sz w:val="19"/>
              </w:rPr>
              <w:t>FR-DSH-017 becomes a substantial piece of work at MVP.</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8"/>
              </w:rPr>
              <w:t>A-04</w:t>
            </w:r>
          </w:p>
        </w:tc>
        <w:tc>
          <w:tcPr>
            <w:tcW w:type="dxa" w:w="4536"/>
            <w:tcMar>
              <w:top w:w="60" w:type="dxa"/>
              <w:left w:w="110" w:type="dxa"/>
              <w:bottom w:w="60" w:type="dxa"/>
              <w:right w:w="110" w:type="dxa"/>
            </w:tcMar>
            <w:shd w:val="clear" w:color="auto" w:fill="F5F7F5"/>
          </w:tcPr>
          <w:p>
            <w:pPr>
              <w:spacing w:after="0"/>
            </w:pPr>
            <w:r>
              <w:rPr>
                <w:b w:val="0"/>
                <w:i w:val="0"/>
                <w:color w:val="16261F"/>
                <w:sz w:val="19"/>
              </w:rPr>
              <w:t>Card data is captured exclusively in gateway-hosted fields, keeping the platform in PCI DSS SAQ A scope.</w:t>
            </w:r>
          </w:p>
        </w:tc>
        <w:tc>
          <w:tcPr>
            <w:tcW w:type="dxa" w:w="4032"/>
            <w:tcMar>
              <w:top w:w="60" w:type="dxa"/>
              <w:left w:w="110" w:type="dxa"/>
              <w:bottom w:w="60" w:type="dxa"/>
              <w:right w:w="110" w:type="dxa"/>
            </w:tcMar>
            <w:shd w:val="clear" w:color="auto" w:fill="F5F7F5"/>
          </w:tcPr>
          <w:p>
            <w:pPr>
              <w:spacing w:after="0"/>
            </w:pPr>
            <w:r>
              <w:rPr>
                <w:b w:val="0"/>
                <w:i w:val="0"/>
                <w:color w:val="16261F"/>
                <w:sz w:val="19"/>
              </w:rPr>
              <w:t>Compliance obligation escalates to SAQ D, materially increasing cost and timeline.</w:t>
            </w:r>
          </w:p>
        </w:tc>
      </w:tr>
      <w:tr>
        <w:tc>
          <w:tcPr>
            <w:tcW w:type="dxa" w:w="792"/>
            <w:tcMar>
              <w:top w:w="60" w:type="dxa"/>
              <w:left w:w="110" w:type="dxa"/>
              <w:bottom w:w="60" w:type="dxa"/>
              <w:right w:w="110" w:type="dxa"/>
            </w:tcMar>
          </w:tcPr>
          <w:p>
            <w:pPr>
              <w:spacing w:after="0"/>
            </w:pPr>
            <w:r>
              <w:rPr>
                <w:rFonts w:ascii="Consolas" w:hAnsi="Consolas"/>
                <w:b w:val="0"/>
                <w:i w:val="0"/>
                <w:color w:val="16261F"/>
                <w:sz w:val="18"/>
              </w:rPr>
              <w:t>A-05</w:t>
            </w:r>
          </w:p>
        </w:tc>
        <w:tc>
          <w:tcPr>
            <w:tcW w:type="dxa" w:w="4536"/>
            <w:tcMar>
              <w:top w:w="60" w:type="dxa"/>
              <w:left w:w="110" w:type="dxa"/>
              <w:bottom w:w="60" w:type="dxa"/>
              <w:right w:w="110" w:type="dxa"/>
            </w:tcMar>
          </w:tcPr>
          <w:p>
            <w:pPr>
              <w:spacing w:after="0"/>
            </w:pPr>
            <w:r>
              <w:rPr>
                <w:b w:val="0"/>
                <w:i w:val="0"/>
                <w:color w:val="16261F"/>
                <w:sz w:val="19"/>
              </w:rPr>
              <w:t>Customers do not require platform accounts; invoice links are sufficient.</w:t>
            </w:r>
          </w:p>
        </w:tc>
        <w:tc>
          <w:tcPr>
            <w:tcW w:type="dxa" w:w="4032"/>
            <w:tcMar>
              <w:top w:w="60" w:type="dxa"/>
              <w:left w:w="110" w:type="dxa"/>
              <w:bottom w:w="60" w:type="dxa"/>
              <w:right w:w="110" w:type="dxa"/>
            </w:tcMar>
          </w:tcPr>
          <w:p>
            <w:pPr>
              <w:spacing w:after="0"/>
            </w:pPr>
            <w:r>
              <w:rPr>
                <w:b w:val="0"/>
                <w:i w:val="0"/>
                <w:color w:val="16261F"/>
                <w:sz w:val="19"/>
              </w:rPr>
              <w:t>A customer portal with its own authentication becomes a new module.</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8"/>
              </w:rPr>
              <w:t>A-06</w:t>
            </w:r>
          </w:p>
        </w:tc>
        <w:tc>
          <w:tcPr>
            <w:tcW w:type="dxa" w:w="4536"/>
            <w:tcMar>
              <w:top w:w="60" w:type="dxa"/>
              <w:left w:w="110" w:type="dxa"/>
              <w:bottom w:w="60" w:type="dxa"/>
              <w:right w:w="110" w:type="dxa"/>
            </w:tcMar>
            <w:shd w:val="clear" w:color="auto" w:fill="F5F7F5"/>
          </w:tcPr>
          <w:p>
            <w:pPr>
              <w:spacing w:after="0"/>
            </w:pPr>
            <w:r>
              <w:rPr>
                <w:b w:val="0"/>
                <w:i w:val="0"/>
                <w:color w:val="16261F"/>
                <w:sz w:val="19"/>
              </w:rPr>
              <w:t>The merchant operates in the United States, invoicing US customers.</w:t>
            </w:r>
          </w:p>
        </w:tc>
        <w:tc>
          <w:tcPr>
            <w:tcW w:type="dxa" w:w="4032"/>
            <w:tcMar>
              <w:top w:w="60" w:type="dxa"/>
              <w:left w:w="110" w:type="dxa"/>
              <w:bottom w:w="60" w:type="dxa"/>
              <w:right w:w="110" w:type="dxa"/>
            </w:tcMar>
            <w:shd w:val="clear" w:color="auto" w:fill="F5F7F5"/>
          </w:tcPr>
          <w:p>
            <w:pPr>
              <w:spacing w:after="0"/>
            </w:pPr>
            <w:r>
              <w:rPr>
                <w:b w:val="0"/>
                <w:i w:val="0"/>
                <w:color w:val="16261F"/>
                <w:sz w:val="19"/>
              </w:rPr>
              <w:t>Tax handling may require VAT or GST treatment rather than a flat rate.</w:t>
            </w:r>
          </w:p>
        </w:tc>
      </w:tr>
      <w:tr>
        <w:tc>
          <w:tcPr>
            <w:tcW w:type="dxa" w:w="792"/>
            <w:tcMar>
              <w:top w:w="60" w:type="dxa"/>
              <w:left w:w="110" w:type="dxa"/>
              <w:bottom w:w="60" w:type="dxa"/>
              <w:right w:w="110" w:type="dxa"/>
            </w:tcMar>
          </w:tcPr>
          <w:p>
            <w:pPr>
              <w:spacing w:after="0"/>
            </w:pPr>
            <w:r>
              <w:rPr>
                <w:rFonts w:ascii="Consolas" w:hAnsi="Consolas"/>
                <w:b w:val="0"/>
                <w:i w:val="0"/>
                <w:color w:val="16261F"/>
                <w:sz w:val="18"/>
              </w:rPr>
              <w:t>A-07</w:t>
            </w:r>
          </w:p>
        </w:tc>
        <w:tc>
          <w:tcPr>
            <w:tcW w:type="dxa" w:w="4536"/>
            <w:tcMar>
              <w:top w:w="60" w:type="dxa"/>
              <w:left w:w="110" w:type="dxa"/>
              <w:bottom w:w="60" w:type="dxa"/>
              <w:right w:w="110" w:type="dxa"/>
            </w:tcMar>
          </w:tcPr>
          <w:p>
            <w:pPr>
              <w:spacing w:after="0"/>
            </w:pPr>
            <w:r>
              <w:rPr>
                <w:b w:val="0"/>
                <w:i w:val="0"/>
                <w:color w:val="16261F"/>
                <w:sz w:val="19"/>
              </w:rPr>
              <w:t>Brand count per merchant remains in the low tens.</w:t>
            </w:r>
          </w:p>
        </w:tc>
        <w:tc>
          <w:tcPr>
            <w:tcW w:type="dxa" w:w="4032"/>
            <w:tcMar>
              <w:top w:w="60" w:type="dxa"/>
              <w:left w:w="110" w:type="dxa"/>
              <w:bottom w:w="60" w:type="dxa"/>
              <w:right w:w="110" w:type="dxa"/>
            </w:tcMar>
          </w:tcPr>
          <w:p>
            <w:pPr>
              <w:spacing w:after="0"/>
            </w:pPr>
            <w:r>
              <w:rPr>
                <w:b w:val="0"/>
                <w:i w:val="0"/>
                <w:color w:val="16261F"/>
                <w:sz w:val="19"/>
              </w:rPr>
              <w:t>Brand switching and cross-brand aggregation need rework for scale.</w:t>
            </w:r>
          </w:p>
        </w:tc>
      </w:tr>
    </w:tbl>
    <w:p>
      <w:pPr>
        <w:pStyle w:val="Heading2"/>
      </w:pPr>
      <w:r>
        <w:t>28.2 Explicit exclusions</w:t>
      </w:r>
    </w:p>
    <w:p>
      <w:pPr>
        <w:pStyle w:val="ListBullet"/>
        <w:spacing w:after="60"/>
        <w:ind w:left="360"/>
      </w:pPr>
      <w:r>
        <w:rPr>
          <w:color w:val="16261F"/>
          <w:sz w:val="21"/>
        </w:rPr>
        <w:t>Customer self-service portal</w:t>
      </w:r>
      <w:r>
        <w:rPr>
          <w:color w:val="5B6B63"/>
          <w:sz w:val="21"/>
        </w:rPr>
        <w:t xml:space="preserve"> — customers interact only through invoice links</w:t>
      </w:r>
    </w:p>
    <w:p>
      <w:pPr>
        <w:pStyle w:val="ListBullet"/>
        <w:spacing w:after="60"/>
        <w:ind w:left="360"/>
      </w:pPr>
      <w:r>
        <w:rPr>
          <w:color w:val="16261F"/>
          <w:sz w:val="21"/>
        </w:rPr>
        <w:t>Inventory or stock management</w:t>
      </w:r>
      <w:r>
        <w:rPr>
          <w:color w:val="5B6B63"/>
          <w:sz w:val="21"/>
        </w:rPr>
        <w:t xml:space="preserve"> — items are reference data synchronised from Zoho</w:t>
      </w:r>
    </w:p>
    <w:p>
      <w:pPr>
        <w:pStyle w:val="ListBullet"/>
        <w:spacing w:after="60"/>
        <w:ind w:left="360"/>
      </w:pPr>
      <w:r>
        <w:rPr>
          <w:color w:val="16261F"/>
          <w:sz w:val="21"/>
        </w:rPr>
        <w:t>Purchase orders and procurement workflow</w:t>
      </w:r>
      <w:r>
        <w:rPr>
          <w:color w:val="5B6B63"/>
          <w:sz w:val="21"/>
        </w:rPr>
        <w:t xml:space="preserve"> — beyond the Phase 3 vendor and bill records</w:t>
      </w:r>
    </w:p>
    <w:p>
      <w:pPr>
        <w:pStyle w:val="ListBullet"/>
        <w:spacing w:after="60"/>
        <w:ind w:left="360"/>
      </w:pPr>
      <w:r>
        <w:rPr>
          <w:color w:val="16261F"/>
          <w:sz w:val="21"/>
        </w:rPr>
        <w:t>Payroll, expenses and general ledger</w:t>
      </w:r>
      <w:r>
        <w:rPr>
          <w:color w:val="5B6B63"/>
          <w:sz w:val="21"/>
        </w:rPr>
        <w:t xml:space="preserve"> — these remain wholly within Zoho Books</w:t>
      </w:r>
    </w:p>
    <w:p>
      <w:pPr>
        <w:pStyle w:val="ListBullet"/>
        <w:spacing w:after="60"/>
        <w:ind w:left="360"/>
      </w:pPr>
      <w:r>
        <w:rPr>
          <w:color w:val="16261F"/>
          <w:sz w:val="21"/>
        </w:rPr>
        <w:t>Native mobile applications</w:t>
      </w:r>
      <w:r>
        <w:rPr>
          <w:color w:val="5B6B63"/>
          <w:sz w:val="21"/>
        </w:rPr>
        <w:t xml:space="preserve"> — the platform is responsive web only</w:t>
      </w:r>
    </w:p>
    <w:p>
      <w:pPr>
        <w:pStyle w:val="ListBullet"/>
        <w:spacing w:after="60"/>
        <w:ind w:left="360"/>
      </w:pPr>
      <w:r>
        <w:rPr>
          <w:color w:val="16261F"/>
          <w:sz w:val="21"/>
        </w:rPr>
        <w:t>Multi-language and localisation</w:t>
      </w:r>
      <w:r>
        <w:rPr>
          <w:color w:val="5B6B63"/>
          <w:sz w:val="21"/>
        </w:rPr>
        <w:t xml:space="preserve"> — English only across all phases in this specification</w:t>
      </w:r>
    </w:p>
    <w:p>
      <w:pPr>
        <w:pStyle w:val="ListBullet"/>
        <w:spacing w:after="60"/>
        <w:ind w:left="360"/>
      </w:pPr>
      <w:r>
        <w:rPr>
          <w:color w:val="16261F"/>
          <w:sz w:val="21"/>
        </w:rPr>
        <w:t>Dunning escalation beyond email reminders</w:t>
      </w:r>
      <w:r>
        <w:rPr>
          <w:color w:val="5B6B63"/>
          <w:sz w:val="21"/>
        </w:rPr>
        <w:t xml:space="preserve"> — no telephony or postal collection workflow</w:t>
      </w:r>
    </w:p>
    <w:p>
      <w:pPr>
        <w:pStyle w:val="Heading2"/>
      </w:pPr>
      <w:r>
        <w:t>28.3 Open questions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792"/>
            <w:shd w:val="clear" w:color="auto" w:fill="16261F"/>
            <w:tcMar>
              <w:top w:w="70" w:type="dxa"/>
              <w:left w:w="110" w:type="dxa"/>
              <w:bottom w:w="70" w:type="dxa"/>
              <w:right w:w="110" w:type="dxa"/>
            </w:tcMar>
          </w:tcPr>
          <w:p>
            <w:pPr>
              <w:spacing w:after="0"/>
            </w:pPr>
            <w:r>
              <w:rPr>
                <w:rFonts w:ascii="Calibri" w:hAnsi="Calibri"/>
                <w:b/>
                <w:color w:val="FFFFFF"/>
                <w:sz w:val="18"/>
              </w:rPr>
              <w:t>Ref</w:t>
            </w:r>
          </w:p>
        </w:tc>
        <w:tc>
          <w:tcPr>
            <w:tcW w:type="dxa" w:w="4608"/>
            <w:shd w:val="clear" w:color="auto" w:fill="16261F"/>
            <w:tcMar>
              <w:top w:w="70" w:type="dxa"/>
              <w:left w:w="110" w:type="dxa"/>
              <w:bottom w:w="70" w:type="dxa"/>
              <w:right w:w="110" w:type="dxa"/>
            </w:tcMar>
          </w:tcPr>
          <w:p>
            <w:pPr>
              <w:spacing w:after="0"/>
            </w:pPr>
            <w:r>
              <w:rPr>
                <w:rFonts w:ascii="Calibri" w:hAnsi="Calibri"/>
                <w:b/>
                <w:color w:val="FFFFFF"/>
                <w:sz w:val="18"/>
              </w:rPr>
              <w:t>Question</w:t>
            </w:r>
          </w:p>
        </w:tc>
        <w:tc>
          <w:tcPr>
            <w:tcW w:type="dxa" w:w="1584"/>
            <w:shd w:val="clear" w:color="auto" w:fill="16261F"/>
            <w:tcMar>
              <w:top w:w="70" w:type="dxa"/>
              <w:left w:w="110" w:type="dxa"/>
              <w:bottom w:w="70" w:type="dxa"/>
              <w:right w:w="110" w:type="dxa"/>
            </w:tcMar>
          </w:tcPr>
          <w:p>
            <w:pPr>
              <w:spacing w:after="0"/>
            </w:pPr>
            <w:r>
              <w:rPr>
                <w:rFonts w:ascii="Calibri" w:hAnsi="Calibri"/>
                <w:b/>
                <w:color w:val="FFFFFF"/>
                <w:sz w:val="18"/>
              </w:rPr>
              <w:t>Owner</w:t>
            </w:r>
          </w:p>
        </w:tc>
        <w:tc>
          <w:tcPr>
            <w:tcW w:type="dxa" w:w="2376"/>
            <w:shd w:val="clear" w:color="auto" w:fill="16261F"/>
            <w:tcMar>
              <w:top w:w="70" w:type="dxa"/>
              <w:left w:w="110" w:type="dxa"/>
              <w:bottom w:w="70" w:type="dxa"/>
              <w:right w:w="110" w:type="dxa"/>
            </w:tcMar>
          </w:tcPr>
          <w:p>
            <w:pPr>
              <w:spacing w:after="0"/>
            </w:pPr>
            <w:r>
              <w:rPr>
                <w:rFonts w:ascii="Calibri" w:hAnsi="Calibri"/>
                <w:b/>
                <w:color w:val="FFFFFF"/>
                <w:sz w:val="18"/>
              </w:rPr>
              <w:t>Blocks</w:t>
            </w:r>
          </w:p>
        </w:tc>
      </w:tr>
      <w:tr>
        <w:tc>
          <w:tcPr>
            <w:tcW w:type="dxa" w:w="792"/>
            <w:tcMar>
              <w:top w:w="60" w:type="dxa"/>
              <w:left w:w="110" w:type="dxa"/>
              <w:bottom w:w="60" w:type="dxa"/>
              <w:right w:w="110" w:type="dxa"/>
            </w:tcMar>
          </w:tcPr>
          <w:p>
            <w:pPr>
              <w:spacing w:after="0"/>
            </w:pPr>
            <w:r>
              <w:rPr>
                <w:rFonts w:ascii="Consolas" w:hAnsi="Consolas"/>
                <w:b w:val="0"/>
                <w:i w:val="0"/>
                <w:color w:val="16261F"/>
                <w:sz w:val="18"/>
              </w:rPr>
              <w:t>Q-01</w:t>
            </w:r>
          </w:p>
        </w:tc>
        <w:tc>
          <w:tcPr>
            <w:tcW w:type="dxa" w:w="4608"/>
            <w:tcMar>
              <w:top w:w="60" w:type="dxa"/>
              <w:left w:w="110" w:type="dxa"/>
              <w:bottom w:w="60" w:type="dxa"/>
              <w:right w:w="110" w:type="dxa"/>
            </w:tcMar>
          </w:tcPr>
          <w:p>
            <w:pPr>
              <w:spacing w:after="0"/>
            </w:pPr>
            <w:r>
              <w:rPr>
                <w:b w:val="0"/>
                <w:i w:val="0"/>
                <w:color w:val="16261F"/>
                <w:sz w:val="19"/>
              </w:rPr>
              <w:t>Is the card fee absorbed by the merchant or surcharged to the customer? Surcharging is regulated and prohibited in some US states.</w:t>
            </w:r>
          </w:p>
        </w:tc>
        <w:tc>
          <w:tcPr>
            <w:tcW w:type="dxa" w:w="1584"/>
            <w:tcMar>
              <w:top w:w="60" w:type="dxa"/>
              <w:left w:w="110" w:type="dxa"/>
              <w:bottom w:w="60" w:type="dxa"/>
              <w:right w:w="110" w:type="dxa"/>
            </w:tcMar>
          </w:tcPr>
          <w:p>
            <w:pPr>
              <w:spacing w:after="0"/>
            </w:pPr>
            <w:r>
              <w:rPr>
                <w:b w:val="0"/>
                <w:i w:val="0"/>
                <w:color w:val="16261F"/>
                <w:sz w:val="19"/>
              </w:rPr>
              <w:t>Client + legal</w:t>
            </w:r>
          </w:p>
        </w:tc>
        <w:tc>
          <w:tcPr>
            <w:tcW w:type="dxa" w:w="2376"/>
            <w:tcMar>
              <w:top w:w="60" w:type="dxa"/>
              <w:left w:w="110" w:type="dxa"/>
              <w:bottom w:w="60" w:type="dxa"/>
              <w:right w:w="110" w:type="dxa"/>
            </w:tcMar>
          </w:tcPr>
          <w:p>
            <w:pPr>
              <w:spacing w:after="0"/>
            </w:pPr>
            <w:r>
              <w:rPr>
                <w:b w:val="0"/>
                <w:i w:val="0"/>
                <w:color w:val="16261F"/>
                <w:sz w:val="19"/>
              </w:rPr>
              <w:t>FR-TAX-010..015</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8"/>
              </w:rPr>
              <w:t>Q-02</w:t>
            </w:r>
          </w:p>
        </w:tc>
        <w:tc>
          <w:tcPr>
            <w:tcW w:type="dxa" w:w="4608"/>
            <w:tcMar>
              <w:top w:w="60" w:type="dxa"/>
              <w:left w:w="110" w:type="dxa"/>
              <w:bottom w:w="60" w:type="dxa"/>
              <w:right w:w="110" w:type="dxa"/>
            </w:tcMar>
            <w:shd w:val="clear" w:color="auto" w:fill="F5F7F5"/>
          </w:tcPr>
          <w:p>
            <w:pPr>
              <w:spacing w:after="0"/>
            </w:pPr>
            <w:r>
              <w:rPr>
                <w:b w:val="0"/>
                <w:i w:val="0"/>
                <w:color w:val="16261F"/>
                <w:sz w:val="19"/>
              </w:rPr>
              <w:t>Numbers Gateway documentation is not publicly readable. Does it offer hosted card fields or a hosted checkout page? This single answer determines whether the platform stays in PCI DSS SAQ A or escalates to SAQ D.</w:t>
            </w:r>
          </w:p>
        </w:tc>
        <w:tc>
          <w:tcPr>
            <w:tcW w:type="dxa" w:w="1584"/>
            <w:tcMar>
              <w:top w:w="60" w:type="dxa"/>
              <w:left w:w="110" w:type="dxa"/>
              <w:bottom w:w="60" w:type="dxa"/>
              <w:right w:w="110" w:type="dxa"/>
            </w:tcMar>
            <w:shd w:val="clear" w:color="auto" w:fill="F5F7F5"/>
          </w:tcPr>
          <w:p>
            <w:pPr>
              <w:spacing w:after="0"/>
            </w:pPr>
            <w:r>
              <w:rPr>
                <w:b w:val="0"/>
                <w:i w:val="0"/>
                <w:color w:val="16261F"/>
                <w:sz w:val="19"/>
              </w:rPr>
              <w:t>Client + Numbers</w:t>
            </w:r>
          </w:p>
        </w:tc>
        <w:tc>
          <w:tcPr>
            <w:tcW w:type="dxa" w:w="2376"/>
            <w:tcMar>
              <w:top w:w="60" w:type="dxa"/>
              <w:left w:w="110" w:type="dxa"/>
              <w:bottom w:w="60" w:type="dxa"/>
              <w:right w:w="110" w:type="dxa"/>
            </w:tcMar>
            <w:shd w:val="clear" w:color="auto" w:fill="F5F7F5"/>
          </w:tcPr>
          <w:p>
            <w:pPr>
              <w:spacing w:after="0"/>
            </w:pPr>
            <w:r>
              <w:rPr>
                <w:b w:val="0"/>
                <w:i w:val="0"/>
                <w:color w:val="16261F"/>
                <w:sz w:val="19"/>
              </w:rPr>
              <w:t>FR-GTW, A-04, entire security architecture</w:t>
            </w:r>
          </w:p>
        </w:tc>
      </w:tr>
      <w:tr>
        <w:tc>
          <w:tcPr>
            <w:tcW w:type="dxa" w:w="792"/>
            <w:tcMar>
              <w:top w:w="60" w:type="dxa"/>
              <w:left w:w="110" w:type="dxa"/>
              <w:bottom w:w="60" w:type="dxa"/>
              <w:right w:w="110" w:type="dxa"/>
            </w:tcMar>
          </w:tcPr>
          <w:p>
            <w:pPr>
              <w:spacing w:after="0"/>
            </w:pPr>
            <w:r>
              <w:rPr>
                <w:rFonts w:ascii="Consolas" w:hAnsi="Consolas"/>
                <w:b w:val="0"/>
                <w:i w:val="0"/>
                <w:color w:val="16261F"/>
                <w:sz w:val="18"/>
              </w:rPr>
              <w:t>Q-02a</w:t>
            </w:r>
          </w:p>
        </w:tc>
        <w:tc>
          <w:tcPr>
            <w:tcW w:type="dxa" w:w="4608"/>
            <w:tcMar>
              <w:top w:w="60" w:type="dxa"/>
              <w:left w:w="110" w:type="dxa"/>
              <w:bottom w:w="60" w:type="dxa"/>
              <w:right w:w="110" w:type="dxa"/>
            </w:tcMar>
          </w:tcPr>
          <w:p>
            <w:pPr>
              <w:spacing w:after="0"/>
            </w:pPr>
            <w:r>
              <w:rPr>
                <w:b w:val="0"/>
                <w:i w:val="0"/>
                <w:color w:val="16261F"/>
                <w:sz w:val="19"/>
              </w:rPr>
              <w:t>Is a second gateway required at launch, or is Numbers Gateway the sole provider for MVP?</w:t>
            </w:r>
          </w:p>
        </w:tc>
        <w:tc>
          <w:tcPr>
            <w:tcW w:type="dxa" w:w="1584"/>
            <w:tcMar>
              <w:top w:w="60" w:type="dxa"/>
              <w:left w:w="110" w:type="dxa"/>
              <w:bottom w:w="60" w:type="dxa"/>
              <w:right w:w="110" w:type="dxa"/>
            </w:tcMar>
          </w:tcPr>
          <w:p>
            <w:pPr>
              <w:spacing w:after="0"/>
            </w:pPr>
            <w:r>
              <w:rPr>
                <w:b w:val="0"/>
                <w:i w:val="0"/>
                <w:color w:val="16261F"/>
                <w:sz w:val="19"/>
              </w:rPr>
              <w:t>Client</w:t>
            </w:r>
          </w:p>
        </w:tc>
        <w:tc>
          <w:tcPr>
            <w:tcW w:type="dxa" w:w="2376"/>
            <w:tcMar>
              <w:top w:w="60" w:type="dxa"/>
              <w:left w:w="110" w:type="dxa"/>
              <w:bottom w:w="60" w:type="dxa"/>
              <w:right w:w="110" w:type="dxa"/>
            </w:tcMar>
          </w:tcPr>
          <w:p>
            <w:pPr>
              <w:spacing w:after="0"/>
            </w:pPr>
            <w:r>
              <w:rPr>
                <w:b w:val="0"/>
                <w:i w:val="0"/>
                <w:color w:val="16261F"/>
                <w:sz w:val="19"/>
              </w:rPr>
              <w:t>FR-GTW-001a, integration estimate</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8"/>
              </w:rPr>
              <w:t>Q-03</w:t>
            </w:r>
          </w:p>
        </w:tc>
        <w:tc>
          <w:tcPr>
            <w:tcW w:type="dxa" w:w="4608"/>
            <w:tcMar>
              <w:top w:w="60" w:type="dxa"/>
              <w:left w:w="110" w:type="dxa"/>
              <w:bottom w:w="60" w:type="dxa"/>
              <w:right w:w="110" w:type="dxa"/>
            </w:tcMar>
            <w:shd w:val="clear" w:color="auto" w:fill="F5F7F5"/>
          </w:tcPr>
          <w:p>
            <w:pPr>
              <w:spacing w:after="0"/>
            </w:pPr>
            <w:r>
              <w:rPr>
                <w:b w:val="0"/>
                <w:i w:val="0"/>
                <w:color w:val="16261F"/>
                <w:sz w:val="19"/>
              </w:rPr>
              <w:t>On a Zoho conflict, which side wins by default?</w:t>
            </w:r>
          </w:p>
        </w:tc>
        <w:tc>
          <w:tcPr>
            <w:tcW w:type="dxa" w:w="1584"/>
            <w:tcMar>
              <w:top w:w="60" w:type="dxa"/>
              <w:left w:w="110" w:type="dxa"/>
              <w:bottom w:w="60" w:type="dxa"/>
              <w:right w:w="110" w:type="dxa"/>
            </w:tcMar>
            <w:shd w:val="clear" w:color="auto" w:fill="F5F7F5"/>
          </w:tcPr>
          <w:p>
            <w:pPr>
              <w:spacing w:after="0"/>
            </w:pPr>
            <w:r>
              <w:rPr>
                <w:b w:val="0"/>
                <w:i w:val="0"/>
                <w:color w:val="16261F"/>
                <w:sz w:val="19"/>
              </w:rPr>
              <w:t>Client finance</w:t>
            </w:r>
          </w:p>
        </w:tc>
        <w:tc>
          <w:tcPr>
            <w:tcW w:type="dxa" w:w="2376"/>
            <w:tcMar>
              <w:top w:w="60" w:type="dxa"/>
              <w:left w:w="110" w:type="dxa"/>
              <w:bottom w:w="60" w:type="dxa"/>
              <w:right w:w="110" w:type="dxa"/>
            </w:tcMar>
            <w:shd w:val="clear" w:color="auto" w:fill="F5F7F5"/>
          </w:tcPr>
          <w:p>
            <w:pPr>
              <w:spacing w:after="0"/>
            </w:pPr>
            <w:r>
              <w:rPr>
                <w:b w:val="0"/>
                <w:i w:val="0"/>
                <w:color w:val="16261F"/>
                <w:sz w:val="19"/>
              </w:rPr>
              <w:t>FR-SYN-007</w:t>
            </w:r>
          </w:p>
        </w:tc>
      </w:tr>
      <w:tr>
        <w:tc>
          <w:tcPr>
            <w:tcW w:type="dxa" w:w="792"/>
            <w:tcMar>
              <w:top w:w="60" w:type="dxa"/>
              <w:left w:w="110" w:type="dxa"/>
              <w:bottom w:w="60" w:type="dxa"/>
              <w:right w:w="110" w:type="dxa"/>
            </w:tcMar>
          </w:tcPr>
          <w:p>
            <w:pPr>
              <w:spacing w:after="0"/>
            </w:pPr>
            <w:r>
              <w:rPr>
                <w:rFonts w:ascii="Consolas" w:hAnsi="Consolas"/>
                <w:b w:val="0"/>
                <w:i w:val="0"/>
                <w:color w:val="16261F"/>
                <w:sz w:val="18"/>
              </w:rPr>
              <w:t>Q-04</w:t>
            </w:r>
          </w:p>
        </w:tc>
        <w:tc>
          <w:tcPr>
            <w:tcW w:type="dxa" w:w="4608"/>
            <w:tcMar>
              <w:top w:w="60" w:type="dxa"/>
              <w:left w:w="110" w:type="dxa"/>
              <w:bottom w:w="60" w:type="dxa"/>
              <w:right w:w="110" w:type="dxa"/>
            </w:tcMar>
          </w:tcPr>
          <w:p>
            <w:pPr>
              <w:spacing w:after="0"/>
            </w:pPr>
            <w:r>
              <w:rPr>
                <w:b w:val="0"/>
                <w:i w:val="0"/>
                <w:color w:val="16261F"/>
                <w:sz w:val="19"/>
              </w:rPr>
              <w:t>Is partial payment permitted at MVP, or is full settlement required?</w:t>
            </w:r>
          </w:p>
        </w:tc>
        <w:tc>
          <w:tcPr>
            <w:tcW w:type="dxa" w:w="1584"/>
            <w:tcMar>
              <w:top w:w="60" w:type="dxa"/>
              <w:left w:w="110" w:type="dxa"/>
              <w:bottom w:w="60" w:type="dxa"/>
              <w:right w:w="110" w:type="dxa"/>
            </w:tcMar>
          </w:tcPr>
          <w:p>
            <w:pPr>
              <w:spacing w:after="0"/>
            </w:pPr>
            <w:r>
              <w:rPr>
                <w:b w:val="0"/>
                <w:i w:val="0"/>
                <w:color w:val="16261F"/>
                <w:sz w:val="19"/>
              </w:rPr>
              <w:t>Client</w:t>
            </w:r>
          </w:p>
        </w:tc>
        <w:tc>
          <w:tcPr>
            <w:tcW w:type="dxa" w:w="2376"/>
            <w:tcMar>
              <w:top w:w="60" w:type="dxa"/>
              <w:left w:w="110" w:type="dxa"/>
              <w:bottom w:w="60" w:type="dxa"/>
              <w:right w:w="110" w:type="dxa"/>
            </w:tcMar>
          </w:tcPr>
          <w:p>
            <w:pPr>
              <w:spacing w:after="0"/>
            </w:pPr>
            <w:r>
              <w:rPr>
                <w:b w:val="0"/>
                <w:i w:val="0"/>
                <w:color w:val="16261F"/>
                <w:sz w:val="19"/>
              </w:rPr>
              <w:t>FR-PAY-016, FR-INV-016</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8"/>
              </w:rPr>
              <w:t>Q-05</w:t>
            </w:r>
          </w:p>
        </w:tc>
        <w:tc>
          <w:tcPr>
            <w:tcW w:type="dxa" w:w="4608"/>
            <w:tcMar>
              <w:top w:w="60" w:type="dxa"/>
              <w:left w:w="110" w:type="dxa"/>
              <w:bottom w:w="60" w:type="dxa"/>
              <w:right w:w="110" w:type="dxa"/>
            </w:tcMar>
            <w:shd w:val="clear" w:color="auto" w:fill="F5F7F5"/>
          </w:tcPr>
          <w:p>
            <w:pPr>
              <w:spacing w:after="0"/>
            </w:pPr>
            <w:r>
              <w:rPr>
                <w:b w:val="0"/>
                <w:i w:val="0"/>
                <w:color w:val="16261F"/>
                <w:sz w:val="19"/>
              </w:rPr>
              <w:t>What is the expected invoice volume per month at launch and at twelve months?</w:t>
            </w:r>
          </w:p>
        </w:tc>
        <w:tc>
          <w:tcPr>
            <w:tcW w:type="dxa" w:w="1584"/>
            <w:tcMar>
              <w:top w:w="60" w:type="dxa"/>
              <w:left w:w="110" w:type="dxa"/>
              <w:bottom w:w="60" w:type="dxa"/>
              <w:right w:w="110" w:type="dxa"/>
            </w:tcMar>
            <w:shd w:val="clear" w:color="auto" w:fill="F5F7F5"/>
          </w:tcPr>
          <w:p>
            <w:pPr>
              <w:spacing w:after="0"/>
            </w:pPr>
            <w:r>
              <w:rPr>
                <w:b w:val="0"/>
                <w:i w:val="0"/>
                <w:color w:val="16261F"/>
                <w:sz w:val="19"/>
              </w:rPr>
              <w:t>Client</w:t>
            </w:r>
          </w:p>
        </w:tc>
        <w:tc>
          <w:tcPr>
            <w:tcW w:type="dxa" w:w="2376"/>
            <w:tcMar>
              <w:top w:w="60" w:type="dxa"/>
              <w:left w:w="110" w:type="dxa"/>
              <w:bottom w:w="60" w:type="dxa"/>
              <w:right w:w="110" w:type="dxa"/>
            </w:tcMar>
            <w:shd w:val="clear" w:color="auto" w:fill="F5F7F5"/>
          </w:tcPr>
          <w:p>
            <w:pPr>
              <w:spacing w:after="0"/>
            </w:pPr>
            <w:r>
              <w:rPr>
                <w:b w:val="0"/>
                <w:i w:val="0"/>
                <w:color w:val="16261F"/>
                <w:sz w:val="19"/>
              </w:rPr>
              <w:t>NFR capacity targets</w:t>
            </w:r>
          </w:p>
        </w:tc>
      </w:tr>
      <w:tr>
        <w:tc>
          <w:tcPr>
            <w:tcW w:type="dxa" w:w="792"/>
            <w:tcMar>
              <w:top w:w="60" w:type="dxa"/>
              <w:left w:w="110" w:type="dxa"/>
              <w:bottom w:w="60" w:type="dxa"/>
              <w:right w:w="110" w:type="dxa"/>
            </w:tcMar>
          </w:tcPr>
          <w:p>
            <w:pPr>
              <w:spacing w:after="0"/>
            </w:pPr>
            <w:r>
              <w:rPr>
                <w:rFonts w:ascii="Consolas" w:hAnsi="Consolas"/>
                <w:b w:val="0"/>
                <w:i w:val="0"/>
                <w:color w:val="16261F"/>
                <w:sz w:val="18"/>
              </w:rPr>
              <w:t>Q-06</w:t>
            </w:r>
          </w:p>
        </w:tc>
        <w:tc>
          <w:tcPr>
            <w:tcW w:type="dxa" w:w="4608"/>
            <w:tcMar>
              <w:top w:w="60" w:type="dxa"/>
              <w:left w:w="110" w:type="dxa"/>
              <w:bottom w:w="60" w:type="dxa"/>
              <w:right w:w="110" w:type="dxa"/>
            </w:tcMar>
          </w:tcPr>
          <w:p>
            <w:pPr>
              <w:spacing w:after="0"/>
            </w:pPr>
            <w:r>
              <w:rPr>
                <w:b w:val="0"/>
                <w:i w:val="0"/>
                <w:color w:val="16261F"/>
                <w:sz w:val="19"/>
              </w:rPr>
              <w:t>Is Phase 3 accounts payable a committed roadmap item or exploratory?</w:t>
            </w:r>
          </w:p>
        </w:tc>
        <w:tc>
          <w:tcPr>
            <w:tcW w:type="dxa" w:w="1584"/>
            <w:tcMar>
              <w:top w:w="60" w:type="dxa"/>
              <w:left w:w="110" w:type="dxa"/>
              <w:bottom w:w="60" w:type="dxa"/>
              <w:right w:w="110" w:type="dxa"/>
            </w:tcMar>
          </w:tcPr>
          <w:p>
            <w:pPr>
              <w:spacing w:after="0"/>
            </w:pPr>
            <w:r>
              <w:rPr>
                <w:b w:val="0"/>
                <w:i w:val="0"/>
                <w:color w:val="16261F"/>
                <w:sz w:val="19"/>
              </w:rPr>
              <w:t>Client</w:t>
            </w:r>
          </w:p>
        </w:tc>
        <w:tc>
          <w:tcPr>
            <w:tcW w:type="dxa" w:w="2376"/>
            <w:tcMar>
              <w:top w:w="60" w:type="dxa"/>
              <w:left w:w="110" w:type="dxa"/>
              <w:bottom w:w="60" w:type="dxa"/>
              <w:right w:w="110" w:type="dxa"/>
            </w:tcMar>
          </w:tcPr>
          <w:p>
            <w:pPr>
              <w:spacing w:after="0"/>
            </w:pPr>
            <w:r>
              <w:rPr>
                <w:b w:val="0"/>
                <w:i w:val="0"/>
                <w:color w:val="16261F"/>
                <w:sz w:val="19"/>
              </w:rPr>
              <w:t>Data model decisions taken at MVP</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8"/>
              </w:rPr>
              <w:t>Q-07</w:t>
            </w:r>
          </w:p>
        </w:tc>
        <w:tc>
          <w:tcPr>
            <w:tcW w:type="dxa" w:w="4608"/>
            <w:tcMar>
              <w:top w:w="60" w:type="dxa"/>
              <w:left w:w="110" w:type="dxa"/>
              <w:bottom w:w="60" w:type="dxa"/>
              <w:right w:w="110" w:type="dxa"/>
            </w:tcMar>
            <w:shd w:val="clear" w:color="auto" w:fill="F5F7F5"/>
          </w:tcPr>
          <w:p>
            <w:pPr>
              <w:spacing w:after="0"/>
            </w:pPr>
            <w:r>
              <w:rPr>
                <w:b w:val="0"/>
                <w:i w:val="0"/>
                <w:color w:val="16261F"/>
                <w:sz w:val="19"/>
              </w:rPr>
              <w:t>Which brands require a custom domain at launch, if any?</w:t>
            </w:r>
          </w:p>
        </w:tc>
        <w:tc>
          <w:tcPr>
            <w:tcW w:type="dxa" w:w="1584"/>
            <w:tcMar>
              <w:top w:w="60" w:type="dxa"/>
              <w:left w:w="110" w:type="dxa"/>
              <w:bottom w:w="60" w:type="dxa"/>
              <w:right w:w="110" w:type="dxa"/>
            </w:tcMar>
            <w:shd w:val="clear" w:color="auto" w:fill="F5F7F5"/>
          </w:tcPr>
          <w:p>
            <w:pPr>
              <w:spacing w:after="0"/>
            </w:pPr>
            <w:r>
              <w:rPr>
                <w:b w:val="0"/>
                <w:i w:val="0"/>
                <w:color w:val="16261F"/>
                <w:sz w:val="19"/>
              </w:rPr>
              <w:t>Client</w:t>
            </w:r>
          </w:p>
        </w:tc>
        <w:tc>
          <w:tcPr>
            <w:tcW w:type="dxa" w:w="2376"/>
            <w:tcMar>
              <w:top w:w="60" w:type="dxa"/>
              <w:left w:w="110" w:type="dxa"/>
              <w:bottom w:w="60" w:type="dxa"/>
              <w:right w:w="110" w:type="dxa"/>
            </w:tcMar>
            <w:shd w:val="clear" w:color="auto" w:fill="F5F7F5"/>
          </w:tcPr>
          <w:p>
            <w:pPr>
              <w:spacing w:after="0"/>
            </w:pPr>
            <w:r>
              <w:rPr>
                <w:b w:val="0"/>
                <w:i w:val="0"/>
                <w:color w:val="16261F"/>
                <w:sz w:val="19"/>
              </w:rPr>
              <w:t>FR-DOM scope and infrastructure</w:t>
            </w:r>
          </w:p>
        </w:tc>
      </w:tr>
      <w:tr>
        <w:tc>
          <w:tcPr>
            <w:tcW w:type="dxa" w:w="792"/>
            <w:tcMar>
              <w:top w:w="60" w:type="dxa"/>
              <w:left w:w="110" w:type="dxa"/>
              <w:bottom w:w="60" w:type="dxa"/>
              <w:right w:w="110" w:type="dxa"/>
            </w:tcMar>
          </w:tcPr>
          <w:p>
            <w:pPr>
              <w:spacing w:after="0"/>
            </w:pPr>
            <w:r>
              <w:rPr>
                <w:rFonts w:ascii="Consolas" w:hAnsi="Consolas"/>
                <w:b w:val="0"/>
                <w:i w:val="0"/>
                <w:color w:val="16261F"/>
                <w:sz w:val="18"/>
              </w:rPr>
              <w:t>Q-08</w:t>
            </w:r>
          </w:p>
        </w:tc>
        <w:tc>
          <w:tcPr>
            <w:tcW w:type="dxa" w:w="4608"/>
            <w:tcMar>
              <w:top w:w="60" w:type="dxa"/>
              <w:left w:w="110" w:type="dxa"/>
              <w:bottom w:w="60" w:type="dxa"/>
              <w:right w:w="110" w:type="dxa"/>
            </w:tcMar>
          </w:tcPr>
          <w:p>
            <w:pPr>
              <w:spacing w:after="0"/>
            </w:pPr>
            <w:r>
              <w:rPr>
                <w:b w:val="0"/>
                <w:i w:val="0"/>
                <w:color w:val="16261F"/>
                <w:sz w:val="19"/>
              </w:rPr>
              <w:t>Is a formal PCI attestation required by the acquirer, and at what SAQ level?</w:t>
            </w:r>
          </w:p>
        </w:tc>
        <w:tc>
          <w:tcPr>
            <w:tcW w:type="dxa" w:w="1584"/>
            <w:tcMar>
              <w:top w:w="60" w:type="dxa"/>
              <w:left w:w="110" w:type="dxa"/>
              <w:bottom w:w="60" w:type="dxa"/>
              <w:right w:w="110" w:type="dxa"/>
            </w:tcMar>
          </w:tcPr>
          <w:p>
            <w:pPr>
              <w:spacing w:after="0"/>
            </w:pPr>
            <w:r>
              <w:rPr>
                <w:b w:val="0"/>
                <w:i w:val="0"/>
                <w:color w:val="16261F"/>
                <w:sz w:val="19"/>
              </w:rPr>
              <w:t>Client + acquirer</w:t>
            </w:r>
          </w:p>
        </w:tc>
        <w:tc>
          <w:tcPr>
            <w:tcW w:type="dxa" w:w="2376"/>
            <w:tcMar>
              <w:top w:w="60" w:type="dxa"/>
              <w:left w:w="110" w:type="dxa"/>
              <w:bottom w:w="60" w:type="dxa"/>
              <w:right w:w="110" w:type="dxa"/>
            </w:tcMar>
          </w:tcPr>
          <w:p>
            <w:pPr>
              <w:spacing w:after="0"/>
            </w:pPr>
            <w:r>
              <w:rPr>
                <w:b w:val="0"/>
                <w:i w:val="0"/>
                <w:color w:val="16261F"/>
                <w:sz w:val="19"/>
              </w:rPr>
              <w:t>Security architecture, audit budget</w:t>
            </w:r>
          </w:p>
        </w:tc>
      </w:tr>
    </w:tbl>
    <w:p>
      <w:pPr>
        <w:pStyle w:val="Heading2"/>
      </w:pPr>
      <w:r>
        <w:t>28.4 External dependencies</w:t>
      </w:r>
    </w:p>
    <w:p>
      <w:pPr>
        <w:spacing w:after="140"/>
      </w:pPr>
      <w:r>
        <w:rPr>
          <w:b w:val="0"/>
          <w:i w:val="0"/>
          <w:color w:val="16261F"/>
          <w:sz w:val="21"/>
        </w:rPr>
        <w:t>Items outside the delivery team's control that gate specification or build. Each carries a date by which it must be resolved to avoid schedule impact.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872"/>
        <w:gridCol w:w="1872"/>
        <w:gridCol w:w="1872"/>
        <w:gridCol w:w="1872"/>
        <w:gridCol w:w="1872"/>
      </w:tblGrid>
      <w:tr>
        <w:trPr>
          <w:tblHeader w:val="true"/>
        </w:trPr>
        <w:tc>
          <w:tcPr>
            <w:tcW w:type="dxa" w:w="792"/>
            <w:shd w:val="clear" w:color="auto" w:fill="16261F"/>
            <w:tcMar>
              <w:top w:w="70" w:type="dxa"/>
              <w:left w:w="110" w:type="dxa"/>
              <w:bottom w:w="70" w:type="dxa"/>
              <w:right w:w="110" w:type="dxa"/>
            </w:tcMar>
          </w:tcPr>
          <w:p>
            <w:pPr>
              <w:spacing w:after="0"/>
            </w:pPr>
            <w:r>
              <w:rPr>
                <w:rFonts w:ascii="Calibri" w:hAnsi="Calibri"/>
                <w:b/>
                <w:color w:val="FFFFFF"/>
                <w:sz w:val="16"/>
              </w:rPr>
              <w:t>Ref</w:t>
            </w:r>
          </w:p>
        </w:tc>
        <w:tc>
          <w:tcPr>
            <w:tcW w:type="dxa" w:w="2736"/>
            <w:shd w:val="clear" w:color="auto" w:fill="16261F"/>
            <w:tcMar>
              <w:top w:w="70" w:type="dxa"/>
              <w:left w:w="110" w:type="dxa"/>
              <w:bottom w:w="70" w:type="dxa"/>
              <w:right w:w="110" w:type="dxa"/>
            </w:tcMar>
          </w:tcPr>
          <w:p>
            <w:pPr>
              <w:spacing w:after="0"/>
            </w:pPr>
            <w:r>
              <w:rPr>
                <w:rFonts w:ascii="Calibri" w:hAnsi="Calibri"/>
                <w:b/>
                <w:color w:val="FFFFFF"/>
                <w:sz w:val="16"/>
              </w:rPr>
              <w:t>Dependency</w:t>
            </w:r>
          </w:p>
        </w:tc>
        <w:tc>
          <w:tcPr>
            <w:tcW w:type="dxa" w:w="1512"/>
            <w:shd w:val="clear" w:color="auto" w:fill="16261F"/>
            <w:tcMar>
              <w:top w:w="70" w:type="dxa"/>
              <w:left w:w="110" w:type="dxa"/>
              <w:bottom w:w="70" w:type="dxa"/>
              <w:right w:w="110" w:type="dxa"/>
            </w:tcMar>
          </w:tcPr>
          <w:p>
            <w:pPr>
              <w:spacing w:after="0"/>
            </w:pPr>
            <w:r>
              <w:rPr>
                <w:rFonts w:ascii="Calibri" w:hAnsi="Calibri"/>
                <w:b/>
                <w:color w:val="FFFFFF"/>
                <w:sz w:val="16"/>
              </w:rPr>
              <w:t>Needed from</w:t>
            </w:r>
          </w:p>
        </w:tc>
        <w:tc>
          <w:tcPr>
            <w:tcW w:type="dxa" w:w="2232"/>
            <w:shd w:val="clear" w:color="auto" w:fill="16261F"/>
            <w:tcMar>
              <w:top w:w="70" w:type="dxa"/>
              <w:left w:w="110" w:type="dxa"/>
              <w:bottom w:w="70" w:type="dxa"/>
              <w:right w:w="110" w:type="dxa"/>
            </w:tcMar>
          </w:tcPr>
          <w:p>
            <w:pPr>
              <w:spacing w:after="0"/>
            </w:pPr>
            <w:r>
              <w:rPr>
                <w:rFonts w:ascii="Calibri" w:hAnsi="Calibri"/>
                <w:b/>
                <w:color w:val="FFFFFF"/>
                <w:sz w:val="16"/>
              </w:rPr>
              <w:t>Gates</w:t>
            </w:r>
          </w:p>
        </w:tc>
        <w:tc>
          <w:tcPr>
            <w:tcW w:type="dxa" w:w="936"/>
            <w:shd w:val="clear" w:color="auto" w:fill="16261F"/>
            <w:tcMar>
              <w:top w:w="70" w:type="dxa"/>
              <w:left w:w="110" w:type="dxa"/>
              <w:bottom w:w="70" w:type="dxa"/>
              <w:right w:w="110" w:type="dxa"/>
            </w:tcMar>
          </w:tcPr>
          <w:p>
            <w:pPr>
              <w:spacing w:after="0"/>
            </w:pPr>
            <w:r>
              <w:rPr>
                <w:rFonts w:ascii="Calibri" w:hAnsi="Calibri"/>
                <w:b/>
                <w:color w:val="FFFFFF"/>
                <w:sz w:val="16"/>
              </w:rPr>
              <w:t>Risk if late</w:t>
            </w:r>
          </w:p>
        </w:tc>
      </w:tr>
      <w:tr>
        <w:tc>
          <w:tcPr>
            <w:tcW w:type="dxa" w:w="792"/>
            <w:tcMar>
              <w:top w:w="60" w:type="dxa"/>
              <w:left w:w="110" w:type="dxa"/>
              <w:bottom w:w="60" w:type="dxa"/>
              <w:right w:w="110" w:type="dxa"/>
            </w:tcMar>
          </w:tcPr>
          <w:p>
            <w:pPr>
              <w:spacing w:after="0"/>
            </w:pPr>
            <w:r>
              <w:rPr>
                <w:rFonts w:ascii="Consolas" w:hAnsi="Consolas"/>
                <w:b w:val="0"/>
                <w:i w:val="0"/>
                <w:color w:val="16261F"/>
                <w:sz w:val="16"/>
              </w:rPr>
              <w:t>DEP-01</w:t>
            </w:r>
          </w:p>
        </w:tc>
        <w:tc>
          <w:tcPr>
            <w:tcW w:type="dxa" w:w="2736"/>
            <w:tcMar>
              <w:top w:w="60" w:type="dxa"/>
              <w:left w:w="110" w:type="dxa"/>
              <w:bottom w:w="60" w:type="dxa"/>
              <w:right w:w="110" w:type="dxa"/>
            </w:tcMar>
          </w:tcPr>
          <w:p>
            <w:pPr>
              <w:spacing w:after="0"/>
            </w:pPr>
            <w:r>
              <w:rPr>
                <w:b w:val="0"/>
                <w:i w:val="0"/>
                <w:color w:val="16261F"/>
                <w:sz w:val="17"/>
              </w:rPr>
              <w:t>Numbers Gateway API documentation, sandbox credentials and confirmation of hosted card field support.</w:t>
            </w:r>
          </w:p>
        </w:tc>
        <w:tc>
          <w:tcPr>
            <w:tcW w:type="dxa" w:w="1512"/>
            <w:tcMar>
              <w:top w:w="60" w:type="dxa"/>
              <w:left w:w="110" w:type="dxa"/>
              <w:bottom w:w="60" w:type="dxa"/>
              <w:right w:w="110" w:type="dxa"/>
            </w:tcMar>
          </w:tcPr>
          <w:p>
            <w:pPr>
              <w:spacing w:after="0"/>
            </w:pPr>
            <w:r>
              <w:rPr>
                <w:b w:val="0"/>
                <w:i w:val="0"/>
                <w:color w:val="16261F"/>
                <w:sz w:val="17"/>
              </w:rPr>
              <w:t>Client / Numbers Gateway</w:t>
            </w:r>
          </w:p>
        </w:tc>
        <w:tc>
          <w:tcPr>
            <w:tcW w:type="dxa" w:w="2232"/>
            <w:tcMar>
              <w:top w:w="60" w:type="dxa"/>
              <w:left w:w="110" w:type="dxa"/>
              <w:bottom w:w="60" w:type="dxa"/>
              <w:right w:w="110" w:type="dxa"/>
            </w:tcMar>
          </w:tcPr>
          <w:p>
            <w:pPr>
              <w:spacing w:after="0"/>
            </w:pPr>
            <w:r>
              <w:rPr>
                <w:b w:val="0"/>
                <w:i w:val="0"/>
                <w:color w:val="16261F"/>
                <w:sz w:val="17"/>
              </w:rPr>
              <w:t>FR-GTW module, security architecture, PCI scope determination</w:t>
            </w:r>
          </w:p>
        </w:tc>
        <w:tc>
          <w:tcPr>
            <w:tcW w:type="dxa" w:w="936"/>
            <w:tcMar>
              <w:top w:w="60" w:type="dxa"/>
              <w:left w:w="110" w:type="dxa"/>
              <w:bottom w:w="60" w:type="dxa"/>
              <w:right w:w="110" w:type="dxa"/>
            </w:tcMar>
          </w:tcPr>
          <w:p>
            <w:pPr>
              <w:spacing w:after="0"/>
            </w:pPr>
            <w:r>
              <w:rPr>
                <w:b/>
                <w:i w:val="0"/>
                <w:color w:val="C0473D"/>
                <w:sz w:val="17"/>
              </w:rPr>
              <w:t>Critical</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6"/>
              </w:rPr>
              <w:t>DEP-02</w:t>
            </w:r>
          </w:p>
        </w:tc>
        <w:tc>
          <w:tcPr>
            <w:tcW w:type="dxa" w:w="2736"/>
            <w:tcMar>
              <w:top w:w="60" w:type="dxa"/>
              <w:left w:w="110" w:type="dxa"/>
              <w:bottom w:w="60" w:type="dxa"/>
              <w:right w:w="110" w:type="dxa"/>
            </w:tcMar>
            <w:shd w:val="clear" w:color="auto" w:fill="F5F7F5"/>
          </w:tcPr>
          <w:p>
            <w:pPr>
              <w:spacing w:after="0"/>
            </w:pPr>
            <w:r>
              <w:rPr>
                <w:b w:val="0"/>
                <w:i w:val="0"/>
                <w:color w:val="16261F"/>
                <w:sz w:val="17"/>
              </w:rPr>
              <w:t>Zoho Books API credentials and a sandbox organisation per brand.</w:t>
            </w:r>
          </w:p>
        </w:tc>
        <w:tc>
          <w:tcPr>
            <w:tcW w:type="dxa" w:w="1512"/>
            <w:tcMar>
              <w:top w:w="60" w:type="dxa"/>
              <w:left w:w="110" w:type="dxa"/>
              <w:bottom w:w="60" w:type="dxa"/>
              <w:right w:w="110" w:type="dxa"/>
            </w:tcMar>
            <w:shd w:val="clear" w:color="auto" w:fill="F5F7F5"/>
          </w:tcPr>
          <w:p>
            <w:pPr>
              <w:spacing w:after="0"/>
            </w:pPr>
            <w:r>
              <w:rPr>
                <w:b w:val="0"/>
                <w:i w:val="0"/>
                <w:color w:val="16261F"/>
                <w:sz w:val="17"/>
              </w:rPr>
              <w:t>Client</w:t>
            </w:r>
          </w:p>
        </w:tc>
        <w:tc>
          <w:tcPr>
            <w:tcW w:type="dxa" w:w="2232"/>
            <w:tcMar>
              <w:top w:w="60" w:type="dxa"/>
              <w:left w:w="110" w:type="dxa"/>
              <w:bottom w:w="60" w:type="dxa"/>
              <w:right w:w="110" w:type="dxa"/>
            </w:tcMar>
            <w:shd w:val="clear" w:color="auto" w:fill="F5F7F5"/>
          </w:tcPr>
          <w:p>
            <w:pPr>
              <w:spacing w:after="0"/>
            </w:pPr>
            <w:r>
              <w:rPr>
                <w:b w:val="0"/>
                <w:i w:val="0"/>
                <w:color w:val="16261F"/>
                <w:sz w:val="17"/>
              </w:rPr>
              <w:t>FR-ZHO, FR-SYN, integration testing</w:t>
            </w:r>
          </w:p>
        </w:tc>
        <w:tc>
          <w:tcPr>
            <w:tcW w:type="dxa" w:w="936"/>
            <w:tcMar>
              <w:top w:w="60" w:type="dxa"/>
              <w:left w:w="110" w:type="dxa"/>
              <w:bottom w:w="60" w:type="dxa"/>
              <w:right w:w="110" w:type="dxa"/>
            </w:tcMar>
            <w:shd w:val="clear" w:color="auto" w:fill="F5F7F5"/>
          </w:tcPr>
          <w:p>
            <w:pPr>
              <w:spacing w:after="0"/>
            </w:pPr>
            <w:r>
              <w:rPr>
                <w:b/>
                <w:i w:val="0"/>
                <w:color w:val="C0473D"/>
                <w:sz w:val="17"/>
              </w:rPr>
              <w:t>High</w:t>
            </w:r>
          </w:p>
        </w:tc>
      </w:tr>
      <w:tr>
        <w:tc>
          <w:tcPr>
            <w:tcW w:type="dxa" w:w="792"/>
            <w:tcMar>
              <w:top w:w="60" w:type="dxa"/>
              <w:left w:w="110" w:type="dxa"/>
              <w:bottom w:w="60" w:type="dxa"/>
              <w:right w:w="110" w:type="dxa"/>
            </w:tcMar>
          </w:tcPr>
          <w:p>
            <w:pPr>
              <w:spacing w:after="0"/>
            </w:pPr>
            <w:r>
              <w:rPr>
                <w:rFonts w:ascii="Consolas" w:hAnsi="Consolas"/>
                <w:b w:val="0"/>
                <w:i w:val="0"/>
                <w:color w:val="16261F"/>
                <w:sz w:val="16"/>
              </w:rPr>
              <w:t>DEP-03</w:t>
            </w:r>
          </w:p>
        </w:tc>
        <w:tc>
          <w:tcPr>
            <w:tcW w:type="dxa" w:w="2736"/>
            <w:tcMar>
              <w:top w:w="60" w:type="dxa"/>
              <w:left w:w="110" w:type="dxa"/>
              <w:bottom w:w="60" w:type="dxa"/>
              <w:right w:w="110" w:type="dxa"/>
            </w:tcMar>
          </w:tcPr>
          <w:p>
            <w:pPr>
              <w:spacing w:after="0"/>
            </w:pPr>
            <w:r>
              <w:rPr>
                <w:b w:val="0"/>
                <w:i w:val="0"/>
                <w:color w:val="16261F"/>
                <w:sz w:val="17"/>
              </w:rPr>
              <w:t>Confirmation of acquirer and required PCI SAQ level.</w:t>
            </w:r>
          </w:p>
        </w:tc>
        <w:tc>
          <w:tcPr>
            <w:tcW w:type="dxa" w:w="1512"/>
            <w:tcMar>
              <w:top w:w="60" w:type="dxa"/>
              <w:left w:w="110" w:type="dxa"/>
              <w:bottom w:w="60" w:type="dxa"/>
              <w:right w:w="110" w:type="dxa"/>
            </w:tcMar>
          </w:tcPr>
          <w:p>
            <w:pPr>
              <w:spacing w:after="0"/>
            </w:pPr>
            <w:r>
              <w:rPr>
                <w:b w:val="0"/>
                <w:i w:val="0"/>
                <w:color w:val="16261F"/>
                <w:sz w:val="17"/>
              </w:rPr>
              <w:t>Client / acquiring bank</w:t>
            </w:r>
          </w:p>
        </w:tc>
        <w:tc>
          <w:tcPr>
            <w:tcW w:type="dxa" w:w="2232"/>
            <w:tcMar>
              <w:top w:w="60" w:type="dxa"/>
              <w:left w:w="110" w:type="dxa"/>
              <w:bottom w:w="60" w:type="dxa"/>
              <w:right w:w="110" w:type="dxa"/>
            </w:tcMar>
          </w:tcPr>
          <w:p>
            <w:pPr>
              <w:spacing w:after="0"/>
            </w:pPr>
            <w:r>
              <w:rPr>
                <w:b w:val="0"/>
                <w:i w:val="0"/>
                <w:color w:val="16261F"/>
                <w:sz w:val="17"/>
              </w:rPr>
              <w:t>Security architecture, audit budget, go-live</w:t>
            </w:r>
          </w:p>
        </w:tc>
        <w:tc>
          <w:tcPr>
            <w:tcW w:type="dxa" w:w="936"/>
            <w:tcMar>
              <w:top w:w="60" w:type="dxa"/>
              <w:left w:w="110" w:type="dxa"/>
              <w:bottom w:w="60" w:type="dxa"/>
              <w:right w:w="110" w:type="dxa"/>
            </w:tcMar>
          </w:tcPr>
          <w:p>
            <w:pPr>
              <w:spacing w:after="0"/>
            </w:pPr>
            <w:r>
              <w:rPr>
                <w:b/>
                <w:i w:val="0"/>
                <w:color w:val="C0473D"/>
                <w:sz w:val="17"/>
              </w:rPr>
              <w:t>High</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6"/>
              </w:rPr>
              <w:t>DEP-04</w:t>
            </w:r>
          </w:p>
        </w:tc>
        <w:tc>
          <w:tcPr>
            <w:tcW w:type="dxa" w:w="2736"/>
            <w:tcMar>
              <w:top w:w="60" w:type="dxa"/>
              <w:left w:w="110" w:type="dxa"/>
              <w:bottom w:w="60" w:type="dxa"/>
              <w:right w:w="110" w:type="dxa"/>
            </w:tcMar>
            <w:shd w:val="clear" w:color="auto" w:fill="F5F7F5"/>
          </w:tcPr>
          <w:p>
            <w:pPr>
              <w:spacing w:after="0"/>
            </w:pPr>
            <w:r>
              <w:rPr>
                <w:b w:val="0"/>
                <w:i w:val="0"/>
                <w:color w:val="16261F"/>
                <w:sz w:val="17"/>
              </w:rPr>
              <w:t>Brand assets — logos, legal names, tax identifiers, addresses — for each brand at launch.</w:t>
            </w:r>
          </w:p>
        </w:tc>
        <w:tc>
          <w:tcPr>
            <w:tcW w:type="dxa" w:w="1512"/>
            <w:tcMar>
              <w:top w:w="60" w:type="dxa"/>
              <w:left w:w="110" w:type="dxa"/>
              <w:bottom w:w="60" w:type="dxa"/>
              <w:right w:w="110" w:type="dxa"/>
            </w:tcMar>
            <w:shd w:val="clear" w:color="auto" w:fill="F5F7F5"/>
          </w:tcPr>
          <w:p>
            <w:pPr>
              <w:spacing w:after="0"/>
            </w:pPr>
            <w:r>
              <w:rPr>
                <w:b w:val="0"/>
                <w:i w:val="0"/>
                <w:color w:val="16261F"/>
                <w:sz w:val="17"/>
              </w:rPr>
              <w:t>Client</w:t>
            </w:r>
          </w:p>
        </w:tc>
        <w:tc>
          <w:tcPr>
            <w:tcW w:type="dxa" w:w="2232"/>
            <w:tcMar>
              <w:top w:w="60" w:type="dxa"/>
              <w:left w:w="110" w:type="dxa"/>
              <w:bottom w:w="60" w:type="dxa"/>
              <w:right w:w="110" w:type="dxa"/>
            </w:tcMar>
            <w:shd w:val="clear" w:color="auto" w:fill="F5F7F5"/>
          </w:tcPr>
          <w:p>
            <w:pPr>
              <w:spacing w:after="0"/>
            </w:pPr>
            <w:r>
              <w:rPr>
                <w:b w:val="0"/>
                <w:i w:val="0"/>
                <w:color w:val="16261F"/>
                <w:sz w:val="17"/>
              </w:rPr>
              <w:t>FR-BRD, template configuration, UAT data</w:t>
            </w:r>
          </w:p>
        </w:tc>
        <w:tc>
          <w:tcPr>
            <w:tcW w:type="dxa" w:w="936"/>
            <w:tcMar>
              <w:top w:w="60" w:type="dxa"/>
              <w:left w:w="110" w:type="dxa"/>
              <w:bottom w:w="60" w:type="dxa"/>
              <w:right w:w="110" w:type="dxa"/>
            </w:tcMar>
            <w:shd w:val="clear" w:color="auto" w:fill="F5F7F5"/>
          </w:tcPr>
          <w:p>
            <w:pPr>
              <w:spacing w:after="0"/>
            </w:pPr>
            <w:r>
              <w:rPr>
                <w:b/>
                <w:i w:val="0"/>
                <w:color w:val="C7862B"/>
                <w:sz w:val="17"/>
              </w:rPr>
              <w:t>Medium</w:t>
            </w:r>
          </w:p>
        </w:tc>
      </w:tr>
      <w:tr>
        <w:tc>
          <w:tcPr>
            <w:tcW w:type="dxa" w:w="792"/>
            <w:tcMar>
              <w:top w:w="60" w:type="dxa"/>
              <w:left w:w="110" w:type="dxa"/>
              <w:bottom w:w="60" w:type="dxa"/>
              <w:right w:w="110" w:type="dxa"/>
            </w:tcMar>
          </w:tcPr>
          <w:p>
            <w:pPr>
              <w:spacing w:after="0"/>
            </w:pPr>
            <w:r>
              <w:rPr>
                <w:rFonts w:ascii="Consolas" w:hAnsi="Consolas"/>
                <w:b w:val="0"/>
                <w:i w:val="0"/>
                <w:color w:val="16261F"/>
                <w:sz w:val="16"/>
              </w:rPr>
              <w:t>DEP-05</w:t>
            </w:r>
          </w:p>
        </w:tc>
        <w:tc>
          <w:tcPr>
            <w:tcW w:type="dxa" w:w="2736"/>
            <w:tcMar>
              <w:top w:w="60" w:type="dxa"/>
              <w:left w:w="110" w:type="dxa"/>
              <w:bottom w:w="60" w:type="dxa"/>
              <w:right w:w="110" w:type="dxa"/>
            </w:tcMar>
          </w:tcPr>
          <w:p>
            <w:pPr>
              <w:spacing w:after="0"/>
            </w:pPr>
            <w:r>
              <w:rPr>
                <w:b w:val="0"/>
                <w:i w:val="0"/>
                <w:color w:val="16261F"/>
                <w:sz w:val="17"/>
              </w:rPr>
              <w:t>DNS control for any brand requiring a custom domain.</w:t>
            </w:r>
          </w:p>
        </w:tc>
        <w:tc>
          <w:tcPr>
            <w:tcW w:type="dxa" w:w="1512"/>
            <w:tcMar>
              <w:top w:w="60" w:type="dxa"/>
              <w:left w:w="110" w:type="dxa"/>
              <w:bottom w:w="60" w:type="dxa"/>
              <w:right w:w="110" w:type="dxa"/>
            </w:tcMar>
          </w:tcPr>
          <w:p>
            <w:pPr>
              <w:spacing w:after="0"/>
            </w:pPr>
            <w:r>
              <w:rPr>
                <w:b w:val="0"/>
                <w:i w:val="0"/>
                <w:color w:val="16261F"/>
                <w:sz w:val="17"/>
              </w:rPr>
              <w:t>Client</w:t>
            </w:r>
          </w:p>
        </w:tc>
        <w:tc>
          <w:tcPr>
            <w:tcW w:type="dxa" w:w="2232"/>
            <w:tcMar>
              <w:top w:w="60" w:type="dxa"/>
              <w:left w:w="110" w:type="dxa"/>
              <w:bottom w:w="60" w:type="dxa"/>
              <w:right w:w="110" w:type="dxa"/>
            </w:tcMar>
          </w:tcPr>
          <w:p>
            <w:pPr>
              <w:spacing w:after="0"/>
            </w:pPr>
            <w:r>
              <w:rPr>
                <w:b w:val="0"/>
                <w:i w:val="0"/>
                <w:color w:val="16261F"/>
                <w:sz w:val="17"/>
              </w:rPr>
              <w:t>FR-DOM (Phase 2)</w:t>
            </w:r>
          </w:p>
        </w:tc>
        <w:tc>
          <w:tcPr>
            <w:tcW w:type="dxa" w:w="936"/>
            <w:tcMar>
              <w:top w:w="60" w:type="dxa"/>
              <w:left w:w="110" w:type="dxa"/>
              <w:bottom w:w="60" w:type="dxa"/>
              <w:right w:w="110" w:type="dxa"/>
            </w:tcMar>
          </w:tcPr>
          <w:p>
            <w:pPr>
              <w:spacing w:after="0"/>
            </w:pPr>
            <w:r>
              <w:rPr>
                <w:b/>
                <w:i w:val="0"/>
                <w:color w:val="5B6B63"/>
                <w:sz w:val="17"/>
              </w:rPr>
              <w:t>Low</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6"/>
              </w:rPr>
              <w:t>DEP-06</w:t>
            </w:r>
          </w:p>
        </w:tc>
        <w:tc>
          <w:tcPr>
            <w:tcW w:type="dxa" w:w="2736"/>
            <w:tcMar>
              <w:top w:w="60" w:type="dxa"/>
              <w:left w:w="110" w:type="dxa"/>
              <w:bottom w:w="60" w:type="dxa"/>
              <w:right w:w="110" w:type="dxa"/>
            </w:tcMar>
            <w:shd w:val="clear" w:color="auto" w:fill="F5F7F5"/>
          </w:tcPr>
          <w:p>
            <w:pPr>
              <w:spacing w:after="0"/>
            </w:pPr>
            <w:r>
              <w:rPr>
                <w:b w:val="0"/>
                <w:i w:val="0"/>
                <w:color w:val="16261F"/>
                <w:sz w:val="17"/>
              </w:rPr>
              <w:t>Transactional email sending domain and DNS records for authentication.</w:t>
            </w:r>
          </w:p>
        </w:tc>
        <w:tc>
          <w:tcPr>
            <w:tcW w:type="dxa" w:w="1512"/>
            <w:tcMar>
              <w:top w:w="60" w:type="dxa"/>
              <w:left w:w="110" w:type="dxa"/>
              <w:bottom w:w="60" w:type="dxa"/>
              <w:right w:w="110" w:type="dxa"/>
            </w:tcMar>
            <w:shd w:val="clear" w:color="auto" w:fill="F5F7F5"/>
          </w:tcPr>
          <w:p>
            <w:pPr>
              <w:spacing w:after="0"/>
            </w:pPr>
            <w:r>
              <w:rPr>
                <w:b w:val="0"/>
                <w:i w:val="0"/>
                <w:color w:val="16261F"/>
                <w:sz w:val="17"/>
              </w:rPr>
              <w:t>Client</w:t>
            </w:r>
          </w:p>
        </w:tc>
        <w:tc>
          <w:tcPr>
            <w:tcW w:type="dxa" w:w="2232"/>
            <w:tcMar>
              <w:top w:w="60" w:type="dxa"/>
              <w:left w:w="110" w:type="dxa"/>
              <w:bottom w:w="60" w:type="dxa"/>
              <w:right w:w="110" w:type="dxa"/>
            </w:tcMar>
            <w:shd w:val="clear" w:color="auto" w:fill="F5F7F5"/>
          </w:tcPr>
          <w:p>
            <w:pPr>
              <w:spacing w:after="0"/>
            </w:pPr>
            <w:r>
              <w:rPr>
                <w:b w:val="0"/>
                <w:i w:val="0"/>
                <w:color w:val="16261F"/>
                <w:sz w:val="17"/>
              </w:rPr>
              <w:t>FR-DLV-006, deliverability</w:t>
            </w:r>
          </w:p>
        </w:tc>
        <w:tc>
          <w:tcPr>
            <w:tcW w:type="dxa" w:w="936"/>
            <w:tcMar>
              <w:top w:w="60" w:type="dxa"/>
              <w:left w:w="110" w:type="dxa"/>
              <w:bottom w:w="60" w:type="dxa"/>
              <w:right w:w="110" w:type="dxa"/>
            </w:tcMar>
            <w:shd w:val="clear" w:color="auto" w:fill="F5F7F5"/>
          </w:tcPr>
          <w:p>
            <w:pPr>
              <w:spacing w:after="0"/>
            </w:pPr>
            <w:r>
              <w:rPr>
                <w:b/>
                <w:i w:val="0"/>
                <w:color w:val="C7862B"/>
                <w:sz w:val="17"/>
              </w:rPr>
              <w:t>Medium</w:t>
            </w:r>
          </w:p>
        </w:tc>
      </w:tr>
    </w:tbl>
    <w:p>
      <w:pPr>
        <w:pBdr>
          <w:left w:val="single" w:sz="18" w:space="10" w:color="C0473D"/>
        </w:pBdr>
        <w:shd w:val="clear" w:color="auto" w:fill="F9E7E5"/>
        <w:spacing w:before="160" w:after="180"/>
        <w:ind w:left="173"/>
      </w:pPr>
      <w:r>
        <w:rPr>
          <w:b/>
          <w:color w:val="C0473D"/>
          <w:sz w:val="17"/>
        </w:rPr>
        <w:t xml:space="preserve">CRITICAL PATH  </w:t>
      </w:r>
      <w:r>
        <w:rPr>
          <w:color w:val="16261F"/>
          <w:sz w:val="20"/>
        </w:rPr>
        <w:t>DEP-01 is the most consequential unknown in this specification. Whether Numbers Gateway provides hosted card fields determines whether card data ever touches platform infrastructure, which in turn determines PCI DSS scope, the security architecture, the hosting model, the audit obligation and a material portion of the cost. It should be resolved before any payment work is estimated, not during it.</w:t>
      </w:r>
    </w:p>
    <w:p>
      <w:pPr>
        <w:spacing w:after="240"/>
      </w:pPr>
    </w:p>
    <w:p>
      <w:pPr>
        <w:pStyle w:val="Heading2"/>
      </w:pPr>
      <w:r>
        <w:t>Approval</w:t>
      </w:r>
    </w:p>
    <w:p>
      <w:pPr>
        <w:spacing w:after="140"/>
      </w:pPr>
      <w:r>
        <w:rPr>
          <w:b w:val="0"/>
          <w:i w:val="0"/>
          <w:color w:val="5B6B63"/>
          <w:sz w:val="21"/>
        </w:rPr>
        <w:t>This document requires sign-off from the following parties before the corresponding development phase begins.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Role</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8"/>
              </w:rPr>
              <w:t>Name</w:t>
            </w:r>
          </w:p>
        </w:tc>
        <w:tc>
          <w:tcPr>
            <w:tcW w:type="dxa" w:w="2592"/>
            <w:shd w:val="clear" w:color="auto" w:fill="16261F"/>
            <w:tcMar>
              <w:top w:w="70" w:type="dxa"/>
              <w:left w:w="110" w:type="dxa"/>
              <w:bottom w:w="70" w:type="dxa"/>
              <w:right w:w="110" w:type="dxa"/>
            </w:tcMar>
          </w:tcPr>
          <w:p>
            <w:pPr>
              <w:spacing w:after="0"/>
            </w:pPr>
            <w:r>
              <w:rPr>
                <w:rFonts w:ascii="Calibri" w:hAnsi="Calibri"/>
                <w:b/>
                <w:color w:val="FFFFFF"/>
                <w:sz w:val="18"/>
              </w:rPr>
              <w:t>Signature</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Date</w:t>
            </w:r>
          </w:p>
        </w:tc>
      </w:tr>
      <w:tr>
        <w:tc>
          <w:tcPr>
            <w:tcW w:type="dxa" w:w="2160"/>
            <w:tcMar>
              <w:top w:w="60" w:type="dxa"/>
              <w:left w:w="110" w:type="dxa"/>
              <w:bottom w:w="60" w:type="dxa"/>
              <w:right w:w="110" w:type="dxa"/>
            </w:tcMar>
          </w:tcPr>
          <w:p>
            <w:pPr>
              <w:spacing w:after="0"/>
            </w:pPr>
            <w:r>
              <w:rPr>
                <w:b w:val="0"/>
                <w:i w:val="0"/>
                <w:color w:val="16261F"/>
                <w:sz w:val="19"/>
              </w:rPr>
              <w:t>Client sponsor</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Product owner</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r>
        <w:tc>
          <w:tcPr>
            <w:tcW w:type="dxa" w:w="2160"/>
            <w:tcMar>
              <w:top w:w="60" w:type="dxa"/>
              <w:left w:w="110" w:type="dxa"/>
              <w:bottom w:w="60" w:type="dxa"/>
              <w:right w:w="110" w:type="dxa"/>
            </w:tcMar>
          </w:tcPr>
          <w:p>
            <w:pPr>
              <w:spacing w:after="0"/>
            </w:pPr>
            <w:r>
              <w:rPr>
                <w:b w:val="0"/>
                <w:i w:val="0"/>
                <w:color w:val="16261F"/>
                <w:sz w:val="19"/>
              </w:rPr>
              <w:t>Engineering lead</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QA lead</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B63"/>
        <w:sz w:val="16"/>
      </w:rPr>
      <w:t>FRS-001 · Functional Requirements Specification</w:t>
    </w:r>
    <w:r>
      <w:tab/>
      <w:tab/>
    </w:r>
    <w:r>
      <w:rPr>
        <w:color w:val="5B6B63"/>
        <w:sz w:val="16"/>
      </w:rPr>
      <w:t xml:space="preserve">Page </w:t>
    </w:r>
    <w:fldSimple w:instr="PAGE">
      <w:r>
        <w:rPr>
          <w:sz w:val="16"/>
          <w:color w:val="5B6B63"/>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626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6261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2D6A6A"/>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6261F"/>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b/>
      <w:bCs/>
      <w:i/>
      <w:iCs/>
      <w:color w:val="5B6B6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