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rFonts w:ascii="Calibri" w:hAnsi="Calibri"/>
          <w:b/>
          <w:color w:val="2D6A6A"/>
          <w:sz w:val="22"/>
        </w:rPr>
        <w:t>FENWICK HOLDINGS INC.</w:t>
      </w:r>
    </w:p>
    <w:p>
      <w:pPr>
        <w:spacing w:after="520"/>
      </w:pPr>
      <w:r>
        <w:rPr>
          <w:color w:val="5B6B63"/>
          <w:sz w:val="22"/>
        </w:rPr>
        <w:t>Multi-Brand Invoicing &amp; Payment Platform</w:t>
      </w:r>
    </w:p>
    <w:p>
      <w:pPr>
        <w:spacing w:after="120"/>
      </w:pPr>
      <w:r>
        <w:rPr>
          <w:rFonts w:ascii="Calibri" w:hAnsi="Calibri"/>
          <w:b/>
          <w:color w:val="16261F"/>
          <w:sz w:val="60"/>
        </w:rPr>
        <w:t>Non-Functional Requirements</w:t>
      </w:r>
    </w:p>
    <w:p>
      <w:pPr>
        <w:spacing w:after="600"/>
      </w:pPr>
      <w:r>
        <w:rPr>
          <w:color w:val="5B6B63"/>
          <w:sz w:val="26"/>
        </w:rPr>
        <w:t>Quality attributes, security posture, compliance and operational targets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30" w:type="dxa"/>
              <w:left w:w="0" w:type="dxa"/>
              <w:bottom w:w="30" w:type="dxa"/>
              <w:right w:w="80" w:type="dxa"/>
            </w:tcMar>
          </w:tcPr>
          <w:p>
            <w:r>
              <w:rPr>
                <w:color w:val="5B6B63"/>
                <w:sz w:val="19"/>
              </w:rPr>
              <w:t>Document code</w:t>
            </w:r>
          </w:p>
        </w:tc>
        <w:tc>
          <w:tcPr>
            <w:tcW w:type="dxa" w:w="6192"/>
            <w:tcMar>
              <w:top w:w="30" w:type="dxa"/>
              <w:left w:w="0" w:type="dxa"/>
              <w:bottom w:w="30" w:type="dxa"/>
              <w:right w:w="0" w:type="dxa"/>
            </w:tcMar>
          </w:tcPr>
          <w:p>
            <w:r>
              <w:rPr>
                <w:b/>
                <w:color w:val="16261F"/>
                <w:sz w:val="19"/>
              </w:rPr>
              <w:t>NFR-001</w:t>
            </w:r>
          </w:p>
        </w:tc>
      </w:tr>
      <w:tr>
        <w:tc>
          <w:tcPr>
            <w:tcW w:type="dxa" w:w="2448"/>
            <w:tcMar>
              <w:top w:w="30" w:type="dxa"/>
              <w:left w:w="0" w:type="dxa"/>
              <w:bottom w:w="30" w:type="dxa"/>
              <w:right w:w="80" w:type="dxa"/>
            </w:tcMar>
          </w:tcPr>
          <w:p>
            <w:r>
              <w:rPr>
                <w:color w:val="5B6B63"/>
                <w:sz w:val="19"/>
              </w:rPr>
              <w:t>Version</w:t>
            </w:r>
          </w:p>
        </w:tc>
        <w:tc>
          <w:tcPr>
            <w:tcW w:type="dxa" w:w="6192"/>
            <w:tcMar>
              <w:top w:w="30" w:type="dxa"/>
              <w:left w:w="0" w:type="dxa"/>
              <w:bottom w:w="30" w:type="dxa"/>
              <w:right w:w="0" w:type="dxa"/>
            </w:tcMar>
          </w:tcPr>
          <w:p>
            <w:r>
              <w:rPr>
                <w:b/>
                <w:color w:val="16261F"/>
                <w:sz w:val="19"/>
              </w:rPr>
              <w:t>1.0</w:t>
            </w:r>
          </w:p>
        </w:tc>
      </w:tr>
      <w:tr>
        <w:tc>
          <w:tcPr>
            <w:tcW w:type="dxa" w:w="2448"/>
            <w:tcMar>
              <w:top w:w="30" w:type="dxa"/>
              <w:left w:w="0" w:type="dxa"/>
              <w:bottom w:w="30" w:type="dxa"/>
              <w:right w:w="80" w:type="dxa"/>
            </w:tcMar>
          </w:tcPr>
          <w:p>
            <w:r>
              <w:rPr>
                <w:color w:val="5B6B63"/>
                <w:sz w:val="19"/>
              </w:rPr>
              <w:t>Date</w:t>
            </w:r>
          </w:p>
        </w:tc>
        <w:tc>
          <w:tcPr>
            <w:tcW w:type="dxa" w:w="6192"/>
            <w:tcMar>
              <w:top w:w="30" w:type="dxa"/>
              <w:left w:w="0" w:type="dxa"/>
              <w:bottom w:w="30" w:type="dxa"/>
              <w:right w:w="0" w:type="dxa"/>
            </w:tcMar>
          </w:tcPr>
          <w:p>
            <w:r>
              <w:rPr>
                <w:b/>
                <w:color w:val="16261F"/>
                <w:sz w:val="19"/>
              </w:rPr>
              <w:t>24 July 2026</w:t>
            </w:r>
          </w:p>
        </w:tc>
      </w:tr>
      <w:tr>
        <w:tc>
          <w:tcPr>
            <w:tcW w:type="dxa" w:w="2448"/>
            <w:tcMar>
              <w:top w:w="30" w:type="dxa"/>
              <w:left w:w="0" w:type="dxa"/>
              <w:bottom w:w="30" w:type="dxa"/>
              <w:right w:w="80" w:type="dxa"/>
            </w:tcMar>
          </w:tcPr>
          <w:p>
            <w:r>
              <w:rPr>
                <w:color w:val="5B6B63"/>
                <w:sz w:val="19"/>
              </w:rPr>
              <w:t>Owner</w:t>
            </w:r>
          </w:p>
        </w:tc>
        <w:tc>
          <w:tcPr>
            <w:tcW w:type="dxa" w:w="6192"/>
            <w:tcMar>
              <w:top w:w="30" w:type="dxa"/>
              <w:left w:w="0" w:type="dxa"/>
              <w:bottom w:w="30" w:type="dxa"/>
              <w:right w:w="0" w:type="dxa"/>
            </w:tcMar>
          </w:tcPr>
          <w:p>
            <w:r>
              <w:rPr>
                <w:b/>
                <w:color w:val="16261F"/>
                <w:sz w:val="19"/>
              </w:rPr>
              <w:t>Product Engineering</w:t>
            </w:r>
          </w:p>
        </w:tc>
      </w:tr>
      <w:tr>
        <w:tc>
          <w:tcPr>
            <w:tcW w:type="dxa" w:w="2448"/>
            <w:tcMar>
              <w:top w:w="30" w:type="dxa"/>
              <w:left w:w="0" w:type="dxa"/>
              <w:bottom w:w="30" w:type="dxa"/>
              <w:right w:w="80" w:type="dxa"/>
            </w:tcMar>
          </w:tcPr>
          <w:p>
            <w:r>
              <w:rPr>
                <w:color w:val="5B6B63"/>
                <w:sz w:val="19"/>
              </w:rPr>
              <w:t>Audience</w:t>
            </w:r>
          </w:p>
        </w:tc>
        <w:tc>
          <w:tcPr>
            <w:tcW w:type="dxa" w:w="6192"/>
            <w:tcMar>
              <w:top w:w="30" w:type="dxa"/>
              <w:left w:w="0" w:type="dxa"/>
              <w:bottom w:w="30" w:type="dxa"/>
              <w:right w:w="0" w:type="dxa"/>
            </w:tcMar>
          </w:tcPr>
          <w:p>
            <w:r>
              <w:rPr>
                <w:b/>
                <w:color w:val="16261F"/>
                <w:sz w:val="19"/>
              </w:rPr>
              <w:t>Client stakeholders, engineering, QA</w:t>
            </w:r>
          </w:p>
        </w:tc>
      </w:tr>
      <w:tr>
        <w:tc>
          <w:tcPr>
            <w:tcW w:type="dxa" w:w="2448"/>
            <w:tcMar>
              <w:top w:w="30" w:type="dxa"/>
              <w:left w:w="0" w:type="dxa"/>
              <w:bottom w:w="30" w:type="dxa"/>
              <w:right w:w="80" w:type="dxa"/>
            </w:tcMar>
          </w:tcPr>
          <w:p>
            <w:r>
              <w:rPr>
                <w:color w:val="5B6B63"/>
                <w:sz w:val="19"/>
              </w:rPr>
              <w:t>Status</w:t>
            </w:r>
          </w:p>
        </w:tc>
        <w:tc>
          <w:tcPr>
            <w:tcW w:type="dxa" w:w="6192"/>
            <w:tcMar>
              <w:top w:w="30" w:type="dxa"/>
              <w:left w:w="0" w:type="dxa"/>
              <w:bottom w:w="30" w:type="dxa"/>
              <w:right w:w="0" w:type="dxa"/>
            </w:tcMar>
          </w:tcPr>
          <w:p>
            <w:r>
              <w:rPr>
                <w:b/>
                <w:color w:val="16261F"/>
                <w:sz w:val="19"/>
              </w:rPr>
              <w:t>For client review</w:t>
            </w:r>
          </w:p>
        </w:tc>
      </w:tr>
    </w:tbl>
    <w:p>
      <w:r>
        <w:br w:type="page"/>
      </w:r>
    </w:p>
    <w:p>
      <w:pPr>
        <w:pStyle w:val="Heading1"/>
      </w:pPr>
      <w:r>
        <w:t>Contents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720"/>
            <w:tcMar>
              <w:top w:w="25" w:type="dxa"/>
              <w:left w:w="0" w:type="dxa"/>
              <w:bottom w:w="25" w:type="dxa"/>
              <w:right w:w="40" w:type="dxa"/>
            </w:tcMar>
          </w:tcPr>
          <w:p>
            <w:r>
              <w:rPr>
                <w:b/>
                <w:color w:val="2D6A6A"/>
                <w:sz w:val="20"/>
              </w:rPr>
              <w:t>1</w:t>
            </w:r>
          </w:p>
        </w:tc>
        <w:tc>
          <w:tcPr>
            <w:tcW w:type="dxa" w:w="7920"/>
            <w:tcMar>
              <w:top w:w="25" w:type="dxa"/>
              <w:left w:w="0" w:type="dxa"/>
              <w:bottom w:w="25" w:type="dxa"/>
              <w:right w:w="0" w:type="dxa"/>
            </w:tcMar>
          </w:tcPr>
          <w:p>
            <w:r>
              <w:rPr>
                <w:color w:val="16261F"/>
                <w:sz w:val="20"/>
              </w:rPr>
              <w:t>Purpose and how these requirements are used</w:t>
            </w:r>
          </w:p>
        </w:tc>
      </w:tr>
      <w:tr>
        <w:tc>
          <w:tcPr>
            <w:tcW w:type="dxa" w:w="720"/>
            <w:tcMar>
              <w:top w:w="25" w:type="dxa"/>
              <w:left w:w="0" w:type="dxa"/>
              <w:bottom w:w="25" w:type="dxa"/>
              <w:right w:w="40" w:type="dxa"/>
            </w:tcMar>
          </w:tcPr>
          <w:p>
            <w:r>
              <w:rPr>
                <w:b/>
                <w:color w:val="2D6A6A"/>
                <w:sz w:val="20"/>
              </w:rPr>
              <w:t>2</w:t>
            </w:r>
          </w:p>
        </w:tc>
        <w:tc>
          <w:tcPr>
            <w:tcW w:type="dxa" w:w="7920"/>
            <w:tcMar>
              <w:top w:w="25" w:type="dxa"/>
              <w:left w:w="0" w:type="dxa"/>
              <w:bottom w:w="25" w:type="dxa"/>
              <w:right w:w="0" w:type="dxa"/>
            </w:tcMar>
          </w:tcPr>
          <w:p>
            <w:r>
              <w:rPr>
                <w:color w:val="16261F"/>
                <w:sz w:val="20"/>
              </w:rPr>
              <w:t>Capacity and load model</w:t>
            </w:r>
          </w:p>
        </w:tc>
      </w:tr>
      <w:tr>
        <w:tc>
          <w:tcPr>
            <w:tcW w:type="dxa" w:w="720"/>
            <w:tcMar>
              <w:top w:w="25" w:type="dxa"/>
              <w:left w:w="0" w:type="dxa"/>
              <w:bottom w:w="25" w:type="dxa"/>
              <w:right w:w="40" w:type="dxa"/>
            </w:tcMar>
          </w:tcPr>
          <w:p>
            <w:r>
              <w:rPr>
                <w:b/>
                <w:color w:val="2D6A6A"/>
                <w:sz w:val="20"/>
              </w:rPr>
              <w:t>3</w:t>
            </w:r>
          </w:p>
        </w:tc>
        <w:tc>
          <w:tcPr>
            <w:tcW w:type="dxa" w:w="7920"/>
            <w:tcMar>
              <w:top w:w="25" w:type="dxa"/>
              <w:left w:w="0" w:type="dxa"/>
              <w:bottom w:w="25" w:type="dxa"/>
              <w:right w:w="0" w:type="dxa"/>
            </w:tcMar>
          </w:tcPr>
          <w:p>
            <w:r>
              <w:rPr>
                <w:color w:val="16261F"/>
                <w:sz w:val="20"/>
              </w:rPr>
              <w:t>NFR-PRF — Performance and responsiveness</w:t>
            </w:r>
          </w:p>
        </w:tc>
      </w:tr>
      <w:tr>
        <w:tc>
          <w:tcPr>
            <w:tcW w:type="dxa" w:w="720"/>
            <w:tcMar>
              <w:top w:w="25" w:type="dxa"/>
              <w:left w:w="0" w:type="dxa"/>
              <w:bottom w:w="25" w:type="dxa"/>
              <w:right w:w="40" w:type="dxa"/>
            </w:tcMar>
          </w:tcPr>
          <w:p>
            <w:r>
              <w:rPr>
                <w:b/>
                <w:color w:val="2D6A6A"/>
                <w:sz w:val="20"/>
              </w:rPr>
              <w:t>4</w:t>
            </w:r>
          </w:p>
        </w:tc>
        <w:tc>
          <w:tcPr>
            <w:tcW w:type="dxa" w:w="7920"/>
            <w:tcMar>
              <w:top w:w="25" w:type="dxa"/>
              <w:left w:w="0" w:type="dxa"/>
              <w:bottom w:w="25" w:type="dxa"/>
              <w:right w:w="0" w:type="dxa"/>
            </w:tcMar>
          </w:tcPr>
          <w:p>
            <w:r>
              <w:rPr>
                <w:color w:val="16261F"/>
                <w:sz w:val="20"/>
              </w:rPr>
              <w:t>NFR-SCL — Scalability and elasticity</w:t>
            </w:r>
          </w:p>
        </w:tc>
      </w:tr>
      <w:tr>
        <w:tc>
          <w:tcPr>
            <w:tcW w:type="dxa" w:w="720"/>
            <w:tcMar>
              <w:top w:w="25" w:type="dxa"/>
              <w:left w:w="0" w:type="dxa"/>
              <w:bottom w:w="25" w:type="dxa"/>
              <w:right w:w="40" w:type="dxa"/>
            </w:tcMar>
          </w:tcPr>
          <w:p>
            <w:r>
              <w:rPr>
                <w:b/>
                <w:color w:val="2D6A6A"/>
                <w:sz w:val="20"/>
              </w:rPr>
              <w:t>5</w:t>
            </w:r>
          </w:p>
        </w:tc>
        <w:tc>
          <w:tcPr>
            <w:tcW w:type="dxa" w:w="7920"/>
            <w:tcMar>
              <w:top w:w="25" w:type="dxa"/>
              <w:left w:w="0" w:type="dxa"/>
              <w:bottom w:w="25" w:type="dxa"/>
              <w:right w:w="0" w:type="dxa"/>
            </w:tcMar>
          </w:tcPr>
          <w:p>
            <w:r>
              <w:rPr>
                <w:color w:val="16261F"/>
                <w:sz w:val="20"/>
              </w:rPr>
              <w:t>NFR-AVL — Availability, resilience and disaster recovery</w:t>
            </w:r>
          </w:p>
        </w:tc>
      </w:tr>
      <w:tr>
        <w:tc>
          <w:tcPr>
            <w:tcW w:type="dxa" w:w="720"/>
            <w:tcMar>
              <w:top w:w="25" w:type="dxa"/>
              <w:left w:w="0" w:type="dxa"/>
              <w:bottom w:w="25" w:type="dxa"/>
              <w:right w:w="40" w:type="dxa"/>
            </w:tcMar>
          </w:tcPr>
          <w:p>
            <w:r>
              <w:rPr>
                <w:b/>
                <w:color w:val="2D6A6A"/>
                <w:sz w:val="20"/>
              </w:rPr>
              <w:t>6</w:t>
            </w:r>
          </w:p>
        </w:tc>
        <w:tc>
          <w:tcPr>
            <w:tcW w:type="dxa" w:w="7920"/>
            <w:tcMar>
              <w:top w:w="25" w:type="dxa"/>
              <w:left w:w="0" w:type="dxa"/>
              <w:bottom w:w="25" w:type="dxa"/>
              <w:right w:w="0" w:type="dxa"/>
            </w:tcMar>
          </w:tcPr>
          <w:p>
            <w:r>
              <w:rPr>
                <w:color w:val="16261F"/>
                <w:sz w:val="20"/>
              </w:rPr>
              <w:t>NFR-SEC — Security</w:t>
            </w:r>
          </w:p>
        </w:tc>
      </w:tr>
      <w:tr>
        <w:tc>
          <w:tcPr>
            <w:tcW w:type="dxa" w:w="720"/>
            <w:tcMar>
              <w:top w:w="25" w:type="dxa"/>
              <w:left w:w="0" w:type="dxa"/>
              <w:bottom w:w="25" w:type="dxa"/>
              <w:right w:w="40" w:type="dxa"/>
            </w:tcMar>
          </w:tcPr>
          <w:p>
            <w:r>
              <w:rPr>
                <w:b/>
                <w:color w:val="2D6A6A"/>
                <w:sz w:val="20"/>
              </w:rPr>
              <w:t>7</w:t>
            </w:r>
          </w:p>
        </w:tc>
        <w:tc>
          <w:tcPr>
            <w:tcW w:type="dxa" w:w="7920"/>
            <w:tcMar>
              <w:top w:w="25" w:type="dxa"/>
              <w:left w:w="0" w:type="dxa"/>
              <w:bottom w:w="25" w:type="dxa"/>
              <w:right w:w="0" w:type="dxa"/>
            </w:tcMar>
          </w:tcPr>
          <w:p>
            <w:r>
              <w:rPr>
                <w:color w:val="16261F"/>
                <w:sz w:val="20"/>
              </w:rPr>
              <w:t>NFR-PCI — Payment card compliance</w:t>
            </w:r>
          </w:p>
        </w:tc>
      </w:tr>
      <w:tr>
        <w:tc>
          <w:tcPr>
            <w:tcW w:type="dxa" w:w="720"/>
            <w:tcMar>
              <w:top w:w="25" w:type="dxa"/>
              <w:left w:w="0" w:type="dxa"/>
              <w:bottom w:w="25" w:type="dxa"/>
              <w:right w:w="40" w:type="dxa"/>
            </w:tcMar>
          </w:tcPr>
          <w:p>
            <w:r>
              <w:rPr>
                <w:b/>
                <w:color w:val="2D6A6A"/>
                <w:sz w:val="20"/>
              </w:rPr>
              <w:t>8</w:t>
            </w:r>
          </w:p>
        </w:tc>
        <w:tc>
          <w:tcPr>
            <w:tcW w:type="dxa" w:w="7920"/>
            <w:tcMar>
              <w:top w:w="25" w:type="dxa"/>
              <w:left w:w="0" w:type="dxa"/>
              <w:bottom w:w="25" w:type="dxa"/>
              <w:right w:w="0" w:type="dxa"/>
            </w:tcMar>
          </w:tcPr>
          <w:p>
            <w:r>
              <w:rPr>
                <w:color w:val="16261F"/>
                <w:sz w:val="20"/>
              </w:rPr>
              <w:t>NFR-PRV — Data protection and privacy</w:t>
            </w:r>
          </w:p>
        </w:tc>
      </w:tr>
      <w:tr>
        <w:tc>
          <w:tcPr>
            <w:tcW w:type="dxa" w:w="720"/>
            <w:tcMar>
              <w:top w:w="25" w:type="dxa"/>
              <w:left w:w="0" w:type="dxa"/>
              <w:bottom w:w="25" w:type="dxa"/>
              <w:right w:w="40" w:type="dxa"/>
            </w:tcMar>
          </w:tcPr>
          <w:p>
            <w:r>
              <w:rPr>
                <w:b/>
                <w:color w:val="2D6A6A"/>
                <w:sz w:val="20"/>
              </w:rPr>
              <w:t>9</w:t>
            </w:r>
          </w:p>
        </w:tc>
        <w:tc>
          <w:tcPr>
            <w:tcW w:type="dxa" w:w="7920"/>
            <w:tcMar>
              <w:top w:w="25" w:type="dxa"/>
              <w:left w:w="0" w:type="dxa"/>
              <w:bottom w:w="25" w:type="dxa"/>
              <w:right w:w="0" w:type="dxa"/>
            </w:tcMar>
          </w:tcPr>
          <w:p>
            <w:r>
              <w:rPr>
                <w:color w:val="16261F"/>
                <w:sz w:val="20"/>
              </w:rPr>
              <w:t>NFR-INT — Data integrity and financial correctness</w:t>
            </w:r>
          </w:p>
        </w:tc>
      </w:tr>
      <w:tr>
        <w:tc>
          <w:tcPr>
            <w:tcW w:type="dxa" w:w="720"/>
            <w:tcMar>
              <w:top w:w="25" w:type="dxa"/>
              <w:left w:w="0" w:type="dxa"/>
              <w:bottom w:w="25" w:type="dxa"/>
              <w:right w:w="40" w:type="dxa"/>
            </w:tcMar>
          </w:tcPr>
          <w:p>
            <w:r>
              <w:rPr>
                <w:b/>
                <w:color w:val="2D6A6A"/>
                <w:sz w:val="20"/>
              </w:rPr>
              <w:t>10</w:t>
            </w:r>
          </w:p>
        </w:tc>
        <w:tc>
          <w:tcPr>
            <w:tcW w:type="dxa" w:w="7920"/>
            <w:tcMar>
              <w:top w:w="25" w:type="dxa"/>
              <w:left w:w="0" w:type="dxa"/>
              <w:bottom w:w="25" w:type="dxa"/>
              <w:right w:w="0" w:type="dxa"/>
            </w:tcMar>
          </w:tcPr>
          <w:p>
            <w:r>
              <w:rPr>
                <w:color w:val="16261F"/>
                <w:sz w:val="20"/>
              </w:rPr>
              <w:t>NFR-OBS — Observability and operations</w:t>
            </w:r>
          </w:p>
        </w:tc>
      </w:tr>
      <w:tr>
        <w:tc>
          <w:tcPr>
            <w:tcW w:type="dxa" w:w="720"/>
            <w:tcMar>
              <w:top w:w="25" w:type="dxa"/>
              <w:left w:w="0" w:type="dxa"/>
              <w:bottom w:w="25" w:type="dxa"/>
              <w:right w:w="40" w:type="dxa"/>
            </w:tcMar>
          </w:tcPr>
          <w:p>
            <w:r>
              <w:rPr>
                <w:b/>
                <w:color w:val="2D6A6A"/>
                <w:sz w:val="20"/>
              </w:rPr>
              <w:t>11</w:t>
            </w:r>
          </w:p>
        </w:tc>
        <w:tc>
          <w:tcPr>
            <w:tcW w:type="dxa" w:w="7920"/>
            <w:tcMar>
              <w:top w:w="25" w:type="dxa"/>
              <w:left w:w="0" w:type="dxa"/>
              <w:bottom w:w="25" w:type="dxa"/>
              <w:right w:w="0" w:type="dxa"/>
            </w:tcMar>
          </w:tcPr>
          <w:p>
            <w:r>
              <w:rPr>
                <w:color w:val="16261F"/>
                <w:sz w:val="20"/>
              </w:rPr>
              <w:t>NFR-USE — Usability and accessibility</w:t>
            </w:r>
          </w:p>
        </w:tc>
      </w:tr>
      <w:tr>
        <w:tc>
          <w:tcPr>
            <w:tcW w:type="dxa" w:w="720"/>
            <w:tcMar>
              <w:top w:w="25" w:type="dxa"/>
              <w:left w:w="0" w:type="dxa"/>
              <w:bottom w:w="25" w:type="dxa"/>
              <w:right w:w="40" w:type="dxa"/>
            </w:tcMar>
          </w:tcPr>
          <w:p>
            <w:r>
              <w:rPr>
                <w:b/>
                <w:color w:val="2D6A6A"/>
                <w:sz w:val="20"/>
              </w:rPr>
              <w:t>12</w:t>
            </w:r>
          </w:p>
        </w:tc>
        <w:tc>
          <w:tcPr>
            <w:tcW w:type="dxa" w:w="7920"/>
            <w:tcMar>
              <w:top w:w="25" w:type="dxa"/>
              <w:left w:w="0" w:type="dxa"/>
              <w:bottom w:w="25" w:type="dxa"/>
              <w:right w:w="0" w:type="dxa"/>
            </w:tcMar>
          </w:tcPr>
          <w:p>
            <w:r>
              <w:rPr>
                <w:color w:val="16261F"/>
                <w:sz w:val="20"/>
              </w:rPr>
              <w:t>NFR-CMP — Compatibility and device support</w:t>
            </w:r>
          </w:p>
        </w:tc>
      </w:tr>
      <w:tr>
        <w:tc>
          <w:tcPr>
            <w:tcW w:type="dxa" w:w="720"/>
            <w:tcMar>
              <w:top w:w="25" w:type="dxa"/>
              <w:left w:w="0" w:type="dxa"/>
              <w:bottom w:w="25" w:type="dxa"/>
              <w:right w:w="40" w:type="dxa"/>
            </w:tcMar>
          </w:tcPr>
          <w:p>
            <w:r>
              <w:rPr>
                <w:b/>
                <w:color w:val="2D6A6A"/>
                <w:sz w:val="20"/>
              </w:rPr>
              <w:t>13</w:t>
            </w:r>
          </w:p>
        </w:tc>
        <w:tc>
          <w:tcPr>
            <w:tcW w:type="dxa" w:w="7920"/>
            <w:tcMar>
              <w:top w:w="25" w:type="dxa"/>
              <w:left w:w="0" w:type="dxa"/>
              <w:bottom w:w="25" w:type="dxa"/>
              <w:right w:w="0" w:type="dxa"/>
            </w:tcMar>
          </w:tcPr>
          <w:p>
            <w:r>
              <w:rPr>
                <w:color w:val="16261F"/>
                <w:sz w:val="20"/>
              </w:rPr>
              <w:t>NFR-MNT — Maintainability and code quality</w:t>
            </w:r>
          </w:p>
        </w:tc>
      </w:tr>
      <w:tr>
        <w:tc>
          <w:tcPr>
            <w:tcW w:type="dxa" w:w="720"/>
            <w:tcMar>
              <w:top w:w="25" w:type="dxa"/>
              <w:left w:w="0" w:type="dxa"/>
              <w:bottom w:w="25" w:type="dxa"/>
              <w:right w:w="40" w:type="dxa"/>
            </w:tcMar>
          </w:tcPr>
          <w:p>
            <w:r>
              <w:rPr>
                <w:b/>
                <w:color w:val="2D6A6A"/>
                <w:sz w:val="20"/>
              </w:rPr>
              <w:t>14</w:t>
            </w:r>
          </w:p>
        </w:tc>
        <w:tc>
          <w:tcPr>
            <w:tcW w:type="dxa" w:w="7920"/>
            <w:tcMar>
              <w:top w:w="25" w:type="dxa"/>
              <w:left w:w="0" w:type="dxa"/>
              <w:bottom w:w="25" w:type="dxa"/>
              <w:right w:w="0" w:type="dxa"/>
            </w:tcMar>
          </w:tcPr>
          <w:p>
            <w:r>
              <w:rPr>
                <w:color w:val="16261F"/>
                <w:sz w:val="20"/>
              </w:rPr>
              <w:t>NFR-TST — Testability and quality gates</w:t>
            </w:r>
          </w:p>
        </w:tc>
      </w:tr>
      <w:tr>
        <w:tc>
          <w:tcPr>
            <w:tcW w:type="dxa" w:w="720"/>
            <w:tcMar>
              <w:top w:w="25" w:type="dxa"/>
              <w:left w:w="0" w:type="dxa"/>
              <w:bottom w:w="25" w:type="dxa"/>
              <w:right w:w="40" w:type="dxa"/>
            </w:tcMar>
          </w:tcPr>
          <w:p>
            <w:r>
              <w:rPr>
                <w:b/>
                <w:color w:val="2D6A6A"/>
                <w:sz w:val="20"/>
              </w:rPr>
              <w:t>15</w:t>
            </w:r>
          </w:p>
        </w:tc>
        <w:tc>
          <w:tcPr>
            <w:tcW w:type="dxa" w:w="7920"/>
            <w:tcMar>
              <w:top w:w="25" w:type="dxa"/>
              <w:left w:w="0" w:type="dxa"/>
              <w:bottom w:w="25" w:type="dxa"/>
              <w:right w:w="0" w:type="dxa"/>
            </w:tcMar>
          </w:tcPr>
          <w:p>
            <w:r>
              <w:rPr>
                <w:color w:val="16261F"/>
                <w:sz w:val="20"/>
              </w:rPr>
              <w:t>NFR-LOC — Localisation, currency and time</w:t>
            </w:r>
          </w:p>
        </w:tc>
      </w:tr>
      <w:tr>
        <w:tc>
          <w:tcPr>
            <w:tcW w:type="dxa" w:w="720"/>
            <w:tcMar>
              <w:top w:w="25" w:type="dxa"/>
              <w:left w:w="0" w:type="dxa"/>
              <w:bottom w:w="25" w:type="dxa"/>
              <w:right w:w="40" w:type="dxa"/>
            </w:tcMar>
          </w:tcPr>
          <w:p>
            <w:r>
              <w:rPr>
                <w:b/>
                <w:color w:val="2D6A6A"/>
                <w:sz w:val="20"/>
              </w:rPr>
              <w:t>16</w:t>
            </w:r>
          </w:p>
        </w:tc>
        <w:tc>
          <w:tcPr>
            <w:tcW w:type="dxa" w:w="7920"/>
            <w:tcMar>
              <w:top w:w="25" w:type="dxa"/>
              <w:left w:w="0" w:type="dxa"/>
              <w:bottom w:w="25" w:type="dxa"/>
              <w:right w:w="0" w:type="dxa"/>
            </w:tcMar>
          </w:tcPr>
          <w:p>
            <w:r>
              <w:rPr>
                <w:color w:val="16261F"/>
                <w:sz w:val="20"/>
              </w:rPr>
              <w:t>Verification matrix</w:t>
            </w:r>
          </w:p>
        </w:tc>
      </w:tr>
      <w:tr>
        <w:tc>
          <w:tcPr>
            <w:tcW w:type="dxa" w:w="720"/>
            <w:tcMar>
              <w:top w:w="25" w:type="dxa"/>
              <w:left w:w="0" w:type="dxa"/>
              <w:bottom w:w="25" w:type="dxa"/>
              <w:right w:w="40" w:type="dxa"/>
            </w:tcMar>
          </w:tcPr>
          <w:p>
            <w:r>
              <w:rPr>
                <w:b/>
                <w:color w:val="2D6A6A"/>
                <w:sz w:val="20"/>
              </w:rPr>
              <w:t>17</w:t>
            </w:r>
          </w:p>
        </w:tc>
        <w:tc>
          <w:tcPr>
            <w:tcW w:type="dxa" w:w="7920"/>
            <w:tcMar>
              <w:top w:w="25" w:type="dxa"/>
              <w:left w:w="0" w:type="dxa"/>
              <w:bottom w:w="25" w:type="dxa"/>
              <w:right w:w="0" w:type="dxa"/>
            </w:tcMar>
          </w:tcPr>
          <w:p>
            <w:r>
              <w:rPr>
                <w:color w:val="16261F"/>
                <w:sz w:val="20"/>
              </w:rPr>
              <w:t>Risk register</w:t>
            </w:r>
          </w:p>
        </w:tc>
      </w:tr>
    </w:tbl>
    <w:p>
      <w:pPr>
        <w:spacing w:after="280"/>
      </w:pPr>
    </w:p>
    <w:p>
      <w:pPr>
        <w:pStyle w:val="Heading2"/>
      </w:pPr>
      <w:r>
        <w:t>Revision history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152"/>
            <w:shd w:val="clear" w:color="auto" w:fill="16261F"/>
            <w:tcMar>
              <w:top w:w="70" w:type="dxa"/>
              <w:left w:w="110" w:type="dxa"/>
              <w:bottom w:w="70" w:type="dxa"/>
              <w:right w:w="110" w:type="dxa"/>
            </w:tcMar>
          </w:tcPr>
          <w:p>
            <w:pPr>
              <w:spacing w:after="0"/>
            </w:pPr>
            <w:r>
              <w:rPr>
                <w:rFonts w:ascii="Calibri" w:hAnsi="Calibri"/>
                <w:b/>
                <w:color w:val="FFFFFF"/>
                <w:sz w:val="18"/>
              </w:rPr>
              <w:t>Version</w:t>
            </w:r>
          </w:p>
        </w:tc>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Date</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8"/>
              </w:rPr>
              <w:t>Author</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Summary of change</w:t>
            </w:r>
          </w:p>
        </w:tc>
      </w:tr>
      <w:tr>
        <w:tc>
          <w:tcPr>
            <w:tcW w:type="dxa" w:w="1152"/>
            <w:tcMar>
              <w:top w:w="60" w:type="dxa"/>
              <w:left w:w="110" w:type="dxa"/>
              <w:bottom w:w="60" w:type="dxa"/>
              <w:right w:w="110" w:type="dxa"/>
            </w:tcMar>
          </w:tcPr>
          <w:p>
            <w:pPr>
              <w:spacing w:after="0"/>
            </w:pPr>
            <w:r>
              <w:rPr>
                <w:b w:val="0"/>
                <w:i w:val="0"/>
                <w:color w:val="16261F"/>
                <w:sz w:val="19"/>
              </w:rPr>
              <w:t>1.0</w:t>
            </w:r>
          </w:p>
        </w:tc>
        <w:tc>
          <w:tcPr>
            <w:tcW w:type="dxa" w:w="1584"/>
            <w:tcMar>
              <w:top w:w="60" w:type="dxa"/>
              <w:left w:w="110" w:type="dxa"/>
              <w:bottom w:w="60" w:type="dxa"/>
              <w:right w:w="110" w:type="dxa"/>
            </w:tcMar>
          </w:tcPr>
          <w:p>
            <w:pPr>
              <w:spacing w:after="0"/>
            </w:pPr>
            <w:r>
              <w:rPr>
                <w:b w:val="0"/>
                <w:i w:val="0"/>
                <w:color w:val="16261F"/>
                <w:sz w:val="19"/>
              </w:rPr>
              <w:t>24 Jul 2026</w:t>
            </w:r>
          </w:p>
        </w:tc>
        <w:tc>
          <w:tcPr>
            <w:tcW w:type="dxa" w:w="2736"/>
            <w:tcMar>
              <w:top w:w="60" w:type="dxa"/>
              <w:left w:w="110" w:type="dxa"/>
              <w:bottom w:w="60" w:type="dxa"/>
              <w:right w:w="110" w:type="dxa"/>
            </w:tcMar>
          </w:tcPr>
          <w:p>
            <w:pPr>
              <w:spacing w:after="0"/>
            </w:pPr>
            <w:r>
              <w:rPr>
                <w:b w:val="0"/>
                <w:i w:val="0"/>
                <w:color w:val="16261F"/>
                <w:sz w:val="19"/>
              </w:rPr>
              <w:t>Product Engineering</w:t>
            </w:r>
          </w:p>
        </w:tc>
        <w:tc>
          <w:tcPr>
            <w:tcW w:type="dxa" w:w="3888"/>
            <w:tcMar>
              <w:top w:w="60" w:type="dxa"/>
              <w:left w:w="110" w:type="dxa"/>
              <w:bottom w:w="60" w:type="dxa"/>
              <w:right w:w="110" w:type="dxa"/>
            </w:tcMar>
          </w:tcPr>
          <w:p>
            <w:pPr>
              <w:spacing w:after="0"/>
            </w:pPr>
            <w:r>
              <w:rPr>
                <w:b w:val="0"/>
                <w:i w:val="0"/>
                <w:color w:val="16261F"/>
                <w:sz w:val="19"/>
              </w:rPr>
              <w:t>Initial issue for client review.</w:t>
            </w:r>
          </w:p>
        </w:tc>
      </w:tr>
    </w:tbl>
    <w:p>
      <w:r>
        <w:br w:type="page"/>
      </w:r>
    </w:p>
    <w:p>
      <w:pPr>
        <w:pStyle w:val="Heading1"/>
      </w:pPr>
      <w:r>
        <w:t>1. Purpose and how these requirements are used</w:t>
      </w:r>
    </w:p>
    <w:p>
      <w:pPr>
        <w:spacing w:after="140"/>
      </w:pPr>
      <w:r>
        <w:rPr>
          <w:b w:val="0"/>
          <w:i w:val="0"/>
          <w:color w:val="16261F"/>
          <w:sz w:val="21"/>
        </w:rPr>
        <w:t>This document defines how well the system must behave, as distinct from what it must do. Functional behaviour is specified in FRS-001. Where the two conflict, a non-functional requirement constrains the functional one rather than overriding it — a feature that cannot meet its security or correctness target is not delivered until it can.</w:t>
      </w:r>
    </w:p>
    <w:p>
      <w:pPr>
        <w:pStyle w:val="Heading2"/>
      </w:pPr>
      <w:r>
        <w:t>1.1 Requirement structure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1872"/>
            <w:shd w:val="clear" w:color="auto" w:fill="16261F"/>
            <w:tcMar>
              <w:top w:w="70" w:type="dxa"/>
              <w:left w:w="110" w:type="dxa"/>
              <w:bottom w:w="70" w:type="dxa"/>
              <w:right w:w="110" w:type="dxa"/>
            </w:tcMar>
          </w:tcPr>
          <w:p>
            <w:pPr>
              <w:spacing w:after="0"/>
            </w:pPr>
            <w:r>
              <w:rPr>
                <w:rFonts w:ascii="Calibri" w:hAnsi="Calibri"/>
                <w:b/>
                <w:color w:val="FFFFFF"/>
                <w:sz w:val="18"/>
              </w:rPr>
              <w:t>Element</w:t>
            </w:r>
          </w:p>
        </w:tc>
        <w:tc>
          <w:tcPr>
            <w:tcW w:type="dxa" w:w="7488"/>
            <w:shd w:val="clear" w:color="auto" w:fill="16261F"/>
            <w:tcMar>
              <w:top w:w="70" w:type="dxa"/>
              <w:left w:w="110" w:type="dxa"/>
              <w:bottom w:w="70" w:type="dxa"/>
              <w:right w:w="110" w:type="dxa"/>
            </w:tcMar>
          </w:tcPr>
          <w:p>
            <w:pPr>
              <w:spacing w:after="0"/>
            </w:pPr>
            <w:r>
              <w:rPr>
                <w:rFonts w:ascii="Calibri" w:hAnsi="Calibri"/>
                <w:b/>
                <w:color w:val="FFFFFF"/>
                <w:sz w:val="18"/>
              </w:rPr>
              <w:t>Meaning</w:t>
            </w:r>
          </w:p>
        </w:tc>
      </w:tr>
      <w:tr>
        <w:tc>
          <w:tcPr>
            <w:tcW w:type="dxa" w:w="1872"/>
            <w:tcMar>
              <w:top w:w="60" w:type="dxa"/>
              <w:left w:w="110" w:type="dxa"/>
              <w:bottom w:w="60" w:type="dxa"/>
              <w:right w:w="110" w:type="dxa"/>
            </w:tcMar>
          </w:tcPr>
          <w:p>
            <w:pPr>
              <w:spacing w:after="0"/>
            </w:pPr>
            <w:r>
              <w:rPr>
                <w:rFonts w:ascii="Consolas" w:hAnsi="Consolas"/>
                <w:b w:val="0"/>
                <w:i w:val="0"/>
                <w:color w:val="16261F"/>
                <w:sz w:val="18"/>
              </w:rPr>
              <w:t>NFR-SEC-012</w:t>
            </w:r>
          </w:p>
        </w:tc>
        <w:tc>
          <w:tcPr>
            <w:tcW w:type="dxa" w:w="7488"/>
            <w:tcMar>
              <w:top w:w="60" w:type="dxa"/>
              <w:left w:w="110" w:type="dxa"/>
              <w:bottom w:w="60" w:type="dxa"/>
              <w:right w:w="110" w:type="dxa"/>
            </w:tcMar>
          </w:tcPr>
          <w:p>
            <w:pPr>
              <w:spacing w:after="0"/>
            </w:pPr>
            <w:r>
              <w:rPr>
                <w:b w:val="0"/>
                <w:i w:val="0"/>
                <w:color w:val="16261F"/>
                <w:sz w:val="19"/>
              </w:rPr>
              <w:t>Category prefix plus sequence. Stable across revisions.</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Target</w:t>
            </w:r>
          </w:p>
        </w:tc>
        <w:tc>
          <w:tcPr>
            <w:tcW w:type="dxa" w:w="7488"/>
            <w:tcMar>
              <w:top w:w="60" w:type="dxa"/>
              <w:left w:w="110" w:type="dxa"/>
              <w:bottom w:w="60" w:type="dxa"/>
              <w:right w:w="110" w:type="dxa"/>
            </w:tcMar>
            <w:shd w:val="clear" w:color="auto" w:fill="F5F7F5"/>
          </w:tcPr>
          <w:p>
            <w:pPr>
              <w:spacing w:after="0"/>
            </w:pPr>
            <w:r>
              <w:rPr>
                <w:b w:val="0"/>
                <w:i w:val="0"/>
                <w:color w:val="16261F"/>
                <w:sz w:val="19"/>
              </w:rPr>
              <w:t>The measurable threshold. Every requirement in this document is stated so that it can be passed or failed, not debated.</w:t>
            </w:r>
          </w:p>
        </w:tc>
      </w:tr>
      <w:tr>
        <w:tc>
          <w:tcPr>
            <w:tcW w:type="dxa" w:w="1872"/>
            <w:tcMar>
              <w:top w:w="60" w:type="dxa"/>
              <w:left w:w="110" w:type="dxa"/>
              <w:bottom w:w="60" w:type="dxa"/>
              <w:right w:w="110" w:type="dxa"/>
            </w:tcMar>
          </w:tcPr>
          <w:p>
            <w:pPr>
              <w:spacing w:after="0"/>
            </w:pPr>
            <w:r>
              <w:rPr>
                <w:b w:val="0"/>
                <w:i w:val="0"/>
                <w:color w:val="16261F"/>
                <w:sz w:val="19"/>
              </w:rPr>
              <w:t>Verification</w:t>
            </w:r>
          </w:p>
        </w:tc>
        <w:tc>
          <w:tcPr>
            <w:tcW w:type="dxa" w:w="7488"/>
            <w:tcMar>
              <w:top w:w="60" w:type="dxa"/>
              <w:left w:w="110" w:type="dxa"/>
              <w:bottom w:w="60" w:type="dxa"/>
              <w:right w:w="110" w:type="dxa"/>
            </w:tcMar>
          </w:tcPr>
          <w:p>
            <w:pPr>
              <w:spacing w:after="0"/>
            </w:pPr>
            <w:r>
              <w:rPr>
                <w:b w:val="0"/>
                <w:i w:val="0"/>
                <w:color w:val="16261F"/>
                <w:sz w:val="19"/>
              </w:rPr>
              <w:t>How compliance is demonstrated: Test, Measurement, Inspection, Analysis or Audit.</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Phase</w:t>
            </w:r>
          </w:p>
        </w:tc>
        <w:tc>
          <w:tcPr>
            <w:tcW w:type="dxa" w:w="7488"/>
            <w:tcMar>
              <w:top w:w="60" w:type="dxa"/>
              <w:left w:w="110" w:type="dxa"/>
              <w:bottom w:w="60" w:type="dxa"/>
              <w:right w:w="110" w:type="dxa"/>
            </w:tcMar>
            <w:shd w:val="clear" w:color="auto" w:fill="F5F7F5"/>
          </w:tcPr>
          <w:p>
            <w:pPr>
              <w:spacing w:after="0"/>
            </w:pPr>
            <w:r>
              <w:rPr>
                <w:b w:val="0"/>
                <w:i w:val="0"/>
                <w:color w:val="16261F"/>
                <w:sz w:val="19"/>
              </w:rPr>
              <w:t>MVP, Phase 2 or Phase 3, consistent with FRS-001 section 2.1.</w:t>
            </w:r>
          </w:p>
        </w:tc>
      </w:tr>
    </w:tbl>
    <w:p>
      <w:pPr>
        <w:pBdr>
          <w:left w:val="single" w:sz="18" w:space="10" w:color="2D6A6A"/>
        </w:pBdr>
        <w:shd w:val="clear" w:color="auto" w:fill="EDF1EE"/>
        <w:spacing w:before="160" w:after="180"/>
        <w:ind w:left="173"/>
      </w:pPr>
      <w:r>
        <w:rPr>
          <w:b/>
          <w:color w:val="2D6A6A"/>
          <w:sz w:val="17"/>
        </w:rPr>
        <w:t xml:space="preserve">PRINCIPLE  </w:t>
      </w:r>
      <w:r>
        <w:rPr>
          <w:color w:val="16261F"/>
          <w:sz w:val="20"/>
        </w:rPr>
        <w:t>A non-functional requirement without a number is an opinion. Every entry below states a threshold and the method by which it is verified. Requirements that could not be given a defensible threshold at the time of writing are listed in section 17 as open risks rather than being stated vaguely.</w:t>
      </w:r>
    </w:p>
    <w:p>
      <w:pPr>
        <w:pStyle w:val="Heading2"/>
      </w:pPr>
      <w:r>
        <w:t>1.2 Priority classes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440"/>
            <w:shd w:val="clear" w:color="auto" w:fill="16261F"/>
            <w:tcMar>
              <w:top w:w="70" w:type="dxa"/>
              <w:left w:w="110" w:type="dxa"/>
              <w:bottom w:w="70" w:type="dxa"/>
              <w:right w:w="110" w:type="dxa"/>
            </w:tcMar>
          </w:tcPr>
          <w:p>
            <w:pPr>
              <w:spacing w:after="0"/>
            </w:pPr>
            <w:r>
              <w:rPr>
                <w:rFonts w:ascii="Calibri" w:hAnsi="Calibri"/>
                <w:b/>
                <w:color w:val="FFFFFF"/>
                <w:sz w:val="18"/>
              </w:rPr>
              <w:t>Class</w:t>
            </w:r>
          </w:p>
        </w:tc>
        <w:tc>
          <w:tcPr>
            <w:tcW w:type="dxa" w:w="4032"/>
            <w:shd w:val="clear" w:color="auto" w:fill="16261F"/>
            <w:tcMar>
              <w:top w:w="70" w:type="dxa"/>
              <w:left w:w="110" w:type="dxa"/>
              <w:bottom w:w="70" w:type="dxa"/>
              <w:right w:w="110" w:type="dxa"/>
            </w:tcMar>
          </w:tcPr>
          <w:p>
            <w:pPr>
              <w:spacing w:after="0"/>
            </w:pPr>
            <w:r>
              <w:rPr>
                <w:rFonts w:ascii="Calibri" w:hAnsi="Calibri"/>
                <w:b/>
                <w:color w:val="FFFFFF"/>
                <w:sz w:val="18"/>
              </w:rPr>
              <w:t>Meaning</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Consequence of failure</w:t>
            </w:r>
          </w:p>
        </w:tc>
      </w:tr>
      <w:tr>
        <w:tc>
          <w:tcPr>
            <w:tcW w:type="dxa" w:w="1440"/>
            <w:tcMar>
              <w:top w:w="60" w:type="dxa"/>
              <w:left w:w="110" w:type="dxa"/>
              <w:bottom w:w="60" w:type="dxa"/>
              <w:right w:w="110" w:type="dxa"/>
            </w:tcMar>
          </w:tcPr>
          <w:p>
            <w:pPr>
              <w:spacing w:after="0"/>
            </w:pPr>
            <w:r>
              <w:rPr>
                <w:b/>
                <w:i w:val="0"/>
                <w:color w:val="C0473D"/>
                <w:sz w:val="19"/>
              </w:rPr>
              <w:t>Mandatory</w:t>
            </w:r>
          </w:p>
        </w:tc>
        <w:tc>
          <w:tcPr>
            <w:tcW w:type="dxa" w:w="4032"/>
            <w:tcMar>
              <w:top w:w="60" w:type="dxa"/>
              <w:left w:w="110" w:type="dxa"/>
              <w:bottom w:w="60" w:type="dxa"/>
              <w:right w:w="110" w:type="dxa"/>
            </w:tcMar>
          </w:tcPr>
          <w:p>
            <w:pPr>
              <w:spacing w:after="0"/>
            </w:pPr>
            <w:r>
              <w:rPr>
                <w:b w:val="0"/>
                <w:i w:val="0"/>
                <w:color w:val="16261F"/>
                <w:sz w:val="19"/>
              </w:rPr>
              <w:t>Legal, contractual or financial-correctness obligation.</w:t>
            </w:r>
          </w:p>
        </w:tc>
        <w:tc>
          <w:tcPr>
            <w:tcW w:type="dxa" w:w="3888"/>
            <w:tcMar>
              <w:top w:w="60" w:type="dxa"/>
              <w:left w:w="110" w:type="dxa"/>
              <w:bottom w:w="60" w:type="dxa"/>
              <w:right w:w="110" w:type="dxa"/>
            </w:tcMar>
          </w:tcPr>
          <w:p>
            <w:pPr>
              <w:spacing w:after="0"/>
            </w:pPr>
            <w:r>
              <w:rPr>
                <w:b w:val="0"/>
                <w:i w:val="0"/>
                <w:color w:val="16261F"/>
                <w:sz w:val="19"/>
              </w:rPr>
              <w:t>Blocks release. No exceptions granted.</w:t>
            </w:r>
          </w:p>
        </w:tc>
      </w:tr>
      <w:tr>
        <w:tc>
          <w:tcPr>
            <w:tcW w:type="dxa" w:w="1440"/>
            <w:tcMar>
              <w:top w:w="60" w:type="dxa"/>
              <w:left w:w="110" w:type="dxa"/>
              <w:bottom w:w="60" w:type="dxa"/>
              <w:right w:w="110" w:type="dxa"/>
            </w:tcMar>
            <w:shd w:val="clear" w:color="auto" w:fill="F5F7F5"/>
          </w:tcPr>
          <w:p>
            <w:pPr>
              <w:spacing w:after="0"/>
            </w:pPr>
            <w:r>
              <w:rPr>
                <w:b/>
                <w:i w:val="0"/>
                <w:color w:val="2D6A6A"/>
                <w:sz w:val="19"/>
              </w:rPr>
              <w:t>Target</w:t>
            </w:r>
          </w:p>
        </w:tc>
        <w:tc>
          <w:tcPr>
            <w:tcW w:type="dxa" w:w="4032"/>
            <w:tcMar>
              <w:top w:w="60" w:type="dxa"/>
              <w:left w:w="110" w:type="dxa"/>
              <w:bottom w:w="60" w:type="dxa"/>
              <w:right w:w="110" w:type="dxa"/>
            </w:tcMar>
            <w:shd w:val="clear" w:color="auto" w:fill="F5F7F5"/>
          </w:tcPr>
          <w:p>
            <w:pPr>
              <w:spacing w:after="0"/>
            </w:pPr>
            <w:r>
              <w:rPr>
                <w:b w:val="0"/>
                <w:i w:val="0"/>
                <w:color w:val="16261F"/>
                <w:sz w:val="19"/>
              </w:rPr>
              <w:t>The intended operating standard.</w:t>
            </w:r>
          </w:p>
        </w:tc>
        <w:tc>
          <w:tcPr>
            <w:tcW w:type="dxa" w:w="3888"/>
            <w:tcMar>
              <w:top w:w="60" w:type="dxa"/>
              <w:left w:w="110" w:type="dxa"/>
              <w:bottom w:w="60" w:type="dxa"/>
              <w:right w:w="110" w:type="dxa"/>
            </w:tcMar>
            <w:shd w:val="clear" w:color="auto" w:fill="F5F7F5"/>
          </w:tcPr>
          <w:p>
            <w:pPr>
              <w:spacing w:after="0"/>
            </w:pPr>
            <w:r>
              <w:rPr>
                <w:b w:val="0"/>
                <w:i w:val="0"/>
                <w:color w:val="16261F"/>
                <w:sz w:val="19"/>
              </w:rPr>
              <w:t>Blocks release unless a time-boxed waiver is signed by the client sponsor.</w:t>
            </w:r>
          </w:p>
        </w:tc>
      </w:tr>
      <w:tr>
        <w:tc>
          <w:tcPr>
            <w:tcW w:type="dxa" w:w="1440"/>
            <w:tcMar>
              <w:top w:w="60" w:type="dxa"/>
              <w:left w:w="110" w:type="dxa"/>
              <w:bottom w:w="60" w:type="dxa"/>
              <w:right w:w="110" w:type="dxa"/>
            </w:tcMar>
          </w:tcPr>
          <w:p>
            <w:pPr>
              <w:spacing w:after="0"/>
            </w:pPr>
            <w:r>
              <w:rPr>
                <w:b/>
                <w:i w:val="0"/>
                <w:color w:val="3A6FA8"/>
                <w:sz w:val="19"/>
              </w:rPr>
              <w:t>Goal</w:t>
            </w:r>
          </w:p>
        </w:tc>
        <w:tc>
          <w:tcPr>
            <w:tcW w:type="dxa" w:w="4032"/>
            <w:tcMar>
              <w:top w:w="60" w:type="dxa"/>
              <w:left w:w="110" w:type="dxa"/>
              <w:bottom w:w="60" w:type="dxa"/>
              <w:right w:w="110" w:type="dxa"/>
            </w:tcMar>
          </w:tcPr>
          <w:p>
            <w:pPr>
              <w:spacing w:after="0"/>
            </w:pPr>
            <w:r>
              <w:rPr>
                <w:b w:val="0"/>
                <w:i w:val="0"/>
                <w:color w:val="16261F"/>
                <w:sz w:val="19"/>
              </w:rPr>
              <w:t>Desirable, measured, improved over time.</w:t>
            </w:r>
          </w:p>
        </w:tc>
        <w:tc>
          <w:tcPr>
            <w:tcW w:type="dxa" w:w="3888"/>
            <w:tcMar>
              <w:top w:w="60" w:type="dxa"/>
              <w:left w:w="110" w:type="dxa"/>
              <w:bottom w:w="60" w:type="dxa"/>
              <w:right w:w="110" w:type="dxa"/>
            </w:tcMar>
          </w:tcPr>
          <w:p>
            <w:pPr>
              <w:spacing w:after="0"/>
            </w:pPr>
            <w:r>
              <w:rPr>
                <w:b w:val="0"/>
                <w:i w:val="0"/>
                <w:color w:val="16261F"/>
                <w:sz w:val="19"/>
              </w:rPr>
              <w:t>Does not block release. Tracked as technical debt.</w:t>
            </w:r>
          </w:p>
        </w:tc>
      </w:tr>
    </w:tbl>
    <w:p>
      <w:r>
        <w:br w:type="page"/>
      </w:r>
    </w:p>
    <w:p>
      <w:pPr>
        <w:pStyle w:val="Heading1"/>
      </w:pPr>
      <w:r>
        <w:t>2. Capacity and load model</w:t>
      </w:r>
    </w:p>
    <w:p>
      <w:pPr>
        <w:spacing w:after="140"/>
      </w:pPr>
      <w:r>
        <w:rPr>
          <w:b w:val="0"/>
          <w:i w:val="0"/>
          <w:color w:val="16261F"/>
          <w:sz w:val="21"/>
        </w:rPr>
        <w:t>Every performance and scalability target below is stated against this model. The model is an estimate derived from the prototype's data shape and typical B2B wholesale invoicing patterns; it is not client-confirmed. Open question Q-05 in FRS-001 requests the real figures.</w:t>
      </w:r>
    </w:p>
    <w:p>
      <w:pPr>
        <w:pBdr>
          <w:left w:val="single" w:sz="18" w:space="10" w:color="C7862B"/>
        </w:pBdr>
        <w:shd w:val="clear" w:color="auto" w:fill="FBF0DF"/>
        <w:spacing w:before="160" w:after="180"/>
        <w:ind w:left="173"/>
      </w:pPr>
      <w:r>
        <w:rPr>
          <w:b/>
          <w:color w:val="C7862B"/>
          <w:sz w:val="17"/>
        </w:rPr>
        <w:t xml:space="preserve">ASSUMPTION WARNING  </w:t>
      </w:r>
      <w:r>
        <w:rPr>
          <w:color w:val="16261F"/>
          <w:sz w:val="20"/>
        </w:rPr>
        <w:t>If actual volume exceeds the twelve-month figures below by more than a factor of five, the architecture in TDD-001 remains valid but the infrastructure sizing in TSD-001 does not. Confirm these numbers before hardware or hosting is committed.</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3024"/>
            <w:shd w:val="clear" w:color="auto" w:fill="16261F"/>
            <w:tcMar>
              <w:top w:w="70" w:type="dxa"/>
              <w:left w:w="110" w:type="dxa"/>
              <w:bottom w:w="70" w:type="dxa"/>
              <w:right w:w="110" w:type="dxa"/>
            </w:tcMar>
          </w:tcPr>
          <w:p>
            <w:pPr>
              <w:spacing w:after="0"/>
            </w:pPr>
            <w:r>
              <w:rPr>
                <w:rFonts w:ascii="Calibri" w:hAnsi="Calibri"/>
                <w:b/>
                <w:color w:val="FFFFFF"/>
                <w:sz w:val="18"/>
              </w:rPr>
              <w:t>Dimension</w:t>
            </w:r>
          </w:p>
        </w:tc>
        <w:tc>
          <w:tcPr>
            <w:tcW w:type="dxa" w:w="1728"/>
            <w:shd w:val="clear" w:color="auto" w:fill="16261F"/>
            <w:tcMar>
              <w:top w:w="70" w:type="dxa"/>
              <w:left w:w="110" w:type="dxa"/>
              <w:bottom w:w="70" w:type="dxa"/>
              <w:right w:w="110" w:type="dxa"/>
            </w:tcMar>
          </w:tcPr>
          <w:p>
            <w:pPr>
              <w:spacing w:after="0"/>
            </w:pPr>
            <w:r>
              <w:rPr>
                <w:rFonts w:ascii="Calibri" w:hAnsi="Calibri"/>
                <w:b/>
                <w:color w:val="FFFFFF"/>
                <w:sz w:val="18"/>
              </w:rPr>
              <w:t>At launch</w:t>
            </w:r>
          </w:p>
        </w:tc>
        <w:tc>
          <w:tcPr>
            <w:tcW w:type="dxa" w:w="1728"/>
            <w:shd w:val="clear" w:color="auto" w:fill="16261F"/>
            <w:tcMar>
              <w:top w:w="70" w:type="dxa"/>
              <w:left w:w="110" w:type="dxa"/>
              <w:bottom w:w="70" w:type="dxa"/>
              <w:right w:w="110" w:type="dxa"/>
            </w:tcMar>
          </w:tcPr>
          <w:p>
            <w:pPr>
              <w:spacing w:after="0"/>
            </w:pPr>
            <w:r>
              <w:rPr>
                <w:rFonts w:ascii="Calibri" w:hAnsi="Calibri"/>
                <w:b/>
                <w:color w:val="FFFFFF"/>
                <w:sz w:val="18"/>
              </w:rPr>
              <w:t>Month 12</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8"/>
              </w:rPr>
              <w:t>Design headroom</w:t>
            </w:r>
          </w:p>
        </w:tc>
      </w:tr>
      <w:tr>
        <w:tc>
          <w:tcPr>
            <w:tcW w:type="dxa" w:w="3024"/>
            <w:tcMar>
              <w:top w:w="60" w:type="dxa"/>
              <w:left w:w="110" w:type="dxa"/>
              <w:bottom w:w="60" w:type="dxa"/>
              <w:right w:w="110" w:type="dxa"/>
            </w:tcMar>
          </w:tcPr>
          <w:p>
            <w:pPr>
              <w:spacing w:after="0"/>
            </w:pPr>
            <w:r>
              <w:rPr>
                <w:b w:val="0"/>
                <w:i w:val="0"/>
                <w:color w:val="16261F"/>
                <w:sz w:val="19"/>
              </w:rPr>
              <w:t>Merchant organisations</w:t>
            </w:r>
          </w:p>
        </w:tc>
        <w:tc>
          <w:tcPr>
            <w:tcW w:type="dxa" w:w="1728"/>
            <w:tcMar>
              <w:top w:w="60" w:type="dxa"/>
              <w:left w:w="110" w:type="dxa"/>
              <w:bottom w:w="60" w:type="dxa"/>
              <w:right w:w="110" w:type="dxa"/>
            </w:tcMar>
          </w:tcPr>
          <w:p>
            <w:pPr>
              <w:spacing w:after="0"/>
            </w:pPr>
            <w:r>
              <w:rPr>
                <w:b w:val="0"/>
                <w:i w:val="0"/>
                <w:color w:val="16261F"/>
                <w:sz w:val="19"/>
              </w:rPr>
              <w:t>1</w:t>
            </w:r>
          </w:p>
        </w:tc>
        <w:tc>
          <w:tcPr>
            <w:tcW w:type="dxa" w:w="1728"/>
            <w:tcMar>
              <w:top w:w="60" w:type="dxa"/>
              <w:left w:w="110" w:type="dxa"/>
              <w:bottom w:w="60" w:type="dxa"/>
              <w:right w:w="110" w:type="dxa"/>
            </w:tcMar>
          </w:tcPr>
          <w:p>
            <w:pPr>
              <w:spacing w:after="0"/>
            </w:pPr>
            <w:r>
              <w:rPr>
                <w:b w:val="0"/>
                <w:i w:val="0"/>
                <w:color w:val="16261F"/>
                <w:sz w:val="19"/>
              </w:rPr>
              <w:t>5</w:t>
            </w:r>
          </w:p>
        </w:tc>
        <w:tc>
          <w:tcPr>
            <w:tcW w:type="dxa" w:w="2880"/>
            <w:tcMar>
              <w:top w:w="60" w:type="dxa"/>
              <w:left w:w="110" w:type="dxa"/>
              <w:bottom w:w="60" w:type="dxa"/>
              <w:right w:w="110" w:type="dxa"/>
            </w:tcMar>
          </w:tcPr>
          <w:p>
            <w:pPr>
              <w:spacing w:after="0"/>
            </w:pPr>
            <w:r>
              <w:rPr>
                <w:b w:val="0"/>
                <w:i w:val="0"/>
                <w:color w:val="16261F"/>
                <w:sz w:val="19"/>
              </w:rPr>
              <w:t>50</w:t>
            </w:r>
          </w:p>
        </w:tc>
      </w:tr>
      <w:tr>
        <w:tc>
          <w:tcPr>
            <w:tcW w:type="dxa" w:w="3024"/>
            <w:tcMar>
              <w:top w:w="60" w:type="dxa"/>
              <w:left w:w="110" w:type="dxa"/>
              <w:bottom w:w="60" w:type="dxa"/>
              <w:right w:w="110" w:type="dxa"/>
            </w:tcMar>
            <w:shd w:val="clear" w:color="auto" w:fill="F5F7F5"/>
          </w:tcPr>
          <w:p>
            <w:pPr>
              <w:spacing w:after="0"/>
            </w:pPr>
            <w:r>
              <w:rPr>
                <w:b w:val="0"/>
                <w:i w:val="0"/>
                <w:color w:val="16261F"/>
                <w:sz w:val="19"/>
              </w:rPr>
              <w:t>Brands per merchant</w:t>
            </w:r>
          </w:p>
        </w:tc>
        <w:tc>
          <w:tcPr>
            <w:tcW w:type="dxa" w:w="1728"/>
            <w:tcMar>
              <w:top w:w="60" w:type="dxa"/>
              <w:left w:w="110" w:type="dxa"/>
              <w:bottom w:w="60" w:type="dxa"/>
              <w:right w:w="110" w:type="dxa"/>
            </w:tcMar>
            <w:shd w:val="clear" w:color="auto" w:fill="F5F7F5"/>
          </w:tcPr>
          <w:p>
            <w:pPr>
              <w:spacing w:after="0"/>
            </w:pPr>
            <w:r>
              <w:rPr>
                <w:b w:val="0"/>
                <w:i w:val="0"/>
                <w:color w:val="16261F"/>
                <w:sz w:val="19"/>
              </w:rPr>
              <w:t>2</w:t>
            </w:r>
          </w:p>
        </w:tc>
        <w:tc>
          <w:tcPr>
            <w:tcW w:type="dxa" w:w="1728"/>
            <w:tcMar>
              <w:top w:w="60" w:type="dxa"/>
              <w:left w:w="110" w:type="dxa"/>
              <w:bottom w:w="60" w:type="dxa"/>
              <w:right w:w="110" w:type="dxa"/>
            </w:tcMar>
            <w:shd w:val="clear" w:color="auto" w:fill="F5F7F5"/>
          </w:tcPr>
          <w:p>
            <w:pPr>
              <w:spacing w:after="0"/>
            </w:pPr>
            <w:r>
              <w:rPr>
                <w:b w:val="0"/>
                <w:i w:val="0"/>
                <w:color w:val="16261F"/>
                <w:sz w:val="19"/>
              </w:rPr>
              <w:t>8</w:t>
            </w:r>
          </w:p>
        </w:tc>
        <w:tc>
          <w:tcPr>
            <w:tcW w:type="dxa" w:w="2880"/>
            <w:tcMar>
              <w:top w:w="60" w:type="dxa"/>
              <w:left w:w="110" w:type="dxa"/>
              <w:bottom w:w="60" w:type="dxa"/>
              <w:right w:w="110" w:type="dxa"/>
            </w:tcMar>
            <w:shd w:val="clear" w:color="auto" w:fill="F5F7F5"/>
          </w:tcPr>
          <w:p>
            <w:pPr>
              <w:spacing w:after="0"/>
            </w:pPr>
            <w:r>
              <w:rPr>
                <w:b w:val="0"/>
                <w:i w:val="0"/>
                <w:color w:val="16261F"/>
                <w:sz w:val="19"/>
              </w:rPr>
              <w:t>50</w:t>
            </w:r>
          </w:p>
        </w:tc>
      </w:tr>
      <w:tr>
        <w:tc>
          <w:tcPr>
            <w:tcW w:type="dxa" w:w="3024"/>
            <w:tcMar>
              <w:top w:w="60" w:type="dxa"/>
              <w:left w:w="110" w:type="dxa"/>
              <w:bottom w:w="60" w:type="dxa"/>
              <w:right w:w="110" w:type="dxa"/>
            </w:tcMar>
          </w:tcPr>
          <w:p>
            <w:pPr>
              <w:spacing w:after="0"/>
            </w:pPr>
            <w:r>
              <w:rPr>
                <w:b w:val="0"/>
                <w:i w:val="0"/>
                <w:color w:val="16261F"/>
                <w:sz w:val="19"/>
              </w:rPr>
              <w:t>Total active brands</w:t>
            </w:r>
          </w:p>
        </w:tc>
        <w:tc>
          <w:tcPr>
            <w:tcW w:type="dxa" w:w="1728"/>
            <w:tcMar>
              <w:top w:w="60" w:type="dxa"/>
              <w:left w:w="110" w:type="dxa"/>
              <w:bottom w:w="60" w:type="dxa"/>
              <w:right w:w="110" w:type="dxa"/>
            </w:tcMar>
          </w:tcPr>
          <w:p>
            <w:pPr>
              <w:spacing w:after="0"/>
            </w:pPr>
            <w:r>
              <w:rPr>
                <w:b w:val="0"/>
                <w:i w:val="0"/>
                <w:color w:val="16261F"/>
                <w:sz w:val="19"/>
              </w:rPr>
              <w:t>2</w:t>
            </w:r>
          </w:p>
        </w:tc>
        <w:tc>
          <w:tcPr>
            <w:tcW w:type="dxa" w:w="1728"/>
            <w:tcMar>
              <w:top w:w="60" w:type="dxa"/>
              <w:left w:w="110" w:type="dxa"/>
              <w:bottom w:w="60" w:type="dxa"/>
              <w:right w:w="110" w:type="dxa"/>
            </w:tcMar>
          </w:tcPr>
          <w:p>
            <w:pPr>
              <w:spacing w:after="0"/>
            </w:pPr>
            <w:r>
              <w:rPr>
                <w:b w:val="0"/>
                <w:i w:val="0"/>
                <w:color w:val="16261F"/>
                <w:sz w:val="19"/>
              </w:rPr>
              <w:t>40</w:t>
            </w:r>
          </w:p>
        </w:tc>
        <w:tc>
          <w:tcPr>
            <w:tcW w:type="dxa" w:w="2880"/>
            <w:tcMar>
              <w:top w:w="60" w:type="dxa"/>
              <w:left w:w="110" w:type="dxa"/>
              <w:bottom w:w="60" w:type="dxa"/>
              <w:right w:w="110" w:type="dxa"/>
            </w:tcMar>
          </w:tcPr>
          <w:p>
            <w:pPr>
              <w:spacing w:after="0"/>
            </w:pPr>
            <w:r>
              <w:rPr>
                <w:b w:val="0"/>
                <w:i w:val="0"/>
                <w:color w:val="16261F"/>
                <w:sz w:val="19"/>
              </w:rPr>
              <w:t>500</w:t>
            </w:r>
          </w:p>
        </w:tc>
      </w:tr>
      <w:tr>
        <w:tc>
          <w:tcPr>
            <w:tcW w:type="dxa" w:w="3024"/>
            <w:tcMar>
              <w:top w:w="60" w:type="dxa"/>
              <w:left w:w="110" w:type="dxa"/>
              <w:bottom w:w="60" w:type="dxa"/>
              <w:right w:w="110" w:type="dxa"/>
            </w:tcMar>
            <w:shd w:val="clear" w:color="auto" w:fill="F5F7F5"/>
          </w:tcPr>
          <w:p>
            <w:pPr>
              <w:spacing w:after="0"/>
            </w:pPr>
            <w:r>
              <w:rPr>
                <w:b w:val="0"/>
                <w:i w:val="0"/>
                <w:color w:val="16261F"/>
                <w:sz w:val="19"/>
              </w:rPr>
              <w:t>Customers per brand</w:t>
            </w:r>
          </w:p>
        </w:tc>
        <w:tc>
          <w:tcPr>
            <w:tcW w:type="dxa" w:w="1728"/>
            <w:tcMar>
              <w:top w:w="60" w:type="dxa"/>
              <w:left w:w="110" w:type="dxa"/>
              <w:bottom w:w="60" w:type="dxa"/>
              <w:right w:w="110" w:type="dxa"/>
            </w:tcMar>
            <w:shd w:val="clear" w:color="auto" w:fill="F5F7F5"/>
          </w:tcPr>
          <w:p>
            <w:pPr>
              <w:spacing w:after="0"/>
            </w:pPr>
            <w:r>
              <w:rPr>
                <w:b w:val="0"/>
                <w:i w:val="0"/>
                <w:color w:val="16261F"/>
                <w:sz w:val="19"/>
              </w:rPr>
              <w:t>50</w:t>
            </w:r>
          </w:p>
        </w:tc>
        <w:tc>
          <w:tcPr>
            <w:tcW w:type="dxa" w:w="1728"/>
            <w:tcMar>
              <w:top w:w="60" w:type="dxa"/>
              <w:left w:w="110" w:type="dxa"/>
              <w:bottom w:w="60" w:type="dxa"/>
              <w:right w:w="110" w:type="dxa"/>
            </w:tcMar>
            <w:shd w:val="clear" w:color="auto" w:fill="F5F7F5"/>
          </w:tcPr>
          <w:p>
            <w:pPr>
              <w:spacing w:after="0"/>
            </w:pPr>
            <w:r>
              <w:rPr>
                <w:b w:val="0"/>
                <w:i w:val="0"/>
                <w:color w:val="16261F"/>
                <w:sz w:val="19"/>
              </w:rPr>
              <w:t>500</w:t>
            </w:r>
          </w:p>
        </w:tc>
        <w:tc>
          <w:tcPr>
            <w:tcW w:type="dxa" w:w="2880"/>
            <w:tcMar>
              <w:top w:w="60" w:type="dxa"/>
              <w:left w:w="110" w:type="dxa"/>
              <w:bottom w:w="60" w:type="dxa"/>
              <w:right w:w="110" w:type="dxa"/>
            </w:tcMar>
            <w:shd w:val="clear" w:color="auto" w:fill="F5F7F5"/>
          </w:tcPr>
          <w:p>
            <w:pPr>
              <w:spacing w:after="0"/>
            </w:pPr>
            <w:r>
              <w:rPr>
                <w:b w:val="0"/>
                <w:i w:val="0"/>
                <w:color w:val="16261F"/>
                <w:sz w:val="19"/>
              </w:rPr>
              <w:t>10,000</w:t>
            </w:r>
          </w:p>
        </w:tc>
      </w:tr>
      <w:tr>
        <w:tc>
          <w:tcPr>
            <w:tcW w:type="dxa" w:w="3024"/>
            <w:tcMar>
              <w:top w:w="60" w:type="dxa"/>
              <w:left w:w="110" w:type="dxa"/>
              <w:bottom w:w="60" w:type="dxa"/>
              <w:right w:w="110" w:type="dxa"/>
            </w:tcMar>
          </w:tcPr>
          <w:p>
            <w:pPr>
              <w:spacing w:after="0"/>
            </w:pPr>
            <w:r>
              <w:rPr>
                <w:b w:val="0"/>
                <w:i w:val="0"/>
                <w:color w:val="16261F"/>
                <w:sz w:val="19"/>
              </w:rPr>
              <w:t>Invoices issued per month</w:t>
            </w:r>
          </w:p>
        </w:tc>
        <w:tc>
          <w:tcPr>
            <w:tcW w:type="dxa" w:w="1728"/>
            <w:tcMar>
              <w:top w:w="60" w:type="dxa"/>
              <w:left w:w="110" w:type="dxa"/>
              <w:bottom w:w="60" w:type="dxa"/>
              <w:right w:w="110" w:type="dxa"/>
            </w:tcMar>
          </w:tcPr>
          <w:p>
            <w:pPr>
              <w:spacing w:after="0"/>
            </w:pPr>
            <w:r>
              <w:rPr>
                <w:b w:val="0"/>
                <w:i w:val="0"/>
                <w:color w:val="16261F"/>
                <w:sz w:val="19"/>
              </w:rPr>
              <w:t>200</w:t>
            </w:r>
          </w:p>
        </w:tc>
        <w:tc>
          <w:tcPr>
            <w:tcW w:type="dxa" w:w="1728"/>
            <w:tcMar>
              <w:top w:w="60" w:type="dxa"/>
              <w:left w:w="110" w:type="dxa"/>
              <w:bottom w:w="60" w:type="dxa"/>
              <w:right w:w="110" w:type="dxa"/>
            </w:tcMar>
          </w:tcPr>
          <w:p>
            <w:pPr>
              <w:spacing w:after="0"/>
            </w:pPr>
            <w:r>
              <w:rPr>
                <w:b w:val="0"/>
                <w:i w:val="0"/>
                <w:color w:val="16261F"/>
                <w:sz w:val="19"/>
              </w:rPr>
              <w:t>5,000</w:t>
            </w:r>
          </w:p>
        </w:tc>
        <w:tc>
          <w:tcPr>
            <w:tcW w:type="dxa" w:w="2880"/>
            <w:tcMar>
              <w:top w:w="60" w:type="dxa"/>
              <w:left w:w="110" w:type="dxa"/>
              <w:bottom w:w="60" w:type="dxa"/>
              <w:right w:w="110" w:type="dxa"/>
            </w:tcMar>
          </w:tcPr>
          <w:p>
            <w:pPr>
              <w:spacing w:after="0"/>
            </w:pPr>
            <w:r>
              <w:rPr>
                <w:b w:val="0"/>
                <w:i w:val="0"/>
                <w:color w:val="16261F"/>
                <w:sz w:val="19"/>
              </w:rPr>
              <w:t>50,000</w:t>
            </w:r>
          </w:p>
        </w:tc>
      </w:tr>
      <w:tr>
        <w:tc>
          <w:tcPr>
            <w:tcW w:type="dxa" w:w="3024"/>
            <w:tcMar>
              <w:top w:w="60" w:type="dxa"/>
              <w:left w:w="110" w:type="dxa"/>
              <w:bottom w:w="60" w:type="dxa"/>
              <w:right w:w="110" w:type="dxa"/>
            </w:tcMar>
            <w:shd w:val="clear" w:color="auto" w:fill="F5F7F5"/>
          </w:tcPr>
          <w:p>
            <w:pPr>
              <w:spacing w:after="0"/>
            </w:pPr>
            <w:r>
              <w:rPr>
                <w:b w:val="0"/>
                <w:i w:val="0"/>
                <w:color w:val="16261F"/>
                <w:sz w:val="19"/>
              </w:rPr>
              <w:t>Payment transactions per month</w:t>
            </w:r>
          </w:p>
        </w:tc>
        <w:tc>
          <w:tcPr>
            <w:tcW w:type="dxa" w:w="1728"/>
            <w:tcMar>
              <w:top w:w="60" w:type="dxa"/>
              <w:left w:w="110" w:type="dxa"/>
              <w:bottom w:w="60" w:type="dxa"/>
              <w:right w:w="110" w:type="dxa"/>
            </w:tcMar>
            <w:shd w:val="clear" w:color="auto" w:fill="F5F7F5"/>
          </w:tcPr>
          <w:p>
            <w:pPr>
              <w:spacing w:after="0"/>
            </w:pPr>
            <w:r>
              <w:rPr>
                <w:b w:val="0"/>
                <w:i w:val="0"/>
                <w:color w:val="16261F"/>
                <w:sz w:val="19"/>
              </w:rPr>
              <w:t>180</w:t>
            </w:r>
          </w:p>
        </w:tc>
        <w:tc>
          <w:tcPr>
            <w:tcW w:type="dxa" w:w="1728"/>
            <w:tcMar>
              <w:top w:w="60" w:type="dxa"/>
              <w:left w:w="110" w:type="dxa"/>
              <w:bottom w:w="60" w:type="dxa"/>
              <w:right w:w="110" w:type="dxa"/>
            </w:tcMar>
            <w:shd w:val="clear" w:color="auto" w:fill="F5F7F5"/>
          </w:tcPr>
          <w:p>
            <w:pPr>
              <w:spacing w:after="0"/>
            </w:pPr>
            <w:r>
              <w:rPr>
                <w:b w:val="0"/>
                <w:i w:val="0"/>
                <w:color w:val="16261F"/>
                <w:sz w:val="19"/>
              </w:rPr>
              <w:t>4,500</w:t>
            </w:r>
          </w:p>
        </w:tc>
        <w:tc>
          <w:tcPr>
            <w:tcW w:type="dxa" w:w="2880"/>
            <w:tcMar>
              <w:top w:w="60" w:type="dxa"/>
              <w:left w:w="110" w:type="dxa"/>
              <w:bottom w:w="60" w:type="dxa"/>
              <w:right w:w="110" w:type="dxa"/>
            </w:tcMar>
            <w:shd w:val="clear" w:color="auto" w:fill="F5F7F5"/>
          </w:tcPr>
          <w:p>
            <w:pPr>
              <w:spacing w:after="0"/>
            </w:pPr>
            <w:r>
              <w:rPr>
                <w:b w:val="0"/>
                <w:i w:val="0"/>
                <w:color w:val="16261F"/>
                <w:sz w:val="19"/>
              </w:rPr>
              <w:t>45,000</w:t>
            </w:r>
          </w:p>
        </w:tc>
      </w:tr>
      <w:tr>
        <w:tc>
          <w:tcPr>
            <w:tcW w:type="dxa" w:w="3024"/>
            <w:tcMar>
              <w:top w:w="60" w:type="dxa"/>
              <w:left w:w="110" w:type="dxa"/>
              <w:bottom w:w="60" w:type="dxa"/>
              <w:right w:w="110" w:type="dxa"/>
            </w:tcMar>
          </w:tcPr>
          <w:p>
            <w:pPr>
              <w:spacing w:after="0"/>
            </w:pPr>
            <w:r>
              <w:rPr>
                <w:b w:val="0"/>
                <w:i w:val="0"/>
                <w:color w:val="16261F"/>
                <w:sz w:val="19"/>
              </w:rPr>
              <w:t>Concurrent merchant users</w:t>
            </w:r>
          </w:p>
        </w:tc>
        <w:tc>
          <w:tcPr>
            <w:tcW w:type="dxa" w:w="1728"/>
            <w:tcMar>
              <w:top w:w="60" w:type="dxa"/>
              <w:left w:w="110" w:type="dxa"/>
              <w:bottom w:w="60" w:type="dxa"/>
              <w:right w:w="110" w:type="dxa"/>
            </w:tcMar>
          </w:tcPr>
          <w:p>
            <w:pPr>
              <w:spacing w:after="0"/>
            </w:pPr>
            <w:r>
              <w:rPr>
                <w:b w:val="0"/>
                <w:i w:val="0"/>
                <w:color w:val="16261F"/>
                <w:sz w:val="19"/>
              </w:rPr>
              <w:t>5</w:t>
            </w:r>
          </w:p>
        </w:tc>
        <w:tc>
          <w:tcPr>
            <w:tcW w:type="dxa" w:w="1728"/>
            <w:tcMar>
              <w:top w:w="60" w:type="dxa"/>
              <w:left w:w="110" w:type="dxa"/>
              <w:bottom w:w="60" w:type="dxa"/>
              <w:right w:w="110" w:type="dxa"/>
            </w:tcMar>
          </w:tcPr>
          <w:p>
            <w:pPr>
              <w:spacing w:after="0"/>
            </w:pPr>
            <w:r>
              <w:rPr>
                <w:b w:val="0"/>
                <w:i w:val="0"/>
                <w:color w:val="16261F"/>
                <w:sz w:val="19"/>
              </w:rPr>
              <w:t>40</w:t>
            </w:r>
          </w:p>
        </w:tc>
        <w:tc>
          <w:tcPr>
            <w:tcW w:type="dxa" w:w="2880"/>
            <w:tcMar>
              <w:top w:w="60" w:type="dxa"/>
              <w:left w:w="110" w:type="dxa"/>
              <w:bottom w:w="60" w:type="dxa"/>
              <w:right w:w="110" w:type="dxa"/>
            </w:tcMar>
          </w:tcPr>
          <w:p>
            <w:pPr>
              <w:spacing w:after="0"/>
            </w:pPr>
            <w:r>
              <w:rPr>
                <w:b w:val="0"/>
                <w:i w:val="0"/>
                <w:color w:val="16261F"/>
                <w:sz w:val="19"/>
              </w:rPr>
              <w:t>400</w:t>
            </w:r>
          </w:p>
        </w:tc>
      </w:tr>
      <w:tr>
        <w:tc>
          <w:tcPr>
            <w:tcW w:type="dxa" w:w="3024"/>
            <w:tcMar>
              <w:top w:w="60" w:type="dxa"/>
              <w:left w:w="110" w:type="dxa"/>
              <w:bottom w:w="60" w:type="dxa"/>
              <w:right w:w="110" w:type="dxa"/>
            </w:tcMar>
            <w:shd w:val="clear" w:color="auto" w:fill="F5F7F5"/>
          </w:tcPr>
          <w:p>
            <w:pPr>
              <w:spacing w:after="0"/>
            </w:pPr>
            <w:r>
              <w:rPr>
                <w:b w:val="0"/>
                <w:i w:val="0"/>
                <w:color w:val="16261F"/>
                <w:sz w:val="19"/>
              </w:rPr>
              <w:t>Peak concurrent payment sessions</w:t>
            </w:r>
          </w:p>
        </w:tc>
        <w:tc>
          <w:tcPr>
            <w:tcW w:type="dxa" w:w="1728"/>
            <w:tcMar>
              <w:top w:w="60" w:type="dxa"/>
              <w:left w:w="110" w:type="dxa"/>
              <w:bottom w:w="60" w:type="dxa"/>
              <w:right w:w="110" w:type="dxa"/>
            </w:tcMar>
            <w:shd w:val="clear" w:color="auto" w:fill="F5F7F5"/>
          </w:tcPr>
          <w:p>
            <w:pPr>
              <w:spacing w:after="0"/>
            </w:pPr>
            <w:r>
              <w:rPr>
                <w:b w:val="0"/>
                <w:i w:val="0"/>
                <w:color w:val="16261F"/>
                <w:sz w:val="19"/>
              </w:rPr>
              <w:t>5</w:t>
            </w:r>
          </w:p>
        </w:tc>
        <w:tc>
          <w:tcPr>
            <w:tcW w:type="dxa" w:w="1728"/>
            <w:tcMar>
              <w:top w:w="60" w:type="dxa"/>
              <w:left w:w="110" w:type="dxa"/>
              <w:bottom w:w="60" w:type="dxa"/>
              <w:right w:w="110" w:type="dxa"/>
            </w:tcMar>
            <w:shd w:val="clear" w:color="auto" w:fill="F5F7F5"/>
          </w:tcPr>
          <w:p>
            <w:pPr>
              <w:spacing w:after="0"/>
            </w:pPr>
            <w:r>
              <w:rPr>
                <w:b w:val="0"/>
                <w:i w:val="0"/>
                <w:color w:val="16261F"/>
                <w:sz w:val="19"/>
              </w:rPr>
              <w:t>50</w:t>
            </w:r>
          </w:p>
        </w:tc>
        <w:tc>
          <w:tcPr>
            <w:tcW w:type="dxa" w:w="2880"/>
            <w:tcMar>
              <w:top w:w="60" w:type="dxa"/>
              <w:left w:w="110" w:type="dxa"/>
              <w:bottom w:w="60" w:type="dxa"/>
              <w:right w:w="110" w:type="dxa"/>
            </w:tcMar>
            <w:shd w:val="clear" w:color="auto" w:fill="F5F7F5"/>
          </w:tcPr>
          <w:p>
            <w:pPr>
              <w:spacing w:after="0"/>
            </w:pPr>
            <w:r>
              <w:rPr>
                <w:b w:val="0"/>
                <w:i w:val="0"/>
                <w:color w:val="16261F"/>
                <w:sz w:val="19"/>
              </w:rPr>
              <w:t>500</w:t>
            </w:r>
          </w:p>
        </w:tc>
      </w:tr>
      <w:tr>
        <w:tc>
          <w:tcPr>
            <w:tcW w:type="dxa" w:w="3024"/>
            <w:tcMar>
              <w:top w:w="60" w:type="dxa"/>
              <w:left w:w="110" w:type="dxa"/>
              <w:bottom w:w="60" w:type="dxa"/>
              <w:right w:w="110" w:type="dxa"/>
            </w:tcMar>
          </w:tcPr>
          <w:p>
            <w:pPr>
              <w:spacing w:after="0"/>
            </w:pPr>
            <w:r>
              <w:rPr>
                <w:b w:val="0"/>
                <w:i w:val="0"/>
                <w:color w:val="16261F"/>
                <w:sz w:val="19"/>
              </w:rPr>
              <w:t>Zoho API calls per brand per day</w:t>
            </w:r>
          </w:p>
        </w:tc>
        <w:tc>
          <w:tcPr>
            <w:tcW w:type="dxa" w:w="1728"/>
            <w:tcMar>
              <w:top w:w="60" w:type="dxa"/>
              <w:left w:w="110" w:type="dxa"/>
              <w:bottom w:w="60" w:type="dxa"/>
              <w:right w:w="110" w:type="dxa"/>
            </w:tcMar>
          </w:tcPr>
          <w:p>
            <w:pPr>
              <w:spacing w:after="0"/>
            </w:pPr>
            <w:r>
              <w:rPr>
                <w:b w:val="0"/>
                <w:i w:val="0"/>
                <w:color w:val="16261F"/>
                <w:sz w:val="19"/>
              </w:rPr>
              <w:t>300</w:t>
            </w:r>
          </w:p>
        </w:tc>
        <w:tc>
          <w:tcPr>
            <w:tcW w:type="dxa" w:w="1728"/>
            <w:tcMar>
              <w:top w:w="60" w:type="dxa"/>
              <w:left w:w="110" w:type="dxa"/>
              <w:bottom w:w="60" w:type="dxa"/>
              <w:right w:w="110" w:type="dxa"/>
            </w:tcMar>
          </w:tcPr>
          <w:p>
            <w:pPr>
              <w:spacing w:after="0"/>
            </w:pPr>
            <w:r>
              <w:rPr>
                <w:b w:val="0"/>
                <w:i w:val="0"/>
                <w:color w:val="16261F"/>
                <w:sz w:val="19"/>
              </w:rPr>
              <w:t>1,500</w:t>
            </w:r>
          </w:p>
        </w:tc>
        <w:tc>
          <w:tcPr>
            <w:tcW w:type="dxa" w:w="2880"/>
            <w:tcMar>
              <w:top w:w="60" w:type="dxa"/>
              <w:left w:w="110" w:type="dxa"/>
              <w:bottom w:w="60" w:type="dxa"/>
              <w:right w:w="110" w:type="dxa"/>
            </w:tcMar>
          </w:tcPr>
          <w:p>
            <w:pPr>
              <w:spacing w:after="0"/>
            </w:pPr>
            <w:r>
              <w:rPr>
                <w:b w:val="0"/>
                <w:i w:val="0"/>
                <w:color w:val="16261F"/>
                <w:sz w:val="19"/>
              </w:rPr>
              <w:t>5,000 (provider cap)</w:t>
            </w:r>
          </w:p>
        </w:tc>
      </w:tr>
      <w:tr>
        <w:tc>
          <w:tcPr>
            <w:tcW w:type="dxa" w:w="3024"/>
            <w:tcMar>
              <w:top w:w="60" w:type="dxa"/>
              <w:left w:w="110" w:type="dxa"/>
              <w:bottom w:w="60" w:type="dxa"/>
              <w:right w:w="110" w:type="dxa"/>
            </w:tcMar>
            <w:shd w:val="clear" w:color="auto" w:fill="F5F7F5"/>
          </w:tcPr>
          <w:p>
            <w:pPr>
              <w:spacing w:after="0"/>
            </w:pPr>
            <w:r>
              <w:rPr>
                <w:b w:val="0"/>
                <w:i w:val="0"/>
                <w:color w:val="16261F"/>
                <w:sz w:val="19"/>
              </w:rPr>
              <w:t>Emails sent per month</w:t>
            </w:r>
          </w:p>
        </w:tc>
        <w:tc>
          <w:tcPr>
            <w:tcW w:type="dxa" w:w="1728"/>
            <w:tcMar>
              <w:top w:w="60" w:type="dxa"/>
              <w:left w:w="110" w:type="dxa"/>
              <w:bottom w:w="60" w:type="dxa"/>
              <w:right w:w="110" w:type="dxa"/>
            </w:tcMar>
            <w:shd w:val="clear" w:color="auto" w:fill="F5F7F5"/>
          </w:tcPr>
          <w:p>
            <w:pPr>
              <w:spacing w:after="0"/>
            </w:pPr>
            <w:r>
              <w:rPr>
                <w:b w:val="0"/>
                <w:i w:val="0"/>
                <w:color w:val="16261F"/>
                <w:sz w:val="19"/>
              </w:rPr>
              <w:t>600</w:t>
            </w:r>
          </w:p>
        </w:tc>
        <w:tc>
          <w:tcPr>
            <w:tcW w:type="dxa" w:w="1728"/>
            <w:tcMar>
              <w:top w:w="60" w:type="dxa"/>
              <w:left w:w="110" w:type="dxa"/>
              <w:bottom w:w="60" w:type="dxa"/>
              <w:right w:w="110" w:type="dxa"/>
            </w:tcMar>
            <w:shd w:val="clear" w:color="auto" w:fill="F5F7F5"/>
          </w:tcPr>
          <w:p>
            <w:pPr>
              <w:spacing w:after="0"/>
            </w:pPr>
            <w:r>
              <w:rPr>
                <w:b w:val="0"/>
                <w:i w:val="0"/>
                <w:color w:val="16261F"/>
                <w:sz w:val="19"/>
              </w:rPr>
              <w:t>15,000</w:t>
            </w:r>
          </w:p>
        </w:tc>
        <w:tc>
          <w:tcPr>
            <w:tcW w:type="dxa" w:w="2880"/>
            <w:tcMar>
              <w:top w:w="60" w:type="dxa"/>
              <w:left w:w="110" w:type="dxa"/>
              <w:bottom w:w="60" w:type="dxa"/>
              <w:right w:w="110" w:type="dxa"/>
            </w:tcMar>
            <w:shd w:val="clear" w:color="auto" w:fill="F5F7F5"/>
          </w:tcPr>
          <w:p>
            <w:pPr>
              <w:spacing w:after="0"/>
            </w:pPr>
            <w:r>
              <w:rPr>
                <w:b w:val="0"/>
                <w:i w:val="0"/>
                <w:color w:val="16261F"/>
                <w:sz w:val="19"/>
              </w:rPr>
              <w:t>150,000</w:t>
            </w:r>
          </w:p>
        </w:tc>
      </w:tr>
      <w:tr>
        <w:tc>
          <w:tcPr>
            <w:tcW w:type="dxa" w:w="3024"/>
            <w:tcMar>
              <w:top w:w="60" w:type="dxa"/>
              <w:left w:w="110" w:type="dxa"/>
              <w:bottom w:w="60" w:type="dxa"/>
              <w:right w:w="110" w:type="dxa"/>
            </w:tcMar>
          </w:tcPr>
          <w:p>
            <w:pPr>
              <w:spacing w:after="0"/>
            </w:pPr>
            <w:r>
              <w:rPr>
                <w:b w:val="0"/>
                <w:i w:val="0"/>
                <w:color w:val="16261F"/>
                <w:sz w:val="19"/>
              </w:rPr>
              <w:t>Stored check images (Phase 2)</w:t>
            </w:r>
          </w:p>
        </w:tc>
        <w:tc>
          <w:tcPr>
            <w:tcW w:type="dxa" w:w="1728"/>
            <w:tcMar>
              <w:top w:w="60" w:type="dxa"/>
              <w:left w:w="110" w:type="dxa"/>
              <w:bottom w:w="60" w:type="dxa"/>
              <w:right w:w="110" w:type="dxa"/>
            </w:tcMar>
          </w:tcPr>
          <w:p>
            <w:pPr>
              <w:spacing w:after="0"/>
            </w:pPr>
            <w:r>
              <w:rPr>
                <w:b w:val="0"/>
                <w:i w:val="0"/>
                <w:color w:val="16261F"/>
                <w:sz w:val="19"/>
              </w:rPr>
              <w:t>0</w:t>
            </w:r>
          </w:p>
        </w:tc>
        <w:tc>
          <w:tcPr>
            <w:tcW w:type="dxa" w:w="1728"/>
            <w:tcMar>
              <w:top w:w="60" w:type="dxa"/>
              <w:left w:w="110" w:type="dxa"/>
              <w:bottom w:w="60" w:type="dxa"/>
              <w:right w:w="110" w:type="dxa"/>
            </w:tcMar>
          </w:tcPr>
          <w:p>
            <w:pPr>
              <w:spacing w:after="0"/>
            </w:pPr>
            <w:r>
              <w:rPr>
                <w:b w:val="0"/>
                <w:i w:val="0"/>
                <w:color w:val="16261F"/>
                <w:sz w:val="19"/>
              </w:rPr>
              <w:t>2,000</w:t>
            </w:r>
          </w:p>
        </w:tc>
        <w:tc>
          <w:tcPr>
            <w:tcW w:type="dxa" w:w="2880"/>
            <w:tcMar>
              <w:top w:w="60" w:type="dxa"/>
              <w:left w:w="110" w:type="dxa"/>
              <w:bottom w:w="60" w:type="dxa"/>
              <w:right w:w="110" w:type="dxa"/>
            </w:tcMar>
          </w:tcPr>
          <w:p>
            <w:pPr>
              <w:spacing w:after="0"/>
            </w:pPr>
            <w:r>
              <w:rPr>
                <w:b w:val="0"/>
                <w:i w:val="0"/>
                <w:color w:val="16261F"/>
                <w:sz w:val="19"/>
              </w:rPr>
              <w:t>50,000</w:t>
            </w:r>
          </w:p>
        </w:tc>
      </w:tr>
    </w:tbl>
    <w:p>
      <w:pPr>
        <w:pStyle w:val="Heading2"/>
      </w:pPr>
      <w:r>
        <w:t>2.1 Load shape</w:t>
      </w:r>
    </w:p>
    <w:p>
      <w:pPr>
        <w:spacing w:after="140"/>
      </w:pPr>
      <w:r>
        <w:rPr>
          <w:b w:val="0"/>
          <w:i w:val="0"/>
          <w:color w:val="16261F"/>
          <w:sz w:val="21"/>
        </w:rPr>
        <w:t>Invoicing is not uniformly distributed. The model assumes pronounced peaks that the system must absorb without degradation:</w:t>
      </w:r>
    </w:p>
    <w:p>
      <w:pPr>
        <w:pStyle w:val="ListBullet"/>
        <w:spacing w:after="60"/>
        <w:ind w:left="360"/>
      </w:pPr>
      <w:r>
        <w:rPr>
          <w:color w:val="16261F"/>
          <w:sz w:val="21"/>
        </w:rPr>
        <w:t>Month-end billing runs</w:t>
      </w:r>
      <w:r>
        <w:rPr>
          <w:color w:val="5B6B63"/>
          <w:sz w:val="21"/>
        </w:rPr>
        <w:t xml:space="preserve"> — up to 40% of a month's invoices issued within the final two business days</w:t>
      </w:r>
    </w:p>
    <w:p>
      <w:pPr>
        <w:pStyle w:val="ListBullet"/>
        <w:spacing w:after="60"/>
        <w:ind w:left="360"/>
      </w:pPr>
      <w:r>
        <w:rPr>
          <w:color w:val="16261F"/>
          <w:sz w:val="21"/>
        </w:rPr>
        <w:t>Business-hours concentration</w:t>
      </w:r>
      <w:r>
        <w:rPr>
          <w:color w:val="5B6B63"/>
          <w:sz w:val="21"/>
        </w:rPr>
        <w:t xml:space="preserve"> — roughly 85% of merchant activity falls within 09:00–18:00 in the brand's time zone</w:t>
      </w:r>
    </w:p>
    <w:p>
      <w:pPr>
        <w:pStyle w:val="ListBullet"/>
        <w:spacing w:after="60"/>
        <w:ind w:left="360"/>
      </w:pPr>
      <w:r>
        <w:rPr>
          <w:color w:val="16261F"/>
          <w:sz w:val="21"/>
        </w:rPr>
        <w:t>Payment lag</w:t>
      </w:r>
      <w:r>
        <w:rPr>
          <w:color w:val="5B6B63"/>
          <w:sz w:val="21"/>
        </w:rPr>
        <w:t xml:space="preserve"> — customer payments cluster 3–7 days after issue and again immediately before the due date</w:t>
      </w:r>
    </w:p>
    <w:p>
      <w:pPr>
        <w:pStyle w:val="ListBullet"/>
        <w:spacing w:after="60"/>
        <w:ind w:left="360"/>
      </w:pPr>
      <w:r>
        <w:rPr>
          <w:color w:val="16261F"/>
          <w:sz w:val="21"/>
        </w:rPr>
        <w:t>Sync bursts</w:t>
      </w:r>
      <w:r>
        <w:rPr>
          <w:color w:val="5B6B63"/>
          <w:sz w:val="21"/>
        </w:rPr>
        <w:t xml:space="preserve"> — an initial Zoho full import may involve several thousand records in a single run</w:t>
      </w:r>
    </w:p>
    <w:p>
      <w:r>
        <w:br w:type="page"/>
      </w:r>
    </w:p>
    <w:p>
      <w:pPr>
        <w:pStyle w:val="Heading1"/>
      </w:pPr>
      <w:r>
        <w:t>3. NFR-PRF — Performance and responsiveness</w:t>
      </w:r>
    </w:p>
    <w:p>
      <w:pPr>
        <w:spacing w:after="140"/>
      </w:pPr>
      <w:r>
        <w:rPr>
          <w:b w:val="0"/>
          <w:i w:val="0"/>
          <w:color w:val="16261F"/>
          <w:sz w:val="21"/>
        </w:rPr>
        <w:t>Response time targets are stated at the 95th percentile under the Month-12 load model, measured server-side at the application boundary unless otherwise stated.</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NFR-PRF-001</w:t>
            </w:r>
          </w:p>
        </w:tc>
        <w:tc>
          <w:tcPr>
            <w:tcW w:type="dxa" w:w="5544"/>
            <w:tcMar>
              <w:top w:w="60" w:type="dxa"/>
              <w:left w:w="110" w:type="dxa"/>
              <w:bottom w:w="60" w:type="dxa"/>
              <w:right w:w="110" w:type="dxa"/>
            </w:tcMar>
          </w:tcPr>
          <w:p>
            <w:pPr>
              <w:spacing w:after="0"/>
            </w:pPr>
            <w:r>
              <w:rPr>
                <w:b w:val="0"/>
                <w:i w:val="0"/>
                <w:color w:val="16261F"/>
                <w:sz w:val="18"/>
              </w:rPr>
              <w:t>Authenticated page shell responds within 500 ms at p95 and 1,200 ms at p99.</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NFR-PRF-002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Invoice list of 500 records renders within 1.5 s at p95, including filter application.</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Measure</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NFR-PRF-003</w:t>
            </w:r>
          </w:p>
        </w:tc>
        <w:tc>
          <w:tcPr>
            <w:tcW w:type="dxa" w:w="5544"/>
            <w:tcMar>
              <w:top w:w="60" w:type="dxa"/>
              <w:left w:w="110" w:type="dxa"/>
              <w:bottom w:w="60" w:type="dxa"/>
              <w:right w:w="110" w:type="dxa"/>
            </w:tcMar>
          </w:tcPr>
          <w:p>
            <w:pPr>
              <w:spacing w:after="0"/>
            </w:pPr>
            <w:r>
              <w:rPr>
                <w:b w:val="0"/>
                <w:i w:val="0"/>
                <w:color w:val="16261F"/>
                <w:sz w:val="18"/>
              </w:rPr>
              <w:t>Customer list of 5,000 records paginates within 1.5 s at p95.</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NFR-PRF-004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Dashboard aggregation across 40 brands completes within 2.5 s at p95.</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Measure</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NFR-PRF-005</w:t>
            </w:r>
          </w:p>
        </w:tc>
        <w:tc>
          <w:tcPr>
            <w:tcW w:type="dxa" w:w="5544"/>
            <w:tcMar>
              <w:top w:w="60" w:type="dxa"/>
              <w:left w:w="110" w:type="dxa"/>
              <w:bottom w:w="60" w:type="dxa"/>
              <w:right w:w="110" w:type="dxa"/>
            </w:tcMar>
          </w:tcPr>
          <w:p>
            <w:pPr>
              <w:spacing w:after="0"/>
            </w:pPr>
            <w:r>
              <w:rPr>
                <w:b w:val="0"/>
                <w:i w:val="0"/>
                <w:color w:val="16261F"/>
                <w:sz w:val="18"/>
              </w:rPr>
              <w:t>Invoice save operation completes within 800 ms at p95.</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NFR-PRF-006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Invoice PDF generation completes within 3 s at p95 and is served from cache on subsequent requests.</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Measure</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NFR-PRF-010</w:t>
            </w:r>
          </w:p>
        </w:tc>
        <w:tc>
          <w:tcPr>
            <w:tcW w:type="dxa" w:w="5544"/>
            <w:tcMar>
              <w:top w:w="60" w:type="dxa"/>
              <w:left w:w="110" w:type="dxa"/>
              <w:bottom w:w="60" w:type="dxa"/>
              <w:right w:w="110" w:type="dxa"/>
            </w:tcMar>
          </w:tcPr>
          <w:p>
            <w:pPr>
              <w:spacing w:after="0"/>
            </w:pPr>
            <w:r>
              <w:rPr>
                <w:b w:val="0"/>
                <w:i w:val="0"/>
                <w:color w:val="16261F"/>
                <w:sz w:val="18"/>
              </w:rPr>
              <w:t>Public payment page achieves first contentful paint within 1.5 s on a 4G connection at p95.</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NFR-PRF-011</w:t>
            </w:r>
          </w:p>
        </w:tc>
        <w:tc>
          <w:tcPr>
            <w:tcW w:type="dxa" w:w="5544"/>
            <w:tcMar>
              <w:top w:w="60" w:type="dxa"/>
              <w:left w:w="110" w:type="dxa"/>
              <w:bottom w:w="60" w:type="dxa"/>
              <w:right w:w="110" w:type="dxa"/>
            </w:tcMar>
            <w:shd w:val="clear" w:color="auto" w:fill="F5F7F5"/>
          </w:tcPr>
          <w:p>
            <w:pPr>
              <w:spacing w:after="0"/>
            </w:pPr>
            <w:r>
              <w:rPr>
                <w:b w:val="0"/>
                <w:i w:val="0"/>
                <w:color w:val="16261F"/>
                <w:sz w:val="18"/>
              </w:rPr>
              <w:t>Public payment page achieves interactive state within 2.5 s on a 4G connection at p95.</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Measure</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NFR-PRF-012</w:t>
            </w:r>
          </w:p>
        </w:tc>
        <w:tc>
          <w:tcPr>
            <w:tcW w:type="dxa" w:w="5544"/>
            <w:tcMar>
              <w:top w:w="60" w:type="dxa"/>
              <w:left w:w="110" w:type="dxa"/>
              <w:bottom w:w="60" w:type="dxa"/>
              <w:right w:w="110" w:type="dxa"/>
            </w:tcMar>
          </w:tcPr>
          <w:p>
            <w:pPr>
              <w:spacing w:after="0"/>
            </w:pPr>
            <w:r>
              <w:rPr>
                <w:b w:val="0"/>
                <w:i w:val="0"/>
                <w:color w:val="16261F"/>
                <w:sz w:val="18"/>
              </w:rPr>
              <w:t>Payment authorisation round trip, excluding gateway processing time, adds no more than 400 ms of platform latency.</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NFR-PRF-013</w:t>
            </w:r>
          </w:p>
        </w:tc>
        <w:tc>
          <w:tcPr>
            <w:tcW w:type="dxa" w:w="5544"/>
            <w:tcMar>
              <w:top w:w="60" w:type="dxa"/>
              <w:left w:w="110" w:type="dxa"/>
              <w:bottom w:w="60" w:type="dxa"/>
              <w:right w:w="110" w:type="dxa"/>
            </w:tcMar>
            <w:shd w:val="clear" w:color="auto" w:fill="F5F7F5"/>
          </w:tcPr>
          <w:p>
            <w:pPr>
              <w:spacing w:after="0"/>
            </w:pPr>
            <w:r>
              <w:rPr>
                <w:b w:val="0"/>
                <w:i w:val="0"/>
                <w:color w:val="16261F"/>
                <w:sz w:val="18"/>
              </w:rPr>
              <w:t>Payment page total transferred weight does not exceed 400 KB compressed on first load.</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Measure</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NFR-PRF-020</w:t>
            </w:r>
          </w:p>
        </w:tc>
        <w:tc>
          <w:tcPr>
            <w:tcW w:type="dxa" w:w="5544"/>
            <w:tcMar>
              <w:top w:w="60" w:type="dxa"/>
              <w:left w:w="110" w:type="dxa"/>
              <w:bottom w:w="60" w:type="dxa"/>
              <w:right w:w="110" w:type="dxa"/>
            </w:tcMar>
          </w:tcPr>
          <w:p>
            <w:pPr>
              <w:spacing w:after="0"/>
            </w:pPr>
            <w:r>
              <w:rPr>
                <w:b w:val="0"/>
                <w:i w:val="0"/>
                <w:color w:val="16261F"/>
                <w:sz w:val="18"/>
              </w:rPr>
              <w:t>Invoice email is queued within 2 s of the send action and dispatched within 60 s at p95.</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NFR-PRF-021</w:t>
            </w:r>
          </w:p>
        </w:tc>
        <w:tc>
          <w:tcPr>
            <w:tcW w:type="dxa" w:w="5544"/>
            <w:tcMar>
              <w:top w:w="60" w:type="dxa"/>
              <w:left w:w="110" w:type="dxa"/>
              <w:bottom w:w="60" w:type="dxa"/>
              <w:right w:w="110" w:type="dxa"/>
            </w:tcMar>
            <w:shd w:val="clear" w:color="auto" w:fill="F5F7F5"/>
          </w:tcPr>
          <w:p>
            <w:pPr>
              <w:spacing w:after="0"/>
            </w:pPr>
            <w:r>
              <w:rPr>
                <w:b w:val="0"/>
                <w:i w:val="0"/>
                <w:color w:val="16261F"/>
                <w:sz w:val="18"/>
              </w:rPr>
              <w:t>A single Zoho synchronisation job processes at least 50 records per second, provider rate limits permitting.</w:t>
            </w:r>
          </w:p>
        </w:tc>
        <w:tc>
          <w:tcPr>
            <w:tcW w:type="dxa" w:w="1224"/>
            <w:tcMar>
              <w:top w:w="60" w:type="dxa"/>
              <w:left w:w="110" w:type="dxa"/>
              <w:bottom w:w="60" w:type="dxa"/>
              <w:right w:w="110" w:type="dxa"/>
            </w:tcMar>
            <w:shd w:val="clear" w:color="auto" w:fill="F5F7F5"/>
          </w:tcPr>
          <w:p>
            <w:pPr>
              <w:spacing w:after="0"/>
              <w:jc w:val="center"/>
            </w:pPr>
            <w:r>
              <w:rPr>
                <w:b/>
                <w:i w:val="0"/>
                <w:color w:val="3A6FA8"/>
                <w:sz w:val="16"/>
              </w:rPr>
              <w:t>Goal</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Measure</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NFR-PRF-022</w:t>
            </w:r>
          </w:p>
        </w:tc>
        <w:tc>
          <w:tcPr>
            <w:tcW w:type="dxa" w:w="5544"/>
            <w:tcMar>
              <w:top w:w="60" w:type="dxa"/>
              <w:left w:w="110" w:type="dxa"/>
              <w:bottom w:w="60" w:type="dxa"/>
              <w:right w:w="110" w:type="dxa"/>
            </w:tcMar>
          </w:tcPr>
          <w:p>
            <w:pPr>
              <w:spacing w:after="0"/>
            </w:pPr>
            <w:r>
              <w:rPr>
                <w:b w:val="0"/>
                <w:i w:val="0"/>
                <w:color w:val="16261F"/>
                <w:sz w:val="18"/>
              </w:rPr>
              <w:t>Gateway webhook is acknowledged within 500 ms, with processing performed asynchronously.</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NFR-PRF-030</w:t>
            </w:r>
          </w:p>
        </w:tc>
        <w:tc>
          <w:tcPr>
            <w:tcW w:type="dxa" w:w="5544"/>
            <w:tcMar>
              <w:top w:w="60" w:type="dxa"/>
              <w:left w:w="110" w:type="dxa"/>
              <w:bottom w:w="60" w:type="dxa"/>
              <w:right w:w="110" w:type="dxa"/>
            </w:tcMar>
            <w:shd w:val="clear" w:color="auto" w:fill="F5F7F5"/>
          </w:tcPr>
          <w:p>
            <w:pPr>
              <w:spacing w:after="0"/>
            </w:pPr>
            <w:r>
              <w:rPr>
                <w:b w:val="0"/>
                <w:i w:val="0"/>
                <w:color w:val="16261F"/>
                <w:sz w:val="18"/>
              </w:rPr>
              <w:t>No database query in a user-facing request path exceeds 200 ms at p95.</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Measure</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NFR-PRF-031</w:t>
            </w:r>
          </w:p>
        </w:tc>
        <w:tc>
          <w:tcPr>
            <w:tcW w:type="dxa" w:w="5544"/>
            <w:tcMar>
              <w:top w:w="60" w:type="dxa"/>
              <w:left w:w="110" w:type="dxa"/>
              <w:bottom w:w="60" w:type="dxa"/>
              <w:right w:w="110" w:type="dxa"/>
            </w:tcMar>
          </w:tcPr>
          <w:p>
            <w:pPr>
              <w:spacing w:after="0"/>
            </w:pPr>
            <w:r>
              <w:rPr>
                <w:b w:val="0"/>
                <w:i w:val="0"/>
                <w:color w:val="16261F"/>
                <w:sz w:val="18"/>
              </w:rPr>
              <w:t>No user-facing endpoint issues an unbounded number of database queries proportional to result size.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NFR-PRF-032</w:t>
            </w:r>
          </w:p>
        </w:tc>
        <w:tc>
          <w:tcPr>
            <w:tcW w:type="dxa" w:w="5544"/>
            <w:tcMar>
              <w:top w:w="60" w:type="dxa"/>
              <w:left w:w="110" w:type="dxa"/>
              <w:bottom w:w="60" w:type="dxa"/>
              <w:right w:w="110" w:type="dxa"/>
            </w:tcMar>
            <w:shd w:val="clear" w:color="auto" w:fill="F5F7F5"/>
          </w:tcPr>
          <w:p>
            <w:pPr>
              <w:spacing w:after="0"/>
            </w:pPr>
            <w:r>
              <w:rPr>
                <w:b w:val="0"/>
                <w:i w:val="0"/>
                <w:color w:val="16261F"/>
                <w:sz w:val="18"/>
              </w:rPr>
              <w:t>Report export of up to 50,000 rows completes within 30 s, streamed rather than buffered in memory.</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bl>
    <w:p>
      <w:pPr>
        <w:pBdr>
          <w:left w:val="single" w:sz="18" w:space="10" w:color="2D6A6A"/>
        </w:pBdr>
        <w:shd w:val="clear" w:color="auto" w:fill="EDF1EE"/>
        <w:spacing w:before="160" w:after="180"/>
        <w:ind w:left="173"/>
      </w:pPr>
      <w:r>
        <w:rPr>
          <w:b/>
          <w:color w:val="2D6A6A"/>
          <w:sz w:val="17"/>
        </w:rPr>
        <w:t xml:space="preserve">WHY THE PAYMENT PAGE TARGETS ARE MANDATORY  </w:t>
      </w:r>
      <w:r>
        <w:rPr>
          <w:color w:val="16261F"/>
          <w:sz w:val="20"/>
        </w:rPr>
        <w:t>Every other screen in the platform is used by paid staff who will wait. The payment page is used by a customer deciding whether to complete a payment. Latency there converts directly into uncollected revenue, which is the outcome the platform exists to prevent.</w:t>
      </w:r>
    </w:p>
    <w:p>
      <w:r>
        <w:br w:type="page"/>
      </w:r>
    </w:p>
    <w:p>
      <w:pPr>
        <w:pStyle w:val="Heading1"/>
      </w:pPr>
      <w:r>
        <w:t>4. NFR-SCL — Scalability and elasticity</w:t>
      </w:r>
    </w:p>
    <w:p>
      <w:pPr>
        <w:spacing w:after="140"/>
      </w:pPr>
      <w:r>
        <w:rPr>
          <w:b w:val="0"/>
          <w:i w:val="0"/>
          <w:color w:val="16261F"/>
          <w:sz w:val="21"/>
        </w:rPr>
        <w:t>The system must absorb the growth in section 2 without redesign, and absorb month-end peaks without operator intervention.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NFR-SCL-001</w:t>
            </w:r>
          </w:p>
        </w:tc>
        <w:tc>
          <w:tcPr>
            <w:tcW w:type="dxa" w:w="5544"/>
            <w:tcMar>
              <w:top w:w="60" w:type="dxa"/>
              <w:left w:w="110" w:type="dxa"/>
              <w:bottom w:w="60" w:type="dxa"/>
              <w:right w:w="110" w:type="dxa"/>
            </w:tcMar>
          </w:tcPr>
          <w:p>
            <w:pPr>
              <w:spacing w:after="0"/>
            </w:pPr>
            <w:r>
              <w:rPr>
                <w:b w:val="0"/>
                <w:i w:val="0"/>
                <w:color w:val="16261F"/>
                <w:sz w:val="18"/>
              </w:rPr>
              <w:t>Application tier scales horizontally; no user session state is held in application memory.</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NFR-SCL-002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System sustains a 10x burst above mean request rate for 30 minutes with no more than 25% degradation against p95 targets.</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NFR-SCL-003</w:t>
            </w:r>
          </w:p>
        </w:tc>
        <w:tc>
          <w:tcPr>
            <w:tcW w:type="dxa" w:w="5544"/>
            <w:tcMar>
              <w:top w:w="60" w:type="dxa"/>
              <w:left w:w="110" w:type="dxa"/>
              <w:bottom w:w="60" w:type="dxa"/>
              <w:right w:w="110" w:type="dxa"/>
            </w:tcMar>
          </w:tcPr>
          <w:p>
            <w:pPr>
              <w:spacing w:after="0"/>
            </w:pPr>
            <w:r>
              <w:rPr>
                <w:b w:val="0"/>
                <w:i w:val="0"/>
                <w:color w:val="16261F"/>
                <w:sz w:val="18"/>
              </w:rPr>
              <w:t>Background workers scale independently of the web tier.</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NFR-SCL-004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Queue depth above a defined threshold triggers automatic worker scale-out.</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NFR-SCL-005</w:t>
            </w:r>
          </w:p>
        </w:tc>
        <w:tc>
          <w:tcPr>
            <w:tcW w:type="dxa" w:w="5544"/>
            <w:tcMar>
              <w:top w:w="60" w:type="dxa"/>
              <w:left w:w="110" w:type="dxa"/>
              <w:bottom w:w="60" w:type="dxa"/>
              <w:right w:w="110" w:type="dxa"/>
            </w:tcMar>
          </w:tcPr>
          <w:p>
            <w:pPr>
              <w:spacing w:after="0"/>
            </w:pPr>
            <w:r>
              <w:rPr>
                <w:b w:val="0"/>
                <w:i w:val="0"/>
                <w:color w:val="16261F"/>
                <w:sz w:val="18"/>
              </w:rPr>
              <w:t>A month-end burst of 2,000 invoices issued within one hour is fully dispatched within four hours.</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NFR-SCL-006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Adding a brand or a merchant requires no schema change, deployment or configuration file edit.</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NFR-SCL-007</w:t>
            </w:r>
          </w:p>
        </w:tc>
        <w:tc>
          <w:tcPr>
            <w:tcW w:type="dxa" w:w="5544"/>
            <w:tcMar>
              <w:top w:w="60" w:type="dxa"/>
              <w:left w:w="110" w:type="dxa"/>
              <w:bottom w:w="60" w:type="dxa"/>
              <w:right w:w="110" w:type="dxa"/>
            </w:tcMar>
          </w:tcPr>
          <w:p>
            <w:pPr>
              <w:spacing w:after="0"/>
            </w:pPr>
            <w:r>
              <w:rPr>
                <w:b w:val="0"/>
                <w:i w:val="0"/>
                <w:color w:val="16261F"/>
                <w:sz w:val="18"/>
              </w:rPr>
              <w:t>Every list endpoint is paginated with a server-enforced maximum page size.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NFR-SCL-008</w:t>
            </w:r>
          </w:p>
        </w:tc>
        <w:tc>
          <w:tcPr>
            <w:tcW w:type="dxa" w:w="5544"/>
            <w:tcMar>
              <w:top w:w="60" w:type="dxa"/>
              <w:left w:w="110" w:type="dxa"/>
              <w:bottom w:w="60" w:type="dxa"/>
              <w:right w:w="110" w:type="dxa"/>
            </w:tcMar>
            <w:shd w:val="clear" w:color="auto" w:fill="F5F7F5"/>
          </w:tcPr>
          <w:p>
            <w:pPr>
              <w:spacing w:after="0"/>
            </w:pPr>
            <w:r>
              <w:rPr>
                <w:b w:val="0"/>
                <w:i w:val="0"/>
                <w:color w:val="16261F"/>
                <w:sz w:val="18"/>
              </w:rPr>
              <w:t>Database supports read replica routing for reporting queries without application change.</w:t>
            </w:r>
          </w:p>
        </w:tc>
        <w:tc>
          <w:tcPr>
            <w:tcW w:type="dxa" w:w="1224"/>
            <w:tcMar>
              <w:top w:w="60" w:type="dxa"/>
              <w:left w:w="110" w:type="dxa"/>
              <w:bottom w:w="60" w:type="dxa"/>
              <w:right w:w="110" w:type="dxa"/>
            </w:tcMar>
            <w:shd w:val="clear" w:color="auto" w:fill="F5F7F5"/>
          </w:tcPr>
          <w:p>
            <w:pPr>
              <w:spacing w:after="0"/>
              <w:jc w:val="center"/>
            </w:pPr>
            <w:r>
              <w:rPr>
                <w:b/>
                <w:i w:val="0"/>
                <w:color w:val="3A6FA8"/>
                <w:sz w:val="16"/>
              </w:rPr>
              <w:t>Goal</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Analysis</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NFR-SCL-009</w:t>
            </w:r>
          </w:p>
        </w:tc>
        <w:tc>
          <w:tcPr>
            <w:tcW w:type="dxa" w:w="5544"/>
            <w:tcMar>
              <w:top w:w="60" w:type="dxa"/>
              <w:left w:w="110" w:type="dxa"/>
              <w:bottom w:w="60" w:type="dxa"/>
              <w:right w:w="110" w:type="dxa"/>
            </w:tcMar>
          </w:tcPr>
          <w:p>
            <w:pPr>
              <w:spacing w:after="0"/>
            </w:pPr>
            <w:r>
              <w:rPr>
                <w:b w:val="0"/>
                <w:i w:val="0"/>
                <w:color w:val="16261F"/>
                <w:sz w:val="18"/>
              </w:rPr>
              <w:t>Static assets and generated PDFs are served from a content delivery network, not the application tier.</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NFR-SCL-010</w:t>
            </w:r>
          </w:p>
        </w:tc>
        <w:tc>
          <w:tcPr>
            <w:tcW w:type="dxa" w:w="5544"/>
            <w:tcMar>
              <w:top w:w="60" w:type="dxa"/>
              <w:left w:w="110" w:type="dxa"/>
              <w:bottom w:w="60" w:type="dxa"/>
              <w:right w:w="110" w:type="dxa"/>
            </w:tcMar>
            <w:shd w:val="clear" w:color="auto" w:fill="F5F7F5"/>
          </w:tcPr>
          <w:p>
            <w:pPr>
              <w:spacing w:after="0"/>
            </w:pPr>
            <w:r>
              <w:rPr>
                <w:b w:val="0"/>
                <w:i w:val="0"/>
                <w:color w:val="16261F"/>
                <w:sz w:val="18"/>
              </w:rPr>
              <w:t>One brand's synchronisation backlog cannot delay another brand's jobs by more than 10% of normal processing time.</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bl>
    <w:p>
      <w:r>
        <w:br w:type="page"/>
      </w:r>
    </w:p>
    <w:p>
      <w:pPr>
        <w:pStyle w:val="Heading1"/>
      </w:pPr>
      <w:r>
        <w:t>5. NFR-AVL — Availability, resilience and disaster recovery</w:t>
      </w:r>
    </w:p>
    <w:p>
      <w:pPr>
        <w:spacing w:after="140"/>
      </w:pPr>
      <w:r>
        <w:rPr>
          <w:b w:val="0"/>
          <w:i w:val="0"/>
          <w:color w:val="16261F"/>
          <w:sz w:val="21"/>
        </w:rPr>
        <w:t>Availability is measured monthly, excluding announced maintenance windows. The payment page carries a higher target than the merchant application because its unavailability directly blocks revenue collection.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NFR-AVL-001</w:t>
            </w:r>
          </w:p>
        </w:tc>
        <w:tc>
          <w:tcPr>
            <w:tcW w:type="dxa" w:w="5544"/>
            <w:tcMar>
              <w:top w:w="60" w:type="dxa"/>
              <w:left w:w="110" w:type="dxa"/>
              <w:bottom w:w="60" w:type="dxa"/>
              <w:right w:w="110" w:type="dxa"/>
            </w:tcMar>
          </w:tcPr>
          <w:p>
            <w:pPr>
              <w:spacing w:after="0"/>
            </w:pPr>
            <w:r>
              <w:rPr>
                <w:b w:val="0"/>
                <w:i w:val="0"/>
                <w:color w:val="16261F"/>
                <w:sz w:val="18"/>
              </w:rPr>
              <w:t>Public payment pages achieve 99.9% monthly availability, equating to no more than 43 minutes of downtime.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NFR-AVL-002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Merchant application achieves 99.5% monthly availability.</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Measure</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NFR-AVL-003</w:t>
            </w:r>
          </w:p>
        </w:tc>
        <w:tc>
          <w:tcPr>
            <w:tcW w:type="dxa" w:w="5544"/>
            <w:tcMar>
              <w:top w:w="60" w:type="dxa"/>
              <w:left w:w="110" w:type="dxa"/>
              <w:bottom w:w="60" w:type="dxa"/>
              <w:right w:w="110" w:type="dxa"/>
            </w:tcMar>
          </w:tcPr>
          <w:p>
            <w:pPr>
              <w:spacing w:after="0"/>
            </w:pPr>
            <w:r>
              <w:rPr>
                <w:b w:val="0"/>
                <w:i w:val="0"/>
                <w:color w:val="16261F"/>
                <w:sz w:val="18"/>
              </w:rPr>
              <w:t>Planned maintenance occurs within an announced window outside 07:00–20:00 in all served time zones, with 5 business days notice.</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NFR-AVL-004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Recovery Point Objective is 15 minutes. No more than 15 minutes of committed transactions may be lost in a disaster.</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NFR-AVL-005</w:t>
            </w:r>
          </w:p>
        </w:tc>
        <w:tc>
          <w:tcPr>
            <w:tcW w:type="dxa" w:w="5544"/>
            <w:tcMar>
              <w:top w:w="60" w:type="dxa"/>
              <w:left w:w="110" w:type="dxa"/>
              <w:bottom w:w="60" w:type="dxa"/>
              <w:right w:w="110" w:type="dxa"/>
            </w:tcMar>
          </w:tcPr>
          <w:p>
            <w:pPr>
              <w:spacing w:after="0"/>
            </w:pPr>
            <w:r>
              <w:rPr>
                <w:b w:val="0"/>
                <w:i w:val="0"/>
                <w:color w:val="16261F"/>
                <w:sz w:val="18"/>
              </w:rPr>
              <w:t>Recovery Time Objective is 4 hours for full service restoration.</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NFR-AVL-006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Database backups are taken at least every 15 minutes via continuous archiving, retained 35 days.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NFR-AVL-007</w:t>
            </w:r>
          </w:p>
        </w:tc>
        <w:tc>
          <w:tcPr>
            <w:tcW w:type="dxa" w:w="5544"/>
            <w:tcMar>
              <w:top w:w="60" w:type="dxa"/>
              <w:left w:w="110" w:type="dxa"/>
              <w:bottom w:w="60" w:type="dxa"/>
              <w:right w:w="110" w:type="dxa"/>
            </w:tcMar>
          </w:tcPr>
          <w:p>
            <w:pPr>
              <w:spacing w:after="0"/>
            </w:pPr>
            <w:r>
              <w:rPr>
                <w:b w:val="0"/>
                <w:i w:val="0"/>
                <w:color w:val="16261F"/>
                <w:sz w:val="18"/>
              </w:rPr>
              <w:t>Backup restoration is rehearsed at least quarterly, with the result recorded.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Audit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NFR-AVL-008</w:t>
            </w:r>
          </w:p>
        </w:tc>
        <w:tc>
          <w:tcPr>
            <w:tcW w:type="dxa" w:w="5544"/>
            <w:tcMar>
              <w:top w:w="60" w:type="dxa"/>
              <w:left w:w="110" w:type="dxa"/>
              <w:bottom w:w="60" w:type="dxa"/>
              <w:right w:w="110" w:type="dxa"/>
            </w:tcMar>
            <w:shd w:val="clear" w:color="auto" w:fill="F5F7F5"/>
          </w:tcPr>
          <w:p>
            <w:pPr>
              <w:spacing w:after="0"/>
            </w:pPr>
            <w:r>
              <w:rPr>
                <w:b w:val="0"/>
                <w:i w:val="0"/>
                <w:color w:val="16261F"/>
                <w:sz w:val="18"/>
              </w:rPr>
              <w:t>Failure of Zoho Books does not prevent invoice creation, issue, or payment collection; work queues for later synchronisation.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NFR-AVL-009</w:t>
            </w:r>
          </w:p>
        </w:tc>
        <w:tc>
          <w:tcPr>
            <w:tcW w:type="dxa" w:w="5544"/>
            <w:tcMar>
              <w:top w:w="60" w:type="dxa"/>
              <w:left w:w="110" w:type="dxa"/>
              <w:bottom w:w="60" w:type="dxa"/>
              <w:right w:w="110" w:type="dxa"/>
            </w:tcMar>
          </w:tcPr>
          <w:p>
            <w:pPr>
              <w:spacing w:after="0"/>
            </w:pPr>
            <w:r>
              <w:rPr>
                <w:b w:val="0"/>
                <w:i w:val="0"/>
                <w:color w:val="16261F"/>
                <w:sz w:val="18"/>
              </w:rPr>
              <w:t>Failure of the email provider does not prevent invoice creation or payment; sends queue and retry.</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NFR-AVL-010</w:t>
            </w:r>
          </w:p>
        </w:tc>
        <w:tc>
          <w:tcPr>
            <w:tcW w:type="dxa" w:w="5544"/>
            <w:tcMar>
              <w:top w:w="60" w:type="dxa"/>
              <w:left w:w="110" w:type="dxa"/>
              <w:bottom w:w="60" w:type="dxa"/>
              <w:right w:w="110" w:type="dxa"/>
            </w:tcMar>
            <w:shd w:val="clear" w:color="auto" w:fill="F5F7F5"/>
          </w:tcPr>
          <w:p>
            <w:pPr>
              <w:spacing w:after="0"/>
            </w:pPr>
            <w:r>
              <w:rPr>
                <w:b w:val="0"/>
                <w:i w:val="0"/>
                <w:color w:val="16261F"/>
                <w:sz w:val="18"/>
              </w:rPr>
              <w:t>Failure of the payment gateway presents a clear customer-facing message and preserves invoice state without corruption.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NFR-AVL-011</w:t>
            </w:r>
          </w:p>
        </w:tc>
        <w:tc>
          <w:tcPr>
            <w:tcW w:type="dxa" w:w="5544"/>
            <w:tcMar>
              <w:top w:w="60" w:type="dxa"/>
              <w:left w:w="110" w:type="dxa"/>
              <w:bottom w:w="60" w:type="dxa"/>
              <w:right w:w="110" w:type="dxa"/>
            </w:tcMar>
          </w:tcPr>
          <w:p>
            <w:pPr>
              <w:spacing w:after="0"/>
            </w:pPr>
            <w:r>
              <w:rPr>
                <w:b w:val="0"/>
                <w:i w:val="0"/>
                <w:color w:val="16261F"/>
                <w:sz w:val="18"/>
              </w:rPr>
              <w:t>Every outbound integration call carries a timeout and a circuit breaker; no call blocks indefinitely.</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NFR-AVL-012</w:t>
            </w:r>
          </w:p>
        </w:tc>
        <w:tc>
          <w:tcPr>
            <w:tcW w:type="dxa" w:w="5544"/>
            <w:tcMar>
              <w:top w:w="60" w:type="dxa"/>
              <w:left w:w="110" w:type="dxa"/>
              <w:bottom w:w="60" w:type="dxa"/>
              <w:right w:w="110" w:type="dxa"/>
            </w:tcMar>
            <w:shd w:val="clear" w:color="auto" w:fill="F5F7F5"/>
          </w:tcPr>
          <w:p>
            <w:pPr>
              <w:spacing w:after="0"/>
            </w:pPr>
            <w:r>
              <w:rPr>
                <w:b w:val="0"/>
                <w:i w:val="0"/>
                <w:color w:val="16261F"/>
                <w:sz w:val="18"/>
              </w:rPr>
              <w:t>No single point of failure exists in the production topology for the payment path.</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Analysis</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NFR-AVL-013</w:t>
            </w:r>
          </w:p>
        </w:tc>
        <w:tc>
          <w:tcPr>
            <w:tcW w:type="dxa" w:w="5544"/>
            <w:tcMar>
              <w:top w:w="60" w:type="dxa"/>
              <w:left w:w="110" w:type="dxa"/>
              <w:bottom w:w="60" w:type="dxa"/>
              <w:right w:w="110" w:type="dxa"/>
            </w:tcMar>
          </w:tcPr>
          <w:p>
            <w:pPr>
              <w:spacing w:after="0"/>
            </w:pPr>
            <w:r>
              <w:rPr>
                <w:b w:val="0"/>
                <w:i w:val="0"/>
                <w:color w:val="16261F"/>
                <w:sz w:val="18"/>
              </w:rPr>
              <w:t>Deployment is zero-downtime for the payment path.</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NFR-AVL-014</w:t>
            </w:r>
          </w:p>
        </w:tc>
        <w:tc>
          <w:tcPr>
            <w:tcW w:type="dxa" w:w="5544"/>
            <w:tcMar>
              <w:top w:w="60" w:type="dxa"/>
              <w:left w:w="110" w:type="dxa"/>
              <w:bottom w:w="60" w:type="dxa"/>
              <w:right w:w="110" w:type="dxa"/>
            </w:tcMar>
            <w:shd w:val="clear" w:color="auto" w:fill="F5F7F5"/>
          </w:tcPr>
          <w:p>
            <w:pPr>
              <w:spacing w:after="0"/>
            </w:pPr>
            <w:r>
              <w:rPr>
                <w:b w:val="0"/>
                <w:i w:val="0"/>
                <w:color w:val="16261F"/>
                <w:sz w:val="18"/>
              </w:rPr>
              <w:t>A deployment can be rolled back within 15 minutes of detection of a fault.</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bl>
    <w:p>
      <w:pPr>
        <w:pStyle w:val="Heading2"/>
      </w:pPr>
      <w:r>
        <w:t>5.1 Degradation policy</w:t>
      </w:r>
    </w:p>
    <w:p>
      <w:pPr>
        <w:spacing w:after="140"/>
      </w:pPr>
      <w:r>
        <w:rPr>
          <w:b w:val="0"/>
          <w:i w:val="0"/>
          <w:color w:val="16261F"/>
          <w:sz w:val="21"/>
        </w:rPr>
        <w:t>When a dependency fails, the system degrades in a defined order rather than failing wholesale.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872"/>
            <w:shd w:val="clear" w:color="auto" w:fill="16261F"/>
            <w:tcMar>
              <w:top w:w="70" w:type="dxa"/>
              <w:left w:w="110" w:type="dxa"/>
              <w:bottom w:w="70" w:type="dxa"/>
              <w:right w:w="110" w:type="dxa"/>
            </w:tcMar>
          </w:tcPr>
          <w:p>
            <w:pPr>
              <w:spacing w:after="0"/>
            </w:pPr>
            <w:r>
              <w:rPr>
                <w:rFonts w:ascii="Calibri" w:hAnsi="Calibri"/>
                <w:b/>
                <w:color w:val="FFFFFF"/>
                <w:sz w:val="18"/>
              </w:rPr>
              <w:t>Dependency down</w:t>
            </w:r>
          </w:p>
        </w:tc>
        <w:tc>
          <w:tcPr>
            <w:tcW w:type="dxa" w:w="3024"/>
            <w:shd w:val="clear" w:color="auto" w:fill="16261F"/>
            <w:tcMar>
              <w:top w:w="70" w:type="dxa"/>
              <w:left w:w="110" w:type="dxa"/>
              <w:bottom w:w="70" w:type="dxa"/>
              <w:right w:w="110" w:type="dxa"/>
            </w:tcMar>
          </w:tcPr>
          <w:p>
            <w:pPr>
              <w:spacing w:after="0"/>
            </w:pPr>
            <w:r>
              <w:rPr>
                <w:rFonts w:ascii="Calibri" w:hAnsi="Calibri"/>
                <w:b/>
                <w:color w:val="FFFFFF"/>
                <w:sz w:val="18"/>
              </w:rPr>
              <w:t>Must keep working</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Degrades</w:t>
            </w:r>
          </w:p>
        </w:tc>
        <w:tc>
          <w:tcPr>
            <w:tcW w:type="dxa" w:w="2304"/>
            <w:shd w:val="clear" w:color="auto" w:fill="16261F"/>
            <w:tcMar>
              <w:top w:w="70" w:type="dxa"/>
              <w:left w:w="110" w:type="dxa"/>
              <w:bottom w:w="70" w:type="dxa"/>
              <w:right w:w="110" w:type="dxa"/>
            </w:tcMar>
          </w:tcPr>
          <w:p>
            <w:pPr>
              <w:spacing w:after="0"/>
            </w:pPr>
            <w:r>
              <w:rPr>
                <w:rFonts w:ascii="Calibri" w:hAnsi="Calibri"/>
                <w:b/>
                <w:color w:val="FFFFFF"/>
                <w:sz w:val="18"/>
              </w:rPr>
              <w:t>Customer sees</w:t>
            </w:r>
          </w:p>
        </w:tc>
      </w:tr>
      <w:tr>
        <w:tc>
          <w:tcPr>
            <w:tcW w:type="dxa" w:w="1872"/>
            <w:tcMar>
              <w:top w:w="60" w:type="dxa"/>
              <w:left w:w="110" w:type="dxa"/>
              <w:bottom w:w="60" w:type="dxa"/>
              <w:right w:w="110" w:type="dxa"/>
            </w:tcMar>
          </w:tcPr>
          <w:p>
            <w:pPr>
              <w:spacing w:after="0"/>
            </w:pPr>
            <w:r>
              <w:rPr>
                <w:b w:val="0"/>
                <w:i w:val="0"/>
                <w:color w:val="16261F"/>
                <w:sz w:val="19"/>
              </w:rPr>
              <w:t>Zoho Books</w:t>
            </w:r>
          </w:p>
        </w:tc>
        <w:tc>
          <w:tcPr>
            <w:tcW w:type="dxa" w:w="3024"/>
            <w:tcMar>
              <w:top w:w="60" w:type="dxa"/>
              <w:left w:w="110" w:type="dxa"/>
              <w:bottom w:w="60" w:type="dxa"/>
              <w:right w:w="110" w:type="dxa"/>
            </w:tcMar>
          </w:tcPr>
          <w:p>
            <w:pPr>
              <w:spacing w:after="0"/>
            </w:pPr>
            <w:r>
              <w:rPr>
                <w:b w:val="0"/>
                <w:i w:val="0"/>
                <w:color w:val="16261F"/>
                <w:sz w:val="19"/>
              </w:rPr>
              <w:t>Invoicing, payment collection, all screens</w:t>
            </w:r>
          </w:p>
        </w:tc>
        <w:tc>
          <w:tcPr>
            <w:tcW w:type="dxa" w:w="2160"/>
            <w:tcMar>
              <w:top w:w="60" w:type="dxa"/>
              <w:left w:w="110" w:type="dxa"/>
              <w:bottom w:w="60" w:type="dxa"/>
              <w:right w:w="110" w:type="dxa"/>
            </w:tcMar>
          </w:tcPr>
          <w:p>
            <w:pPr>
              <w:spacing w:after="0"/>
            </w:pPr>
            <w:r>
              <w:rPr>
                <w:b w:val="0"/>
                <w:i w:val="0"/>
                <w:color w:val="16261F"/>
                <w:sz w:val="19"/>
              </w:rPr>
              <w:t>Accounting sync queues</w:t>
            </w:r>
          </w:p>
        </w:tc>
        <w:tc>
          <w:tcPr>
            <w:tcW w:type="dxa" w:w="2304"/>
            <w:tcMar>
              <w:top w:w="60" w:type="dxa"/>
              <w:left w:w="110" w:type="dxa"/>
              <w:bottom w:w="60" w:type="dxa"/>
              <w:right w:w="110" w:type="dxa"/>
            </w:tcMar>
          </w:tcPr>
          <w:p>
            <w:pPr>
              <w:spacing w:after="0"/>
            </w:pPr>
            <w:r>
              <w:rPr>
                <w:b w:val="0"/>
                <w:i w:val="0"/>
                <w:color w:val="16261F"/>
                <w:sz w:val="19"/>
              </w:rPr>
              <w:t>No change</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Payment gateway</w:t>
            </w:r>
          </w:p>
        </w:tc>
        <w:tc>
          <w:tcPr>
            <w:tcW w:type="dxa" w:w="3024"/>
            <w:tcMar>
              <w:top w:w="60" w:type="dxa"/>
              <w:left w:w="110" w:type="dxa"/>
              <w:bottom w:w="60" w:type="dxa"/>
              <w:right w:w="110" w:type="dxa"/>
            </w:tcMar>
            <w:shd w:val="clear" w:color="auto" w:fill="F5F7F5"/>
          </w:tcPr>
          <w:p>
            <w:pPr>
              <w:spacing w:after="0"/>
            </w:pPr>
            <w:r>
              <w:rPr>
                <w:b w:val="0"/>
                <w:i w:val="0"/>
                <w:color w:val="16261F"/>
                <w:sz w:val="19"/>
              </w:rPr>
              <w:t>Invoice viewing, PDF download, offline payment recording</w:t>
            </w:r>
          </w:p>
        </w:tc>
        <w:tc>
          <w:tcPr>
            <w:tcW w:type="dxa" w:w="2160"/>
            <w:tcMar>
              <w:top w:w="60" w:type="dxa"/>
              <w:left w:w="110" w:type="dxa"/>
              <w:bottom w:w="60" w:type="dxa"/>
              <w:right w:w="110" w:type="dxa"/>
            </w:tcMar>
            <w:shd w:val="clear" w:color="auto" w:fill="F5F7F5"/>
          </w:tcPr>
          <w:p>
            <w:pPr>
              <w:spacing w:after="0"/>
            </w:pPr>
            <w:r>
              <w:rPr>
                <w:b w:val="0"/>
                <w:i w:val="0"/>
                <w:color w:val="16261F"/>
                <w:sz w:val="19"/>
              </w:rPr>
              <w:t>Card, wallet and ACH payment</w:t>
            </w:r>
          </w:p>
        </w:tc>
        <w:tc>
          <w:tcPr>
            <w:tcW w:type="dxa" w:w="2304"/>
            <w:tcMar>
              <w:top w:w="60" w:type="dxa"/>
              <w:left w:w="110" w:type="dxa"/>
              <w:bottom w:w="60" w:type="dxa"/>
              <w:right w:w="110" w:type="dxa"/>
            </w:tcMar>
            <w:shd w:val="clear" w:color="auto" w:fill="F5F7F5"/>
          </w:tcPr>
          <w:p>
            <w:pPr>
              <w:spacing w:after="0"/>
            </w:pPr>
            <w:r>
              <w:rPr>
                <w:b w:val="0"/>
                <w:i w:val="0"/>
                <w:color w:val="16261F"/>
                <w:sz w:val="19"/>
              </w:rPr>
              <w:t>Clear message, retry later</w:t>
            </w:r>
          </w:p>
        </w:tc>
      </w:tr>
      <w:tr>
        <w:tc>
          <w:tcPr>
            <w:tcW w:type="dxa" w:w="1872"/>
            <w:tcMar>
              <w:top w:w="60" w:type="dxa"/>
              <w:left w:w="110" w:type="dxa"/>
              <w:bottom w:w="60" w:type="dxa"/>
              <w:right w:w="110" w:type="dxa"/>
            </w:tcMar>
          </w:tcPr>
          <w:p>
            <w:pPr>
              <w:spacing w:after="0"/>
            </w:pPr>
            <w:r>
              <w:rPr>
                <w:b w:val="0"/>
                <w:i w:val="0"/>
                <w:color w:val="16261F"/>
                <w:sz w:val="19"/>
              </w:rPr>
              <w:t>Email provider</w:t>
            </w:r>
          </w:p>
        </w:tc>
        <w:tc>
          <w:tcPr>
            <w:tcW w:type="dxa" w:w="3024"/>
            <w:tcMar>
              <w:top w:w="60" w:type="dxa"/>
              <w:left w:w="110" w:type="dxa"/>
              <w:bottom w:w="60" w:type="dxa"/>
              <w:right w:w="110" w:type="dxa"/>
            </w:tcMar>
          </w:tcPr>
          <w:p>
            <w:pPr>
              <w:spacing w:after="0"/>
            </w:pPr>
            <w:r>
              <w:rPr>
                <w:b w:val="0"/>
                <w:i w:val="0"/>
                <w:color w:val="16261F"/>
                <w:sz w:val="19"/>
              </w:rPr>
              <w:t>Everything in-platform</w:t>
            </w:r>
          </w:p>
        </w:tc>
        <w:tc>
          <w:tcPr>
            <w:tcW w:type="dxa" w:w="2160"/>
            <w:tcMar>
              <w:top w:w="60" w:type="dxa"/>
              <w:left w:w="110" w:type="dxa"/>
              <w:bottom w:w="60" w:type="dxa"/>
              <w:right w:w="110" w:type="dxa"/>
            </w:tcMar>
          </w:tcPr>
          <w:p>
            <w:pPr>
              <w:spacing w:after="0"/>
            </w:pPr>
            <w:r>
              <w:rPr>
                <w:b w:val="0"/>
                <w:i w:val="0"/>
                <w:color w:val="16261F"/>
                <w:sz w:val="19"/>
              </w:rPr>
              <w:t>Delivery of invoices and receipts</w:t>
            </w:r>
          </w:p>
        </w:tc>
        <w:tc>
          <w:tcPr>
            <w:tcW w:type="dxa" w:w="2304"/>
            <w:tcMar>
              <w:top w:w="60" w:type="dxa"/>
              <w:left w:w="110" w:type="dxa"/>
              <w:bottom w:w="60" w:type="dxa"/>
              <w:right w:w="110" w:type="dxa"/>
            </w:tcMar>
          </w:tcPr>
          <w:p>
            <w:pPr>
              <w:spacing w:after="0"/>
            </w:pPr>
            <w:r>
              <w:rPr>
                <w:b w:val="0"/>
                <w:i w:val="0"/>
                <w:color w:val="16261F"/>
                <w:sz w:val="19"/>
              </w:rPr>
              <w:t>No change; email arrives late</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AI provider (Phase 2)</w:t>
            </w:r>
          </w:p>
        </w:tc>
        <w:tc>
          <w:tcPr>
            <w:tcW w:type="dxa" w:w="3024"/>
            <w:tcMar>
              <w:top w:w="60" w:type="dxa"/>
              <w:left w:w="110" w:type="dxa"/>
              <w:bottom w:w="60" w:type="dxa"/>
              <w:right w:w="110" w:type="dxa"/>
            </w:tcMar>
            <w:shd w:val="clear" w:color="auto" w:fill="F5F7F5"/>
          </w:tcPr>
          <w:p>
            <w:pPr>
              <w:spacing w:after="0"/>
            </w:pPr>
            <w:r>
              <w:rPr>
                <w:b w:val="0"/>
                <w:i w:val="0"/>
                <w:color w:val="16261F"/>
                <w:sz w:val="19"/>
              </w:rPr>
              <w:t>Everything</w:t>
            </w:r>
          </w:p>
        </w:tc>
        <w:tc>
          <w:tcPr>
            <w:tcW w:type="dxa" w:w="2160"/>
            <w:tcMar>
              <w:top w:w="60" w:type="dxa"/>
              <w:left w:w="110" w:type="dxa"/>
              <w:bottom w:w="60" w:type="dxa"/>
              <w:right w:w="110" w:type="dxa"/>
            </w:tcMar>
            <w:shd w:val="clear" w:color="auto" w:fill="F5F7F5"/>
          </w:tcPr>
          <w:p>
            <w:pPr>
              <w:spacing w:after="0"/>
            </w:pPr>
            <w:r>
              <w:rPr>
                <w:b w:val="0"/>
                <w:i w:val="0"/>
                <w:color w:val="16261F"/>
                <w:sz w:val="19"/>
              </w:rPr>
              <w:t>AI insights panel only</w:t>
            </w:r>
          </w:p>
        </w:tc>
        <w:tc>
          <w:tcPr>
            <w:tcW w:type="dxa" w:w="2304"/>
            <w:tcMar>
              <w:top w:w="60" w:type="dxa"/>
              <w:left w:w="110" w:type="dxa"/>
              <w:bottom w:w="60" w:type="dxa"/>
              <w:right w:w="110" w:type="dxa"/>
            </w:tcMar>
            <w:shd w:val="clear" w:color="auto" w:fill="F5F7F5"/>
          </w:tcPr>
          <w:p>
            <w:pPr>
              <w:spacing w:after="0"/>
            </w:pPr>
            <w:r>
              <w:rPr>
                <w:b w:val="0"/>
                <w:i w:val="0"/>
                <w:color w:val="16261F"/>
                <w:sz w:val="19"/>
              </w:rPr>
              <w:t>No change</w:t>
            </w:r>
          </w:p>
        </w:tc>
      </w:tr>
      <w:tr>
        <w:tc>
          <w:tcPr>
            <w:tcW w:type="dxa" w:w="1872"/>
            <w:tcMar>
              <w:top w:w="60" w:type="dxa"/>
              <w:left w:w="110" w:type="dxa"/>
              <w:bottom w:w="60" w:type="dxa"/>
              <w:right w:w="110" w:type="dxa"/>
            </w:tcMar>
          </w:tcPr>
          <w:p>
            <w:pPr>
              <w:spacing w:after="0"/>
            </w:pPr>
            <w:r>
              <w:rPr>
                <w:b w:val="0"/>
                <w:i w:val="0"/>
                <w:color w:val="16261F"/>
                <w:sz w:val="19"/>
              </w:rPr>
              <w:t>Object storage</w:t>
            </w:r>
          </w:p>
        </w:tc>
        <w:tc>
          <w:tcPr>
            <w:tcW w:type="dxa" w:w="3024"/>
            <w:tcMar>
              <w:top w:w="60" w:type="dxa"/>
              <w:left w:w="110" w:type="dxa"/>
              <w:bottom w:w="60" w:type="dxa"/>
              <w:right w:w="110" w:type="dxa"/>
            </w:tcMar>
          </w:tcPr>
          <w:p>
            <w:pPr>
              <w:spacing w:after="0"/>
            </w:pPr>
            <w:r>
              <w:rPr>
                <w:b w:val="0"/>
                <w:i w:val="0"/>
                <w:color w:val="16261F"/>
                <w:sz w:val="19"/>
              </w:rPr>
              <w:t>Invoicing, payment</w:t>
            </w:r>
          </w:p>
        </w:tc>
        <w:tc>
          <w:tcPr>
            <w:tcW w:type="dxa" w:w="2160"/>
            <w:tcMar>
              <w:top w:w="60" w:type="dxa"/>
              <w:left w:w="110" w:type="dxa"/>
              <w:bottom w:w="60" w:type="dxa"/>
              <w:right w:w="110" w:type="dxa"/>
            </w:tcMar>
          </w:tcPr>
          <w:p>
            <w:pPr>
              <w:spacing w:after="0"/>
            </w:pPr>
            <w:r>
              <w:rPr>
                <w:b w:val="0"/>
                <w:i w:val="0"/>
                <w:color w:val="16261F"/>
                <w:sz w:val="19"/>
              </w:rPr>
              <w:t>PDF download, check images</w:t>
            </w:r>
          </w:p>
        </w:tc>
        <w:tc>
          <w:tcPr>
            <w:tcW w:type="dxa" w:w="2304"/>
            <w:tcMar>
              <w:top w:w="60" w:type="dxa"/>
              <w:left w:w="110" w:type="dxa"/>
              <w:bottom w:w="60" w:type="dxa"/>
              <w:right w:w="110" w:type="dxa"/>
            </w:tcMar>
          </w:tcPr>
          <w:p>
            <w:pPr>
              <w:spacing w:after="0"/>
            </w:pPr>
            <w:r>
              <w:rPr>
                <w:b w:val="0"/>
                <w:i w:val="0"/>
                <w:color w:val="16261F"/>
                <w:sz w:val="19"/>
              </w:rPr>
              <w:t>PDF unavailable, payment unaffected</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Custom domain DNS</w:t>
            </w:r>
          </w:p>
        </w:tc>
        <w:tc>
          <w:tcPr>
            <w:tcW w:type="dxa" w:w="3024"/>
            <w:tcMar>
              <w:top w:w="60" w:type="dxa"/>
              <w:left w:w="110" w:type="dxa"/>
              <w:bottom w:w="60" w:type="dxa"/>
              <w:right w:w="110" w:type="dxa"/>
            </w:tcMar>
            <w:shd w:val="clear" w:color="auto" w:fill="F5F7F5"/>
          </w:tcPr>
          <w:p>
            <w:pPr>
              <w:spacing w:after="0"/>
            </w:pPr>
            <w:r>
              <w:rPr>
                <w:b w:val="0"/>
                <w:i w:val="0"/>
                <w:color w:val="16261F"/>
                <w:sz w:val="19"/>
              </w:rPr>
              <w:t>Everything on platform domain</w:t>
            </w:r>
          </w:p>
        </w:tc>
        <w:tc>
          <w:tcPr>
            <w:tcW w:type="dxa" w:w="2160"/>
            <w:tcMar>
              <w:top w:w="60" w:type="dxa"/>
              <w:left w:w="110" w:type="dxa"/>
              <w:bottom w:w="60" w:type="dxa"/>
              <w:right w:w="110" w:type="dxa"/>
            </w:tcMar>
            <w:shd w:val="clear" w:color="auto" w:fill="F5F7F5"/>
          </w:tcPr>
          <w:p>
            <w:pPr>
              <w:spacing w:after="0"/>
            </w:pPr>
            <w:r>
              <w:rPr>
                <w:b w:val="0"/>
                <w:i w:val="0"/>
                <w:color w:val="16261F"/>
                <w:sz w:val="19"/>
              </w:rPr>
              <w:t>Brand-domain URLs</w:t>
            </w:r>
          </w:p>
        </w:tc>
        <w:tc>
          <w:tcPr>
            <w:tcW w:type="dxa" w:w="2304"/>
            <w:tcMar>
              <w:top w:w="60" w:type="dxa"/>
              <w:left w:w="110" w:type="dxa"/>
              <w:bottom w:w="60" w:type="dxa"/>
              <w:right w:w="110" w:type="dxa"/>
            </w:tcMar>
            <w:shd w:val="clear" w:color="auto" w:fill="F5F7F5"/>
          </w:tcPr>
          <w:p>
            <w:pPr>
              <w:spacing w:after="0"/>
            </w:pPr>
            <w:r>
              <w:rPr>
                <w:b w:val="0"/>
                <w:i w:val="0"/>
                <w:color w:val="16261F"/>
                <w:sz w:val="19"/>
              </w:rPr>
              <w:t>Falls back to platform URL</w:t>
            </w:r>
          </w:p>
        </w:tc>
      </w:tr>
    </w:tbl>
    <w:p>
      <w:r>
        <w:br w:type="page"/>
      </w:r>
    </w:p>
    <w:p>
      <w:pPr>
        <w:pStyle w:val="Heading1"/>
      </w:pPr>
      <w:r>
        <w:t>6. NFR-SEC — Security</w:t>
      </w:r>
    </w:p>
    <w:p>
      <w:pPr>
        <w:spacing w:after="140"/>
      </w:pPr>
      <w:r>
        <w:rPr>
          <w:b w:val="0"/>
          <w:i w:val="0"/>
          <w:color w:val="16261F"/>
          <w:sz w:val="21"/>
        </w:rPr>
        <w:t>This system holds financial records, bank details and payment credentials for multiple independent brands. Security requirements are stated as Mandatory by default.</w:t>
      </w:r>
    </w:p>
    <w:p>
      <w:pPr>
        <w:pBdr>
          <w:left w:val="single" w:sz="18" w:space="10" w:color="C0473D"/>
        </w:pBdr>
        <w:shd w:val="clear" w:color="auto" w:fill="F9E7E5"/>
        <w:spacing w:before="160" w:after="180"/>
        <w:ind w:left="173"/>
      </w:pPr>
      <w:r>
        <w:rPr>
          <w:b/>
          <w:color w:val="C0473D"/>
          <w:sz w:val="17"/>
        </w:rPr>
        <w:t xml:space="preserve">DIRECT CONSEQUENCE OF GAP-001  </w:t>
      </w:r>
      <w:r>
        <w:rPr>
          <w:color w:val="16261F"/>
          <w:sz w:val="20"/>
        </w:rPr>
        <w:t>The prototype has no access control of any kind. NFR-SEC-010 through NFR-SEC-012 are therefore not hardening of an existing mechanism — they specify a control that does not yet exist in any form and must be built and proven from the first sprint.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NFR-SEC-001</w:t>
            </w:r>
          </w:p>
        </w:tc>
        <w:tc>
          <w:tcPr>
            <w:tcW w:type="dxa" w:w="5544"/>
            <w:tcMar>
              <w:top w:w="60" w:type="dxa"/>
              <w:left w:w="110" w:type="dxa"/>
              <w:bottom w:w="60" w:type="dxa"/>
              <w:right w:w="110" w:type="dxa"/>
            </w:tcMar>
          </w:tcPr>
          <w:p>
            <w:pPr>
              <w:spacing w:after="0"/>
            </w:pPr>
            <w:r>
              <w:rPr>
                <w:b w:val="0"/>
                <w:i w:val="0"/>
                <w:color w:val="16261F"/>
                <w:sz w:val="18"/>
              </w:rPr>
              <w:t>All traffic uses TLS 1.2 or above. Plain HTTP is redirected, never served.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HSTS is enabled with a minimum max-age of one year on all customer-facing domains.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NFR-SEC-003</w:t>
            </w:r>
          </w:p>
        </w:tc>
        <w:tc>
          <w:tcPr>
            <w:tcW w:type="dxa" w:w="5544"/>
            <w:tcMar>
              <w:top w:w="60" w:type="dxa"/>
              <w:left w:w="110" w:type="dxa"/>
              <w:bottom w:w="60" w:type="dxa"/>
              <w:right w:w="110" w:type="dxa"/>
            </w:tcMar>
          </w:tcPr>
          <w:p>
            <w:pPr>
              <w:spacing w:after="0"/>
            </w:pPr>
            <w:r>
              <w:rPr>
                <w:b w:val="0"/>
                <w:i w:val="0"/>
                <w:color w:val="16261F"/>
                <w:sz w:val="18"/>
              </w:rPr>
              <w:t>All data is encrypted at rest using AES-256 or equivalent.</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Integration credentials and gateway secrets are encrypted with a key held in a managed key service, not in application configuration.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NFR-SEC-005</w:t>
            </w:r>
          </w:p>
        </w:tc>
        <w:tc>
          <w:tcPr>
            <w:tcW w:type="dxa" w:w="5544"/>
            <w:tcMar>
              <w:top w:w="60" w:type="dxa"/>
              <w:left w:w="110" w:type="dxa"/>
              <w:bottom w:w="60" w:type="dxa"/>
              <w:right w:w="110" w:type="dxa"/>
            </w:tcMar>
          </w:tcPr>
          <w:p>
            <w:pPr>
              <w:spacing w:after="0"/>
            </w:pPr>
            <w:r>
              <w:rPr>
                <w:b w:val="0"/>
                <w:i w:val="0"/>
                <w:color w:val="16261F"/>
                <w:sz w:val="18"/>
              </w:rPr>
              <w:t>Passwords are stored using a memory-hard adaptive hash with per-user salt. Plain or reversibly encrypted storage is prohibited.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Secrets are never committed to version control. Automated scanning blocks any commit containing a credential pattern.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NFR-SEC-010</w:t>
            </w:r>
          </w:p>
        </w:tc>
        <w:tc>
          <w:tcPr>
            <w:tcW w:type="dxa" w:w="5544"/>
            <w:tcMar>
              <w:top w:w="60" w:type="dxa"/>
              <w:left w:w="110" w:type="dxa"/>
              <w:bottom w:w="60" w:type="dxa"/>
              <w:right w:w="110" w:type="dxa"/>
            </w:tcMar>
          </w:tcPr>
          <w:p>
            <w:pPr>
              <w:spacing w:after="0"/>
            </w:pPr>
            <w:r>
              <w:rPr>
                <w:b w:val="0"/>
                <w:i w:val="0"/>
                <w:color w:val="16261F"/>
                <w:sz w:val="18"/>
              </w:rPr>
              <w:t>Every API endpoint independently enforces authentication and authorisation; no endpoint relies on the user interface to restrict access.</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NFR-SEC-011</w:t>
            </w:r>
          </w:p>
        </w:tc>
        <w:tc>
          <w:tcPr>
            <w:tcW w:type="dxa" w:w="5544"/>
            <w:tcMar>
              <w:top w:w="60" w:type="dxa"/>
              <w:left w:w="110" w:type="dxa"/>
              <w:bottom w:w="60" w:type="dxa"/>
              <w:right w:w="110" w:type="dxa"/>
            </w:tcMar>
            <w:shd w:val="clear" w:color="auto" w:fill="F5F7F5"/>
          </w:tcPr>
          <w:p>
            <w:pPr>
              <w:spacing w:after="0"/>
            </w:pPr>
            <w:r>
              <w:rPr>
                <w:b w:val="0"/>
                <w:i w:val="0"/>
                <w:color w:val="16261F"/>
                <w:sz w:val="18"/>
              </w:rPr>
              <w:t>Every data access path filters by brand and merchant scope at the query layer, not in application code after retrieval.</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NFR-SEC-012</w:t>
            </w:r>
          </w:p>
        </w:tc>
        <w:tc>
          <w:tcPr>
            <w:tcW w:type="dxa" w:w="5544"/>
            <w:tcMar>
              <w:top w:w="60" w:type="dxa"/>
              <w:left w:w="110" w:type="dxa"/>
              <w:bottom w:w="60" w:type="dxa"/>
              <w:right w:w="110" w:type="dxa"/>
            </w:tcMar>
          </w:tcPr>
          <w:p>
            <w:pPr>
              <w:spacing w:after="0"/>
            </w:pPr>
            <w:r>
              <w:rPr>
                <w:b w:val="0"/>
                <w:i w:val="0"/>
                <w:color w:val="16261F"/>
                <w:sz w:val="18"/>
              </w:rPr>
              <w:t>Automated tests prove that a user of each role cannot access data belonging to an unassigned brand, via UI or direct API call.</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NFR-SEC-013</w:t>
            </w:r>
          </w:p>
        </w:tc>
        <w:tc>
          <w:tcPr>
            <w:tcW w:type="dxa" w:w="5544"/>
            <w:tcMar>
              <w:top w:w="60" w:type="dxa"/>
              <w:left w:w="110" w:type="dxa"/>
              <w:bottom w:w="60" w:type="dxa"/>
              <w:right w:w="110" w:type="dxa"/>
            </w:tcMar>
            <w:shd w:val="clear" w:color="auto" w:fill="F5F7F5"/>
          </w:tcPr>
          <w:p>
            <w:pPr>
              <w:spacing w:after="0"/>
            </w:pPr>
            <w:r>
              <w:rPr>
                <w:b w:val="0"/>
                <w:i w:val="0"/>
                <w:color w:val="16261F"/>
                <w:sz w:val="18"/>
              </w:rPr>
              <w:t>Session tokens are rotated on privilege change and invalidated server-side on sign-out.</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NFR-SEC-014</w:t>
            </w:r>
          </w:p>
        </w:tc>
        <w:tc>
          <w:tcPr>
            <w:tcW w:type="dxa" w:w="5544"/>
            <w:tcMar>
              <w:top w:w="60" w:type="dxa"/>
              <w:left w:w="110" w:type="dxa"/>
              <w:bottom w:w="60" w:type="dxa"/>
              <w:right w:w="110" w:type="dxa"/>
            </w:tcMar>
          </w:tcPr>
          <w:p>
            <w:pPr>
              <w:spacing w:after="0"/>
            </w:pPr>
            <w:r>
              <w:rPr>
                <w:b w:val="0"/>
                <w:i w:val="0"/>
                <w:color w:val="16261F"/>
                <w:sz w:val="18"/>
              </w:rPr>
              <w:t>Public invoice links use unguessable identifiers with at least 128 bits of entropy; sequential invoice numbers are never used in a public URL.</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NFR-SEC-015</w:t>
            </w:r>
          </w:p>
        </w:tc>
        <w:tc>
          <w:tcPr>
            <w:tcW w:type="dxa" w:w="5544"/>
            <w:tcMar>
              <w:top w:w="60" w:type="dxa"/>
              <w:left w:w="110" w:type="dxa"/>
              <w:bottom w:w="60" w:type="dxa"/>
              <w:right w:w="110" w:type="dxa"/>
            </w:tcMar>
            <w:shd w:val="clear" w:color="auto" w:fill="F5F7F5"/>
          </w:tcPr>
          <w:p>
            <w:pPr>
              <w:spacing w:after="0"/>
            </w:pPr>
            <w:r>
              <w:rPr>
                <w:b w:val="0"/>
                <w:i w:val="0"/>
                <w:color w:val="16261F"/>
                <w:sz w:val="18"/>
              </w:rPr>
              <w:t>Public invoice links may be configured to expire after a defined period.</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NFR-SEC-020</w:t>
            </w:r>
          </w:p>
        </w:tc>
        <w:tc>
          <w:tcPr>
            <w:tcW w:type="dxa" w:w="5544"/>
            <w:tcMar>
              <w:top w:w="60" w:type="dxa"/>
              <w:left w:w="110" w:type="dxa"/>
              <w:bottom w:w="60" w:type="dxa"/>
              <w:right w:w="110" w:type="dxa"/>
            </w:tcMar>
          </w:tcPr>
          <w:p>
            <w:pPr>
              <w:spacing w:after="0"/>
            </w:pPr>
            <w:r>
              <w:rPr>
                <w:b w:val="0"/>
                <w:i w:val="0"/>
                <w:color w:val="16261F"/>
                <w:sz w:val="18"/>
              </w:rPr>
              <w:t>All input is validated server-side against an explicit schema. Client-side validation is treated as a convenience only.</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NFR-SEC-021</w:t>
            </w:r>
          </w:p>
        </w:tc>
        <w:tc>
          <w:tcPr>
            <w:tcW w:type="dxa" w:w="5544"/>
            <w:tcMar>
              <w:top w:w="60" w:type="dxa"/>
              <w:left w:w="110" w:type="dxa"/>
              <w:bottom w:w="60" w:type="dxa"/>
              <w:right w:w="110" w:type="dxa"/>
            </w:tcMar>
            <w:shd w:val="clear" w:color="auto" w:fill="F5F7F5"/>
          </w:tcPr>
          <w:p>
            <w:pPr>
              <w:spacing w:after="0"/>
            </w:pPr>
            <w:r>
              <w:rPr>
                <w:b w:val="0"/>
                <w:i w:val="0"/>
                <w:color w:val="16261F"/>
                <w:sz w:val="18"/>
              </w:rPr>
              <w:t>Database access uses parameterised queries exclusively. String-concatenated SQL is prohibited.</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NFR-SEC-022</w:t>
            </w:r>
          </w:p>
        </w:tc>
        <w:tc>
          <w:tcPr>
            <w:tcW w:type="dxa" w:w="5544"/>
            <w:tcMar>
              <w:top w:w="60" w:type="dxa"/>
              <w:left w:w="110" w:type="dxa"/>
              <w:bottom w:w="60" w:type="dxa"/>
              <w:right w:w="110" w:type="dxa"/>
            </w:tcMar>
          </w:tcPr>
          <w:p>
            <w:pPr>
              <w:spacing w:after="0"/>
            </w:pPr>
            <w:r>
              <w:rPr>
                <w:b w:val="0"/>
                <w:i w:val="0"/>
                <w:color w:val="16261F"/>
                <w:sz w:val="18"/>
              </w:rPr>
              <w:t>All rendered output is contextually escaped. A Content Security Policy prohibits inline script on the payment page.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NFR-SEC-023</w:t>
            </w:r>
          </w:p>
        </w:tc>
        <w:tc>
          <w:tcPr>
            <w:tcW w:type="dxa" w:w="5544"/>
            <w:tcMar>
              <w:top w:w="60" w:type="dxa"/>
              <w:left w:w="110" w:type="dxa"/>
              <w:bottom w:w="60" w:type="dxa"/>
              <w:right w:w="110" w:type="dxa"/>
            </w:tcMar>
            <w:shd w:val="clear" w:color="auto" w:fill="F5F7F5"/>
          </w:tcPr>
          <w:p>
            <w:pPr>
              <w:spacing w:after="0"/>
            </w:pPr>
            <w:r>
              <w:rPr>
                <w:b w:val="0"/>
                <w:i w:val="0"/>
                <w:color w:val="16261F"/>
                <w:sz w:val="18"/>
              </w:rPr>
              <w:t>State-changing requests are protected against cross-site request forgery.</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NFR-SEC-024</w:t>
            </w:r>
          </w:p>
        </w:tc>
        <w:tc>
          <w:tcPr>
            <w:tcW w:type="dxa" w:w="5544"/>
            <w:tcMar>
              <w:top w:w="60" w:type="dxa"/>
              <w:left w:w="110" w:type="dxa"/>
              <w:bottom w:w="60" w:type="dxa"/>
              <w:right w:w="110" w:type="dxa"/>
            </w:tcMar>
          </w:tcPr>
          <w:p>
            <w:pPr>
              <w:spacing w:after="0"/>
            </w:pPr>
            <w:r>
              <w:rPr>
                <w:b w:val="0"/>
                <w:i w:val="0"/>
                <w:color w:val="16261F"/>
                <w:sz w:val="18"/>
              </w:rPr>
              <w:t>Uploaded files are scanned for malware, stored outside the web root, and served with a non-executable content type.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NFR-SEC-025</w:t>
            </w:r>
          </w:p>
        </w:tc>
        <w:tc>
          <w:tcPr>
            <w:tcW w:type="dxa" w:w="5544"/>
            <w:tcMar>
              <w:top w:w="60" w:type="dxa"/>
              <w:left w:w="110" w:type="dxa"/>
              <w:bottom w:w="60" w:type="dxa"/>
              <w:right w:w="110" w:type="dxa"/>
            </w:tcMar>
            <w:shd w:val="clear" w:color="auto" w:fill="F5F7F5"/>
          </w:tcPr>
          <w:p>
            <w:pPr>
              <w:spacing w:after="0"/>
            </w:pPr>
            <w:r>
              <w:rPr>
                <w:b w:val="0"/>
                <w:i w:val="0"/>
                <w:color w:val="16261F"/>
                <w:sz w:val="18"/>
              </w:rPr>
              <w:t>File uploads are constrained by type and size, with the type verified by content inspection rather than file extension.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NFR-SEC-030</w:t>
            </w:r>
          </w:p>
        </w:tc>
        <w:tc>
          <w:tcPr>
            <w:tcW w:type="dxa" w:w="5544"/>
            <w:tcMar>
              <w:top w:w="60" w:type="dxa"/>
              <w:left w:w="110" w:type="dxa"/>
              <w:bottom w:w="60" w:type="dxa"/>
              <w:right w:w="110" w:type="dxa"/>
            </w:tcMar>
          </w:tcPr>
          <w:p>
            <w:pPr>
              <w:spacing w:after="0"/>
            </w:pPr>
            <w:r>
              <w:rPr>
                <w:b w:val="0"/>
                <w:i w:val="0"/>
                <w:color w:val="16261F"/>
                <w:sz w:val="18"/>
              </w:rPr>
              <w:t>Authentication endpoints are rate limited per account and per source address.</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NFR-SEC-031</w:t>
            </w:r>
          </w:p>
        </w:tc>
        <w:tc>
          <w:tcPr>
            <w:tcW w:type="dxa" w:w="5544"/>
            <w:tcMar>
              <w:top w:w="60" w:type="dxa"/>
              <w:left w:w="110" w:type="dxa"/>
              <w:bottom w:w="60" w:type="dxa"/>
              <w:right w:w="110" w:type="dxa"/>
            </w:tcMar>
            <w:shd w:val="clear" w:color="auto" w:fill="F5F7F5"/>
          </w:tcPr>
          <w:p>
            <w:pPr>
              <w:spacing w:after="0"/>
            </w:pPr>
            <w:r>
              <w:rPr>
                <w:b w:val="0"/>
                <w:i w:val="0"/>
                <w:color w:val="16261F"/>
                <w:sz w:val="18"/>
              </w:rPr>
              <w:t>Payment endpoints are rate limited per invoice and per source address to frustrate card testing.</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NFR-SEC-032</w:t>
            </w:r>
          </w:p>
        </w:tc>
        <w:tc>
          <w:tcPr>
            <w:tcW w:type="dxa" w:w="5544"/>
            <w:tcMar>
              <w:top w:w="60" w:type="dxa"/>
              <w:left w:w="110" w:type="dxa"/>
              <w:bottom w:w="60" w:type="dxa"/>
              <w:right w:w="110" w:type="dxa"/>
            </w:tcMar>
          </w:tcPr>
          <w:p>
            <w:pPr>
              <w:spacing w:after="0"/>
            </w:pPr>
            <w:r>
              <w:rPr>
                <w:b w:val="0"/>
                <w:i w:val="0"/>
                <w:color w:val="16261F"/>
                <w:sz w:val="18"/>
              </w:rPr>
              <w:t>Error responses disclose no stack trace, framework version, database detail or internal path.</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NFR-SEC-033</w:t>
            </w:r>
          </w:p>
        </w:tc>
        <w:tc>
          <w:tcPr>
            <w:tcW w:type="dxa" w:w="5544"/>
            <w:tcMar>
              <w:top w:w="60" w:type="dxa"/>
              <w:left w:w="110" w:type="dxa"/>
              <w:bottom w:w="60" w:type="dxa"/>
              <w:right w:w="110" w:type="dxa"/>
            </w:tcMar>
            <w:shd w:val="clear" w:color="auto" w:fill="F5F7F5"/>
          </w:tcPr>
          <w:p>
            <w:pPr>
              <w:spacing w:after="0"/>
            </w:pPr>
            <w:r>
              <w:rPr>
                <w:b w:val="0"/>
                <w:i w:val="0"/>
                <w:color w:val="16261F"/>
                <w:sz w:val="18"/>
              </w:rPr>
              <w:t>Security headers are set on all responses: X-Content-Type-Options, X-Frame-Options or frame-ancestors, and Referrer-Policy.</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NFR-SEC-040</w:t>
            </w:r>
          </w:p>
        </w:tc>
        <w:tc>
          <w:tcPr>
            <w:tcW w:type="dxa" w:w="5544"/>
            <w:tcMar>
              <w:top w:w="60" w:type="dxa"/>
              <w:left w:w="110" w:type="dxa"/>
              <w:bottom w:w="60" w:type="dxa"/>
              <w:right w:w="110" w:type="dxa"/>
            </w:tcMar>
          </w:tcPr>
          <w:p>
            <w:pPr>
              <w:spacing w:after="0"/>
            </w:pPr>
            <w:r>
              <w:rPr>
                <w:b w:val="0"/>
                <w:i w:val="0"/>
                <w:color w:val="16261F"/>
                <w:sz w:val="18"/>
              </w:rPr>
              <w:t>Dependencies are scanned for known vulnerabilities on every build; a critical finding fails the build.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NFR-SEC-041</w:t>
            </w:r>
          </w:p>
        </w:tc>
        <w:tc>
          <w:tcPr>
            <w:tcW w:type="dxa" w:w="5544"/>
            <w:tcMar>
              <w:top w:w="60" w:type="dxa"/>
              <w:left w:w="110" w:type="dxa"/>
              <w:bottom w:w="60" w:type="dxa"/>
              <w:right w:w="110" w:type="dxa"/>
            </w:tcMar>
            <w:shd w:val="clear" w:color="auto" w:fill="F5F7F5"/>
          </w:tcPr>
          <w:p>
            <w:pPr>
              <w:spacing w:after="0"/>
            </w:pPr>
            <w:r>
              <w:rPr>
                <w:b w:val="0"/>
                <w:i w:val="0"/>
                <w:color w:val="16261F"/>
                <w:sz w:val="18"/>
              </w:rPr>
              <w:t>A critical or high severity vulnerability in a production dependency is remediated within 7 days of disclosure.</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Audit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NFR-SEC-042</w:t>
            </w:r>
          </w:p>
        </w:tc>
        <w:tc>
          <w:tcPr>
            <w:tcW w:type="dxa" w:w="5544"/>
            <w:tcMar>
              <w:top w:w="60" w:type="dxa"/>
              <w:left w:w="110" w:type="dxa"/>
              <w:bottom w:w="60" w:type="dxa"/>
              <w:right w:w="110" w:type="dxa"/>
            </w:tcMar>
          </w:tcPr>
          <w:p>
            <w:pPr>
              <w:spacing w:after="0"/>
            </w:pPr>
            <w:r>
              <w:rPr>
                <w:b w:val="0"/>
                <w:i w:val="0"/>
                <w:color w:val="16261F"/>
                <w:sz w:val="18"/>
              </w:rPr>
              <w:t>An independent penetration test is performed before first production release and annually thereafter.</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Audit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NFR-SEC-043</w:t>
            </w:r>
          </w:p>
        </w:tc>
        <w:tc>
          <w:tcPr>
            <w:tcW w:type="dxa" w:w="5544"/>
            <w:tcMar>
              <w:top w:w="60" w:type="dxa"/>
              <w:left w:w="110" w:type="dxa"/>
              <w:bottom w:w="60" w:type="dxa"/>
              <w:right w:w="110" w:type="dxa"/>
            </w:tcMar>
            <w:shd w:val="clear" w:color="auto" w:fill="F5F7F5"/>
          </w:tcPr>
          <w:p>
            <w:pPr>
              <w:spacing w:after="0"/>
            </w:pPr>
            <w:r>
              <w:rPr>
                <w:b w:val="0"/>
                <w:i w:val="0"/>
                <w:color w:val="16261F"/>
                <w:sz w:val="18"/>
              </w:rPr>
              <w:t>Findings rated high or critical from a penetration test are remediated before release.</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Audit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NFR-SEC-044</w:t>
            </w:r>
          </w:p>
        </w:tc>
        <w:tc>
          <w:tcPr>
            <w:tcW w:type="dxa" w:w="5544"/>
            <w:tcMar>
              <w:top w:w="60" w:type="dxa"/>
              <w:left w:w="110" w:type="dxa"/>
              <w:bottom w:w="60" w:type="dxa"/>
              <w:right w:w="110" w:type="dxa"/>
            </w:tcMar>
          </w:tcPr>
          <w:p>
            <w:pPr>
              <w:spacing w:after="0"/>
            </w:pPr>
            <w:r>
              <w:rPr>
                <w:b w:val="0"/>
                <w:i w:val="0"/>
                <w:color w:val="16261F"/>
                <w:sz w:val="18"/>
              </w:rPr>
              <w:t>Production database access by engineers requires named credentials, is time-bound, and is logged.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Audit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NFR-SEC-045</w:t>
            </w:r>
          </w:p>
        </w:tc>
        <w:tc>
          <w:tcPr>
            <w:tcW w:type="dxa" w:w="5544"/>
            <w:tcMar>
              <w:top w:w="60" w:type="dxa"/>
              <w:left w:w="110" w:type="dxa"/>
              <w:bottom w:w="60" w:type="dxa"/>
              <w:right w:w="110" w:type="dxa"/>
            </w:tcMar>
            <w:shd w:val="clear" w:color="auto" w:fill="F5F7F5"/>
          </w:tcPr>
          <w:p>
            <w:pPr>
              <w:spacing w:after="0"/>
            </w:pPr>
            <w:r>
              <w:rPr>
                <w:b w:val="0"/>
                <w:i w:val="0"/>
                <w:color w:val="16261F"/>
                <w:sz w:val="18"/>
              </w:rPr>
              <w:t>A documented incident response procedure exists, naming roles and notification timelines.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bl>
    <w:p>
      <w:r>
        <w:br w:type="page"/>
      </w:r>
    </w:p>
    <w:p>
      <w:pPr>
        <w:pStyle w:val="Heading1"/>
      </w:pPr>
      <w:r>
        <w:t>7. NFR-PCI — Payment card compliance</w:t>
      </w:r>
    </w:p>
    <w:p>
      <w:pPr>
        <w:spacing w:after="140"/>
      </w:pPr>
      <w:r>
        <w:rPr>
          <w:b w:val="0"/>
          <w:i w:val="0"/>
          <w:color w:val="16261F"/>
          <w:sz w:val="21"/>
        </w:rPr>
        <w:t>The platform accepts card payments and therefore falls within the scope of the Payment Card Industry Data Security Standard. The scope level, and consequently the cost and duration of compliance, depends on one unresolved question.</w:t>
      </w:r>
    </w:p>
    <w:p>
      <w:pPr>
        <w:pBdr>
          <w:left w:val="single" w:sz="18" w:space="10" w:color="C0473D"/>
        </w:pBdr>
        <w:shd w:val="clear" w:color="auto" w:fill="F9E7E5"/>
        <w:spacing w:before="160" w:after="180"/>
        <w:ind w:left="173"/>
      </w:pPr>
      <w:r>
        <w:rPr>
          <w:b/>
          <w:color w:val="C0473D"/>
          <w:sz w:val="17"/>
        </w:rPr>
        <w:t xml:space="preserve">UNRESOLVED — BLOCKS SECURITY ARCHITECTURE  </w:t>
      </w:r>
      <w:r>
        <w:rPr>
          <w:color w:val="16261F"/>
          <w:sz w:val="20"/>
        </w:rPr>
        <w:t>Whether Numbers Gateway offers hosted card fields or a hosted payment page determines whether card data ever reaches platform infrastructure. This is dependency DEP-01 in FRS-001 and it is on the critical path. The requirements below are written for the SAQ A outcome; if that outcome is not available, section 7.2 applies instead and the project's security cost increases materially.</w:t>
      </w:r>
    </w:p>
    <w:p>
      <w:pPr>
        <w:pStyle w:val="Heading2"/>
      </w:pPr>
      <w:r>
        <w:t>7.1 Target posture — SAQ A</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NFR-PCI-001</w:t>
            </w:r>
          </w:p>
        </w:tc>
        <w:tc>
          <w:tcPr>
            <w:tcW w:type="dxa" w:w="5544"/>
            <w:tcMar>
              <w:top w:w="60" w:type="dxa"/>
              <w:left w:w="110" w:type="dxa"/>
              <w:bottom w:w="60" w:type="dxa"/>
              <w:right w:w="110" w:type="dxa"/>
            </w:tcMar>
          </w:tcPr>
          <w:p>
            <w:pPr>
              <w:spacing w:after="0"/>
            </w:pPr>
            <w:r>
              <w:rPr>
                <w:b w:val="0"/>
                <w:i w:val="0"/>
                <w:color w:val="16261F"/>
                <w:sz w:val="18"/>
              </w:rPr>
              <w:t>Cardholder data is captured exclusively within gateway-hosted fields or a gateway-hosted page. No card number, expiry or security code is transmitted to, processed by, or stored on platform infrastructure.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NFR-PCI-002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Card data does not appear in application logs, error tracking payloads, analytics, session recordings, database rows or backups.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NFR-PCI-003</w:t>
            </w:r>
          </w:p>
        </w:tc>
        <w:tc>
          <w:tcPr>
            <w:tcW w:type="dxa" w:w="5544"/>
            <w:tcMar>
              <w:top w:w="60" w:type="dxa"/>
              <w:left w:w="110" w:type="dxa"/>
              <w:bottom w:w="60" w:type="dxa"/>
              <w:right w:w="110" w:type="dxa"/>
            </w:tcMar>
          </w:tcPr>
          <w:p>
            <w:pPr>
              <w:spacing w:after="0"/>
            </w:pPr>
            <w:r>
              <w:rPr>
                <w:b w:val="0"/>
                <w:i w:val="0"/>
                <w:color w:val="16261F"/>
                <w:sz w:val="18"/>
              </w:rPr>
              <w:t>Only the payment token, last four digits, card brand and expiry month and year are retained.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NFR-PCI-004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The security code is never stored under any circumstance, including transiently.</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NFR-PCI-005</w:t>
            </w:r>
          </w:p>
        </w:tc>
        <w:tc>
          <w:tcPr>
            <w:tcW w:type="dxa" w:w="5544"/>
            <w:tcMar>
              <w:top w:w="60" w:type="dxa"/>
              <w:left w:w="110" w:type="dxa"/>
              <w:bottom w:w="60" w:type="dxa"/>
              <w:right w:w="110" w:type="dxa"/>
            </w:tcMar>
          </w:tcPr>
          <w:p>
            <w:pPr>
              <w:spacing w:after="0"/>
            </w:pPr>
            <w:r>
              <w:rPr>
                <w:b w:val="0"/>
                <w:i w:val="0"/>
                <w:color w:val="16261F"/>
                <w:sz w:val="18"/>
              </w:rPr>
              <w:t>The payment page enforces a Content Security Policy restricting script sources to the platform and the gateway.</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NFR-PCI-006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Third-party script on any page presenting card fields is prohibited, including analytics and session replay.</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NFR-PCI-007</w:t>
            </w:r>
          </w:p>
        </w:tc>
        <w:tc>
          <w:tcPr>
            <w:tcW w:type="dxa" w:w="5544"/>
            <w:tcMar>
              <w:top w:w="60" w:type="dxa"/>
              <w:left w:w="110" w:type="dxa"/>
              <w:bottom w:w="60" w:type="dxa"/>
              <w:right w:w="110" w:type="dxa"/>
            </w:tcMar>
          </w:tcPr>
          <w:p>
            <w:pPr>
              <w:spacing w:after="0"/>
            </w:pPr>
            <w:r>
              <w:rPr>
                <w:b w:val="0"/>
                <w:i w:val="0"/>
                <w:color w:val="16261F"/>
                <w:sz w:val="18"/>
              </w:rPr>
              <w:t>Script integrity on the payment page is monitored, with any unauthorised change alerting within 24 hours.</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NFR-PCI-008</w:t>
            </w:r>
          </w:p>
        </w:tc>
        <w:tc>
          <w:tcPr>
            <w:tcW w:type="dxa" w:w="5544"/>
            <w:tcMar>
              <w:top w:w="60" w:type="dxa"/>
              <w:left w:w="110" w:type="dxa"/>
              <w:bottom w:w="60" w:type="dxa"/>
              <w:right w:w="110" w:type="dxa"/>
            </w:tcMar>
            <w:shd w:val="clear" w:color="auto" w:fill="F5F7F5"/>
          </w:tcPr>
          <w:p>
            <w:pPr>
              <w:spacing w:after="0"/>
            </w:pPr>
            <w:r>
              <w:rPr>
                <w:b w:val="0"/>
                <w:i w:val="0"/>
                <w:color w:val="16261F"/>
                <w:sz w:val="18"/>
              </w:rPr>
              <w:t>A completed Self-Assessment Questionnaire A and Attestation of Compliance is produced before first live transaction.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Audit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NFR-PCI-009</w:t>
            </w:r>
          </w:p>
        </w:tc>
        <w:tc>
          <w:tcPr>
            <w:tcW w:type="dxa" w:w="5544"/>
            <w:tcMar>
              <w:top w:w="60" w:type="dxa"/>
              <w:left w:w="110" w:type="dxa"/>
              <w:bottom w:w="60" w:type="dxa"/>
              <w:right w:w="110" w:type="dxa"/>
            </w:tcMar>
          </w:tcPr>
          <w:p>
            <w:pPr>
              <w:spacing w:after="0"/>
            </w:pPr>
            <w:r>
              <w:rPr>
                <w:b w:val="0"/>
                <w:i w:val="0"/>
                <w:color w:val="16261F"/>
                <w:sz w:val="18"/>
              </w:rPr>
              <w:t>Quarterly external vulnerability scanning is performed by an Approved Scanning Vendor where required by the acquirer.</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Audit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NFR-PCI-010</w:t>
            </w:r>
          </w:p>
        </w:tc>
        <w:tc>
          <w:tcPr>
            <w:tcW w:type="dxa" w:w="5544"/>
            <w:tcMar>
              <w:top w:w="60" w:type="dxa"/>
              <w:left w:w="110" w:type="dxa"/>
              <w:bottom w:w="60" w:type="dxa"/>
              <w:right w:w="110" w:type="dxa"/>
            </w:tcMar>
            <w:shd w:val="clear" w:color="auto" w:fill="F5F7F5"/>
          </w:tcPr>
          <w:p>
            <w:pPr>
              <w:spacing w:after="0"/>
            </w:pPr>
            <w:r>
              <w:rPr>
                <w:b w:val="0"/>
                <w:i w:val="0"/>
                <w:color w:val="16261F"/>
                <w:sz w:val="18"/>
              </w:rPr>
              <w:t>Bank account numbers captured for ACH are tokenised by the verification provider and never stored in full.</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bl>
    <w:p>
      <w:pPr>
        <w:pStyle w:val="Heading2"/>
      </w:pPr>
      <w:r>
        <w:t>7.2 Contingency — if hosted fields are unavailable</w:t>
      </w:r>
    </w:p>
    <w:p>
      <w:pPr>
        <w:spacing w:after="140"/>
      </w:pPr>
      <w:r>
        <w:rPr>
          <w:b w:val="0"/>
          <w:i w:val="0"/>
          <w:color w:val="16261F"/>
          <w:sz w:val="21"/>
        </w:rPr>
        <w:t>If card data must transit platform infrastructure, PCI scope escalates to SAQ D. The following become mandatory and should be understood as a material change to cost, timeline and hosting model.</w:t>
      </w:r>
    </w:p>
    <w:p>
      <w:pPr>
        <w:pStyle w:val="ListBullet"/>
        <w:spacing w:after="60"/>
        <w:ind w:left="360"/>
      </w:pPr>
      <w:r>
        <w:rPr>
          <w:color w:val="16261F"/>
          <w:sz w:val="21"/>
        </w:rPr>
        <w:t>Network segmentation</w:t>
      </w:r>
      <w:r>
        <w:rPr>
          <w:color w:val="5B6B63"/>
          <w:sz w:val="21"/>
        </w:rPr>
        <w:t xml:space="preserve"> — the cardholder data environment must be isolated from all other systems</w:t>
      </w:r>
    </w:p>
    <w:p>
      <w:pPr>
        <w:pStyle w:val="ListBullet"/>
        <w:spacing w:after="60"/>
        <w:ind w:left="360"/>
      </w:pPr>
      <w:r>
        <w:rPr>
          <w:color w:val="16261F"/>
          <w:sz w:val="21"/>
        </w:rPr>
        <w:t>File integrity monitoring and intrusion detection</w:t>
      </w:r>
      <w:r>
        <w:rPr>
          <w:color w:val="5B6B63"/>
          <w:sz w:val="21"/>
        </w:rPr>
        <w:t xml:space="preserve"> — across the entire cardholder data environment</w:t>
      </w:r>
    </w:p>
    <w:p>
      <w:pPr>
        <w:pStyle w:val="ListBullet"/>
        <w:spacing w:after="60"/>
        <w:ind w:left="360"/>
      </w:pPr>
      <w:r>
        <w:rPr>
          <w:color w:val="16261F"/>
          <w:sz w:val="21"/>
        </w:rPr>
        <w:t>Formal key management</w:t>
      </w:r>
      <w:r>
        <w:rPr>
          <w:color w:val="5B6B63"/>
          <w:sz w:val="21"/>
        </w:rPr>
        <w:t xml:space="preserve"> — documented procedures for generation, rotation, storage and destruction</w:t>
      </w:r>
    </w:p>
    <w:p>
      <w:pPr>
        <w:pStyle w:val="ListBullet"/>
        <w:spacing w:after="60"/>
        <w:ind w:left="360"/>
      </w:pPr>
      <w:r>
        <w:rPr>
          <w:color w:val="16261F"/>
          <w:sz w:val="21"/>
        </w:rPr>
        <w:t>Quarterly internal and external scanning</w:t>
      </w:r>
      <w:r>
        <w:rPr>
          <w:color w:val="5B6B63"/>
          <w:sz w:val="21"/>
        </w:rPr>
        <w:t xml:space="preserve"> — plus annual penetration testing of the segmented environment</w:t>
      </w:r>
    </w:p>
    <w:p>
      <w:pPr>
        <w:pStyle w:val="ListBullet"/>
        <w:spacing w:after="60"/>
        <w:ind w:left="360"/>
      </w:pPr>
      <w:r>
        <w:rPr>
          <w:color w:val="16261F"/>
          <w:sz w:val="21"/>
        </w:rPr>
        <w:t>Annual on-site assessment</w:t>
      </w:r>
      <w:r>
        <w:rPr>
          <w:color w:val="5B6B63"/>
          <w:sz w:val="21"/>
        </w:rPr>
        <w:t xml:space="preserve"> — by a Qualified Security Assessor, rather than self-assessment</w:t>
      </w:r>
    </w:p>
    <w:p>
      <w:pPr>
        <w:pStyle w:val="ListBullet"/>
        <w:spacing w:after="60"/>
        <w:ind w:left="360"/>
      </w:pPr>
      <w:r>
        <w:rPr>
          <w:color w:val="16261F"/>
          <w:sz w:val="21"/>
        </w:rPr>
        <w:t>Restricted hosting choices</w:t>
      </w:r>
      <w:r>
        <w:rPr>
          <w:color w:val="5B6B63"/>
          <w:sz w:val="21"/>
        </w:rPr>
        <w:t xml:space="preserve"> — the platform can no longer use a general-purpose managed platform without attestation</w:t>
      </w:r>
    </w:p>
    <w:p>
      <w:pPr>
        <w:pBdr>
          <w:left w:val="single" w:sz="18" w:space="10" w:color="C0473D"/>
        </w:pBdr>
        <w:shd w:val="clear" w:color="auto" w:fill="F9E7E5"/>
        <w:spacing w:before="160" w:after="180"/>
        <w:ind w:left="173"/>
      </w:pPr>
      <w:r>
        <w:rPr>
          <w:b/>
          <w:color w:val="C0473D"/>
          <w:sz w:val="17"/>
        </w:rPr>
        <w:t xml:space="preserve">ESTIMATE IMPACT  </w:t>
      </w:r>
      <w:r>
        <w:rPr>
          <w:color w:val="16261F"/>
          <w:sz w:val="20"/>
        </w:rPr>
        <w:t>SAQ D typically adds a six-figure first-year compliance cost and several months of engineering effort relative to SAQ A. This is why DEP-01 must be resolved before the payment work is estimated.</w:t>
      </w:r>
    </w:p>
    <w:p>
      <w:r>
        <w:br w:type="page"/>
      </w:r>
    </w:p>
    <w:p>
      <w:pPr>
        <w:pStyle w:val="Heading1"/>
      </w:pPr>
      <w:r>
        <w:t>8. NFR-PRV — Data protection and privacy</w:t>
      </w:r>
    </w:p>
    <w:p>
      <w:pPr>
        <w:spacing w:after="140"/>
      </w:pPr>
      <w:r>
        <w:rPr>
          <w:b w:val="0"/>
          <w:i w:val="0"/>
          <w:color w:val="16261F"/>
          <w:sz w:val="21"/>
        </w:rPr>
        <w:t>The platform holds business contact data and financial records. Requirements assume a United States operating context per assumption A-06, with structural readiness for stricter regimes.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NFR-PRV-001</w:t>
            </w:r>
          </w:p>
        </w:tc>
        <w:tc>
          <w:tcPr>
            <w:tcW w:type="dxa" w:w="5544"/>
            <w:tcMar>
              <w:top w:w="60" w:type="dxa"/>
              <w:left w:w="110" w:type="dxa"/>
              <w:bottom w:w="60" w:type="dxa"/>
              <w:right w:w="110" w:type="dxa"/>
            </w:tcMar>
          </w:tcPr>
          <w:p>
            <w:pPr>
              <w:spacing w:after="0"/>
            </w:pPr>
            <w:r>
              <w:rPr>
                <w:b w:val="0"/>
                <w:i w:val="0"/>
                <w:color w:val="16261F"/>
                <w:sz w:val="18"/>
              </w:rPr>
              <w:t>Personal data collected is limited to what is required to issue and collect an invoice.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NFR-PRV-002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A documented retention period exists for every category of stored data.</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NFR-PRV-003</w:t>
            </w:r>
          </w:p>
        </w:tc>
        <w:tc>
          <w:tcPr>
            <w:tcW w:type="dxa" w:w="5544"/>
            <w:tcMar>
              <w:top w:w="60" w:type="dxa"/>
              <w:left w:w="110" w:type="dxa"/>
              <w:bottom w:w="60" w:type="dxa"/>
              <w:right w:w="110" w:type="dxa"/>
            </w:tcMar>
          </w:tcPr>
          <w:p>
            <w:pPr>
              <w:spacing w:after="0"/>
            </w:pPr>
            <w:r>
              <w:rPr>
                <w:b w:val="0"/>
                <w:i w:val="0"/>
                <w:color w:val="16261F"/>
                <w:sz w:val="18"/>
              </w:rPr>
              <w:t>Financial records are retained for a minimum of seven years to satisfy accounting obligations.</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NFR-PRV-004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Check images are purged at the end of their configured retention period.</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NFR-PRV-005</w:t>
            </w:r>
          </w:p>
        </w:tc>
        <w:tc>
          <w:tcPr>
            <w:tcW w:type="dxa" w:w="5544"/>
            <w:tcMar>
              <w:top w:w="60" w:type="dxa"/>
              <w:left w:w="110" w:type="dxa"/>
              <w:bottom w:w="60" w:type="dxa"/>
              <w:right w:w="110" w:type="dxa"/>
            </w:tcMar>
          </w:tcPr>
          <w:p>
            <w:pPr>
              <w:spacing w:after="0"/>
            </w:pPr>
            <w:r>
              <w:rPr>
                <w:b w:val="0"/>
                <w:i w:val="0"/>
                <w:color w:val="16261F"/>
                <w:sz w:val="18"/>
              </w:rPr>
              <w:t>A customer's personal data can be exported on request in a structured format.</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NFR-PRV-006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A customer's personal data can be redacted on request while preserving the financial record required for statutory retention.</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NFR-PRV-007</w:t>
            </w:r>
          </w:p>
        </w:tc>
        <w:tc>
          <w:tcPr>
            <w:tcW w:type="dxa" w:w="5544"/>
            <w:tcMar>
              <w:top w:w="60" w:type="dxa"/>
              <w:left w:w="110" w:type="dxa"/>
              <w:bottom w:w="60" w:type="dxa"/>
              <w:right w:w="110" w:type="dxa"/>
            </w:tcMar>
          </w:tcPr>
          <w:p>
            <w:pPr>
              <w:spacing w:after="0"/>
            </w:pPr>
            <w:r>
              <w:rPr>
                <w:b w:val="0"/>
                <w:i w:val="0"/>
                <w:color w:val="16261F"/>
                <w:sz w:val="18"/>
              </w:rPr>
              <w:t>Personal data is excluded from any payload sent to an external AI model provider.</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NFR-PRV-008</w:t>
            </w:r>
          </w:p>
        </w:tc>
        <w:tc>
          <w:tcPr>
            <w:tcW w:type="dxa" w:w="5544"/>
            <w:tcMar>
              <w:top w:w="60" w:type="dxa"/>
              <w:left w:w="110" w:type="dxa"/>
              <w:bottom w:w="60" w:type="dxa"/>
              <w:right w:w="110" w:type="dxa"/>
            </w:tcMar>
            <w:shd w:val="clear" w:color="auto" w:fill="F5F7F5"/>
          </w:tcPr>
          <w:p>
            <w:pPr>
              <w:spacing w:after="0"/>
            </w:pPr>
            <w:r>
              <w:rPr>
                <w:b w:val="0"/>
                <w:i w:val="0"/>
                <w:color w:val="16261F"/>
                <w:sz w:val="18"/>
              </w:rPr>
              <w:t>Production data is not copied into development or test environments without irreversible anonymisation.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Audit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NFR-PRV-009</w:t>
            </w:r>
          </w:p>
        </w:tc>
        <w:tc>
          <w:tcPr>
            <w:tcW w:type="dxa" w:w="5544"/>
            <w:tcMar>
              <w:top w:w="60" w:type="dxa"/>
              <w:left w:w="110" w:type="dxa"/>
              <w:bottom w:w="60" w:type="dxa"/>
              <w:right w:w="110" w:type="dxa"/>
            </w:tcMar>
          </w:tcPr>
          <w:p>
            <w:pPr>
              <w:spacing w:after="0"/>
            </w:pPr>
            <w:r>
              <w:rPr>
                <w:b w:val="0"/>
                <w:i w:val="0"/>
                <w:color w:val="16261F"/>
                <w:sz w:val="18"/>
              </w:rPr>
              <w:t>Every third-party processor is recorded with its purpose, data categories and hosting region.</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NFR-PRV-010</w:t>
            </w:r>
          </w:p>
        </w:tc>
        <w:tc>
          <w:tcPr>
            <w:tcW w:type="dxa" w:w="5544"/>
            <w:tcMar>
              <w:top w:w="60" w:type="dxa"/>
              <w:left w:w="110" w:type="dxa"/>
              <w:bottom w:w="60" w:type="dxa"/>
              <w:right w:w="110" w:type="dxa"/>
            </w:tcMar>
            <w:shd w:val="clear" w:color="auto" w:fill="F5F7F5"/>
          </w:tcPr>
          <w:p>
            <w:pPr>
              <w:spacing w:after="0"/>
            </w:pPr>
            <w:r>
              <w:rPr>
                <w:b w:val="0"/>
                <w:i w:val="0"/>
                <w:color w:val="16261F"/>
                <w:sz w:val="18"/>
              </w:rPr>
              <w:t>Data residency remains within the agreed jurisdiction for all primary storage and backups.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bl>
    <w:p>
      <w:r>
        <w:br w:type="page"/>
      </w:r>
    </w:p>
    <w:p>
      <w:pPr>
        <w:pStyle w:val="Heading1"/>
      </w:pPr>
      <w:r>
        <w:t>9. NFR-INT — Data integrity and financial correctness</w:t>
      </w:r>
    </w:p>
    <w:p>
      <w:pPr>
        <w:spacing w:after="140"/>
      </w:pPr>
      <w:r>
        <w:rPr>
          <w:b w:val="0"/>
          <w:i w:val="0"/>
          <w:color w:val="16261F"/>
          <w:sz w:val="21"/>
        </w:rPr>
        <w:t>This system computes money. Arithmetic errors, lost updates and duplicate payments are not performance concerns — they are correctness failures with direct financial consequence.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NFR-INT-001</w:t>
            </w:r>
          </w:p>
        </w:tc>
        <w:tc>
          <w:tcPr>
            <w:tcW w:type="dxa" w:w="5544"/>
            <w:tcMar>
              <w:top w:w="60" w:type="dxa"/>
              <w:left w:w="110" w:type="dxa"/>
              <w:bottom w:w="60" w:type="dxa"/>
              <w:right w:w="110" w:type="dxa"/>
            </w:tcMar>
          </w:tcPr>
          <w:p>
            <w:pPr>
              <w:spacing w:after="0"/>
            </w:pPr>
            <w:r>
              <w:rPr>
                <w:b w:val="0"/>
                <w:i w:val="0"/>
                <w:color w:val="16261F"/>
                <w:sz w:val="18"/>
              </w:rPr>
              <w:t>All monetary values are stored and computed as exact decimal or integer minor units. Binary floating point is prohibited for any monetary quantity.</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NFR-INT-002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Rounding is applied once, at a defined point in the calculation chain, using a documented rounding mode.</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NFR-INT-003</w:t>
            </w:r>
          </w:p>
        </w:tc>
        <w:tc>
          <w:tcPr>
            <w:tcW w:type="dxa" w:w="5544"/>
            <w:tcMar>
              <w:top w:w="60" w:type="dxa"/>
              <w:left w:w="110" w:type="dxa"/>
              <w:bottom w:w="60" w:type="dxa"/>
              <w:right w:w="110" w:type="dxa"/>
            </w:tcMar>
          </w:tcPr>
          <w:p>
            <w:pPr>
              <w:spacing w:after="0"/>
            </w:pPr>
            <w:r>
              <w:rPr>
                <w:b w:val="0"/>
                <w:i w:val="0"/>
                <w:color w:val="16261F"/>
                <w:sz w:val="18"/>
              </w:rPr>
              <w:t>Invoice totals recomputed from stored line items always equal the stored total, to the minor unit.</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NFR-INT-004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Tax and card fee rates are recorded against the invoice at issue, so historical documents are immune to later configuration change.</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NFR-INT-010</w:t>
            </w:r>
          </w:p>
        </w:tc>
        <w:tc>
          <w:tcPr>
            <w:tcW w:type="dxa" w:w="5544"/>
            <w:tcMar>
              <w:top w:w="60" w:type="dxa"/>
              <w:left w:w="110" w:type="dxa"/>
              <w:bottom w:w="60" w:type="dxa"/>
              <w:right w:w="110" w:type="dxa"/>
            </w:tcMar>
          </w:tcPr>
          <w:p>
            <w:pPr>
              <w:spacing w:after="0"/>
            </w:pPr>
            <w:r>
              <w:rPr>
                <w:b w:val="0"/>
                <w:i w:val="0"/>
                <w:color w:val="16261F"/>
                <w:sz w:val="18"/>
              </w:rPr>
              <w:t>Payment recording is idempotent against the gateway transaction reference; repeated delivery produces exactly one payment record.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NFR-INT-011</w:t>
            </w:r>
          </w:p>
        </w:tc>
        <w:tc>
          <w:tcPr>
            <w:tcW w:type="dxa" w:w="5544"/>
            <w:tcMar>
              <w:top w:w="60" w:type="dxa"/>
              <w:left w:w="110" w:type="dxa"/>
              <w:bottom w:w="60" w:type="dxa"/>
              <w:right w:w="110" w:type="dxa"/>
            </w:tcMar>
            <w:shd w:val="clear" w:color="auto" w:fill="F5F7F5"/>
          </w:tcPr>
          <w:p>
            <w:pPr>
              <w:spacing w:after="0"/>
            </w:pPr>
            <w:r>
              <w:rPr>
                <w:b w:val="0"/>
                <w:i w:val="0"/>
                <w:color w:val="16261F"/>
                <w:sz w:val="18"/>
              </w:rPr>
              <w:t>Concurrent payment attempts against one invoice cannot result in overpayment or in two invoices reaching Paid from one settlement.</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NFR-INT-012</w:t>
            </w:r>
          </w:p>
        </w:tc>
        <w:tc>
          <w:tcPr>
            <w:tcW w:type="dxa" w:w="5544"/>
            <w:tcMar>
              <w:top w:w="60" w:type="dxa"/>
              <w:left w:w="110" w:type="dxa"/>
              <w:bottom w:w="60" w:type="dxa"/>
              <w:right w:w="110" w:type="dxa"/>
            </w:tcMar>
          </w:tcPr>
          <w:p>
            <w:pPr>
              <w:spacing w:after="0"/>
            </w:pPr>
            <w:r>
              <w:rPr>
                <w:b w:val="0"/>
                <w:i w:val="0"/>
                <w:color w:val="16261F"/>
                <w:sz w:val="18"/>
              </w:rPr>
              <w:t>Invoice status transitions are guarded so that an out-of-order webhook cannot move an invoice backwards through its lifecycle.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NFR-INT-013</w:t>
            </w:r>
          </w:p>
        </w:tc>
        <w:tc>
          <w:tcPr>
            <w:tcW w:type="dxa" w:w="5544"/>
            <w:tcMar>
              <w:top w:w="60" w:type="dxa"/>
              <w:left w:w="110" w:type="dxa"/>
              <w:bottom w:w="60" w:type="dxa"/>
              <w:right w:w="110" w:type="dxa"/>
            </w:tcMar>
            <w:shd w:val="clear" w:color="auto" w:fill="F5F7F5"/>
          </w:tcPr>
          <w:p>
            <w:pPr>
              <w:spacing w:after="0"/>
            </w:pPr>
            <w:r>
              <w:rPr>
                <w:b w:val="0"/>
                <w:i w:val="0"/>
                <w:color w:val="16261F"/>
                <w:sz w:val="18"/>
              </w:rPr>
              <w:t>Every operation spanning more than one table is atomic; partial writes are impossible.</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NFR-INT-014</w:t>
            </w:r>
          </w:p>
        </w:tc>
        <w:tc>
          <w:tcPr>
            <w:tcW w:type="dxa" w:w="5544"/>
            <w:tcMar>
              <w:top w:w="60" w:type="dxa"/>
              <w:left w:w="110" w:type="dxa"/>
              <w:bottom w:w="60" w:type="dxa"/>
              <w:right w:w="110" w:type="dxa"/>
            </w:tcMar>
          </w:tcPr>
          <w:p>
            <w:pPr>
              <w:spacing w:after="0"/>
            </w:pPr>
            <w:r>
              <w:rPr>
                <w:b w:val="0"/>
                <w:i w:val="0"/>
                <w:color w:val="16261F"/>
                <w:sz w:val="18"/>
              </w:rPr>
              <w:t>Invoice numbers are unique within a brand under concurrent creation.</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NFR-INT-020</w:t>
            </w:r>
          </w:p>
        </w:tc>
        <w:tc>
          <w:tcPr>
            <w:tcW w:type="dxa" w:w="5544"/>
            <w:tcMar>
              <w:top w:w="60" w:type="dxa"/>
              <w:left w:w="110" w:type="dxa"/>
              <w:bottom w:w="60" w:type="dxa"/>
              <w:right w:w="110" w:type="dxa"/>
            </w:tcMar>
            <w:shd w:val="clear" w:color="auto" w:fill="F5F7F5"/>
          </w:tcPr>
          <w:p>
            <w:pPr>
              <w:spacing w:after="0"/>
            </w:pPr>
            <w:r>
              <w:rPr>
                <w:b w:val="0"/>
                <w:i w:val="0"/>
                <w:color w:val="16261F"/>
                <w:sz w:val="18"/>
              </w:rPr>
              <w:t>Synchronisation is idempotent; replaying a run produces no duplicate records in either system.</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NFR-INT-021</w:t>
            </w:r>
          </w:p>
        </w:tc>
        <w:tc>
          <w:tcPr>
            <w:tcW w:type="dxa" w:w="5544"/>
            <w:tcMar>
              <w:top w:w="60" w:type="dxa"/>
              <w:left w:w="110" w:type="dxa"/>
              <w:bottom w:w="60" w:type="dxa"/>
              <w:right w:w="110" w:type="dxa"/>
            </w:tcMar>
          </w:tcPr>
          <w:p>
            <w:pPr>
              <w:spacing w:after="0"/>
            </w:pPr>
            <w:r>
              <w:rPr>
                <w:b w:val="0"/>
                <w:i w:val="0"/>
                <w:color w:val="16261F"/>
                <w:sz w:val="18"/>
              </w:rPr>
              <w:t>A reconciliation report identifies any invoice or payment present in one system and absent in the other.</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NFR-INT-022</w:t>
            </w:r>
          </w:p>
        </w:tc>
        <w:tc>
          <w:tcPr>
            <w:tcW w:type="dxa" w:w="5544"/>
            <w:tcMar>
              <w:top w:w="60" w:type="dxa"/>
              <w:left w:w="110" w:type="dxa"/>
              <w:bottom w:w="60" w:type="dxa"/>
              <w:right w:w="110" w:type="dxa"/>
            </w:tcMar>
            <w:shd w:val="clear" w:color="auto" w:fill="F5F7F5"/>
          </w:tcPr>
          <w:p>
            <w:pPr>
              <w:spacing w:after="0"/>
            </w:pPr>
            <w:r>
              <w:rPr>
                <w:b w:val="0"/>
                <w:i w:val="0"/>
                <w:color w:val="16261F"/>
                <w:sz w:val="18"/>
              </w:rPr>
              <w:t>Referential integrity is enforced by database constraint, not by application convention alone.</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NFR-INT-023</w:t>
            </w:r>
          </w:p>
        </w:tc>
        <w:tc>
          <w:tcPr>
            <w:tcW w:type="dxa" w:w="5544"/>
            <w:tcMar>
              <w:top w:w="60" w:type="dxa"/>
              <w:left w:w="110" w:type="dxa"/>
              <w:bottom w:w="60" w:type="dxa"/>
              <w:right w:w="110" w:type="dxa"/>
            </w:tcMar>
          </w:tcPr>
          <w:p>
            <w:pPr>
              <w:spacing w:after="0"/>
            </w:pPr>
            <w:r>
              <w:rPr>
                <w:b w:val="0"/>
                <w:i w:val="0"/>
                <w:color w:val="16261F"/>
                <w:sz w:val="18"/>
              </w:rPr>
              <w:t>Financial records are never hard deleted; voiding and archiving are used instead.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bl>
    <w:p>
      <w:pPr>
        <w:pBdr>
          <w:left w:val="single" w:sz="18" w:space="10" w:color="2D6A6A"/>
        </w:pBdr>
        <w:shd w:val="clear" w:color="auto" w:fill="EDF1EE"/>
        <w:spacing w:before="160" w:after="180"/>
        <w:ind w:left="173"/>
      </w:pPr>
      <w:r>
        <w:rPr>
          <w:b/>
          <w:color w:val="2D6A6A"/>
          <w:sz w:val="17"/>
        </w:rPr>
        <w:t xml:space="preserve">VERIFICATION NOTE  </w:t>
      </w:r>
      <w:r>
        <w:rPr>
          <w:color w:val="16261F"/>
          <w:sz w:val="20"/>
        </w:rPr>
        <w:t>NFR-INT-010 through NFR-INT-012 cannot be demonstrated by manual testing. They require deliberate concurrency tests that replay webhooks out of order and in parallel. These tests are a release gate, not an optional extra.</w:t>
      </w:r>
    </w:p>
    <w:p>
      <w:r>
        <w:br w:type="page"/>
      </w:r>
    </w:p>
    <w:p>
      <w:pPr>
        <w:pStyle w:val="Heading1"/>
      </w:pPr>
      <w:r>
        <w:t>10. NFR-OBS — Observability and operations</w:t>
      </w:r>
    </w:p>
    <w:p>
      <w:pPr>
        <w:spacing w:after="140"/>
      </w:pPr>
      <w:r>
        <w:rPr>
          <w:b w:val="0"/>
          <w:i w:val="0"/>
          <w:color w:val="16261F"/>
          <w:sz w:val="21"/>
        </w:rPr>
        <w:t>The system must be diagnosable in production without attaching a debugger or reading a database by hand.</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NFR-OBS-001</w:t>
            </w:r>
          </w:p>
        </w:tc>
        <w:tc>
          <w:tcPr>
            <w:tcW w:type="dxa" w:w="5544"/>
            <w:tcMar>
              <w:top w:w="60" w:type="dxa"/>
              <w:left w:w="110" w:type="dxa"/>
              <w:bottom w:w="60" w:type="dxa"/>
              <w:right w:w="110" w:type="dxa"/>
            </w:tcMar>
          </w:tcPr>
          <w:p>
            <w:pPr>
              <w:spacing w:after="0"/>
            </w:pPr>
            <w:r>
              <w:rPr>
                <w:b w:val="0"/>
                <w:i w:val="0"/>
                <w:color w:val="16261F"/>
                <w:sz w:val="18"/>
              </w:rPr>
              <w:t>All logs are structured, machine-parseable and centrally aggregated.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NFR-OBS-002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Every request carries a correlation identifier propagated across services, queues and integration calls.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NFR-OBS-003</w:t>
            </w:r>
          </w:p>
        </w:tc>
        <w:tc>
          <w:tcPr>
            <w:tcW w:type="dxa" w:w="5544"/>
            <w:tcMar>
              <w:top w:w="60" w:type="dxa"/>
              <w:left w:w="110" w:type="dxa"/>
              <w:bottom w:w="60" w:type="dxa"/>
              <w:right w:w="110" w:type="dxa"/>
            </w:tcMar>
          </w:tcPr>
          <w:p>
            <w:pPr>
              <w:spacing w:after="0"/>
            </w:pPr>
            <w:r>
              <w:rPr>
                <w:b w:val="0"/>
                <w:i w:val="0"/>
                <w:color w:val="16261F"/>
                <w:sz w:val="18"/>
              </w:rPr>
              <w:t>Logs are automatically redacted of card numbers, security codes, bank account numbers, passwords, tokens and API keys.</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NFR-OBS-004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Application logs are retained 30 days hot and 12 months cold.</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NFR-OBS-005</w:t>
            </w:r>
          </w:p>
        </w:tc>
        <w:tc>
          <w:tcPr>
            <w:tcW w:type="dxa" w:w="5544"/>
            <w:tcMar>
              <w:top w:w="60" w:type="dxa"/>
              <w:left w:w="110" w:type="dxa"/>
              <w:bottom w:w="60" w:type="dxa"/>
              <w:right w:w="110" w:type="dxa"/>
            </w:tcMar>
          </w:tcPr>
          <w:p>
            <w:pPr>
              <w:spacing w:after="0"/>
            </w:pPr>
            <w:r>
              <w:rPr>
                <w:b w:val="0"/>
                <w:i w:val="0"/>
                <w:color w:val="16261F"/>
                <w:sz w:val="18"/>
              </w:rPr>
              <w:t>Audit logs are retained 7 years in immutable storage.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NFR-OBS-010</w:t>
            </w:r>
          </w:p>
        </w:tc>
        <w:tc>
          <w:tcPr>
            <w:tcW w:type="dxa" w:w="5544"/>
            <w:tcMar>
              <w:top w:w="60" w:type="dxa"/>
              <w:left w:w="110" w:type="dxa"/>
              <w:bottom w:w="60" w:type="dxa"/>
              <w:right w:w="110" w:type="dxa"/>
            </w:tcMar>
            <w:shd w:val="clear" w:color="auto" w:fill="F5F7F5"/>
          </w:tcPr>
          <w:p>
            <w:pPr>
              <w:spacing w:after="0"/>
            </w:pPr>
            <w:r>
              <w:rPr>
                <w:b w:val="0"/>
                <w:i w:val="0"/>
                <w:color w:val="16261F"/>
                <w:sz w:val="18"/>
              </w:rPr>
              <w:t>Metrics cover request rate, error rate, latency distribution and saturation for every service.</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NFR-OBS-011</w:t>
            </w:r>
          </w:p>
        </w:tc>
        <w:tc>
          <w:tcPr>
            <w:tcW w:type="dxa" w:w="5544"/>
            <w:tcMar>
              <w:top w:w="60" w:type="dxa"/>
              <w:left w:w="110" w:type="dxa"/>
              <w:bottom w:w="60" w:type="dxa"/>
              <w:right w:w="110" w:type="dxa"/>
            </w:tcMar>
          </w:tcPr>
          <w:p>
            <w:pPr>
              <w:spacing w:after="0"/>
            </w:pPr>
            <w:r>
              <w:rPr>
                <w:b w:val="0"/>
                <w:i w:val="0"/>
                <w:color w:val="16261F"/>
                <w:sz w:val="18"/>
              </w:rPr>
              <w:t>Business metrics are exposed: invoices issued, payment success rate, sync failure rate, email bounce rate.</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NFR-OBS-012</w:t>
            </w:r>
          </w:p>
        </w:tc>
        <w:tc>
          <w:tcPr>
            <w:tcW w:type="dxa" w:w="5544"/>
            <w:tcMar>
              <w:top w:w="60" w:type="dxa"/>
              <w:left w:w="110" w:type="dxa"/>
              <w:bottom w:w="60" w:type="dxa"/>
              <w:right w:w="110" w:type="dxa"/>
            </w:tcMar>
            <w:shd w:val="clear" w:color="auto" w:fill="F5F7F5"/>
          </w:tcPr>
          <w:p>
            <w:pPr>
              <w:spacing w:after="0"/>
            </w:pPr>
            <w:r>
              <w:rPr>
                <w:b w:val="0"/>
                <w:i w:val="0"/>
                <w:color w:val="16261F"/>
                <w:sz w:val="18"/>
              </w:rPr>
              <w:t>Distributed tracing covers the payment path end to end, including gateway calls.</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NFR-OBS-013</w:t>
            </w:r>
          </w:p>
        </w:tc>
        <w:tc>
          <w:tcPr>
            <w:tcW w:type="dxa" w:w="5544"/>
            <w:tcMar>
              <w:top w:w="60" w:type="dxa"/>
              <w:left w:w="110" w:type="dxa"/>
              <w:bottom w:w="60" w:type="dxa"/>
              <w:right w:w="110" w:type="dxa"/>
            </w:tcMar>
          </w:tcPr>
          <w:p>
            <w:pPr>
              <w:spacing w:after="0"/>
            </w:pPr>
            <w:r>
              <w:rPr>
                <w:b w:val="0"/>
                <w:i w:val="0"/>
                <w:color w:val="16261F"/>
                <w:sz w:val="18"/>
              </w:rPr>
              <w:t>Uncaught exceptions are captured with context and deduplicated.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NFR-OBS-020</w:t>
            </w:r>
          </w:p>
        </w:tc>
        <w:tc>
          <w:tcPr>
            <w:tcW w:type="dxa" w:w="5544"/>
            <w:tcMar>
              <w:top w:w="60" w:type="dxa"/>
              <w:left w:w="110" w:type="dxa"/>
              <w:bottom w:w="60" w:type="dxa"/>
              <w:right w:w="110" w:type="dxa"/>
            </w:tcMar>
            <w:shd w:val="clear" w:color="auto" w:fill="F5F7F5"/>
          </w:tcPr>
          <w:p>
            <w:pPr>
              <w:spacing w:after="0"/>
            </w:pPr>
            <w:r>
              <w:rPr>
                <w:b w:val="0"/>
                <w:i w:val="0"/>
                <w:color w:val="16261F"/>
                <w:sz w:val="18"/>
              </w:rPr>
              <w:t>An alert fires within 5 minutes for: payment success rate below 90% over 15 minutes, gateway unreachable, queue depth above threshold, dead letter queue non-empty, certificate expiring within 14 days.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NFR-OBS-021</w:t>
            </w:r>
          </w:p>
        </w:tc>
        <w:tc>
          <w:tcPr>
            <w:tcW w:type="dxa" w:w="5544"/>
            <w:tcMar>
              <w:top w:w="60" w:type="dxa"/>
              <w:left w:w="110" w:type="dxa"/>
              <w:bottom w:w="60" w:type="dxa"/>
              <w:right w:w="110" w:type="dxa"/>
            </w:tcMar>
          </w:tcPr>
          <w:p>
            <w:pPr>
              <w:spacing w:after="0"/>
            </w:pPr>
            <w:r>
              <w:rPr>
                <w:b w:val="0"/>
                <w:i w:val="0"/>
                <w:color w:val="16261F"/>
                <w:sz w:val="18"/>
              </w:rPr>
              <w:t>Every alert names an owner and links to a runbook.</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NFR-OBS-022</w:t>
            </w:r>
          </w:p>
        </w:tc>
        <w:tc>
          <w:tcPr>
            <w:tcW w:type="dxa" w:w="5544"/>
            <w:tcMar>
              <w:top w:w="60" w:type="dxa"/>
              <w:left w:w="110" w:type="dxa"/>
              <w:bottom w:w="60" w:type="dxa"/>
              <w:right w:w="110" w:type="dxa"/>
            </w:tcMar>
            <w:shd w:val="clear" w:color="auto" w:fill="F5F7F5"/>
          </w:tcPr>
          <w:p>
            <w:pPr>
              <w:spacing w:after="0"/>
            </w:pPr>
            <w:r>
              <w:rPr>
                <w:b w:val="0"/>
                <w:i w:val="0"/>
                <w:color w:val="16261F"/>
                <w:sz w:val="18"/>
              </w:rPr>
              <w:t>Health check endpoints report the status of each critical dependency.</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NFR-OBS-023</w:t>
            </w:r>
          </w:p>
        </w:tc>
        <w:tc>
          <w:tcPr>
            <w:tcW w:type="dxa" w:w="5544"/>
            <w:tcMar>
              <w:top w:w="60" w:type="dxa"/>
              <w:left w:w="110" w:type="dxa"/>
              <w:bottom w:w="60" w:type="dxa"/>
              <w:right w:w="110" w:type="dxa"/>
            </w:tcMar>
          </w:tcPr>
          <w:p>
            <w:pPr>
              <w:spacing w:after="0"/>
            </w:pPr>
            <w:r>
              <w:rPr>
                <w:b w:val="0"/>
                <w:i w:val="0"/>
                <w:color w:val="16261F"/>
                <w:sz w:val="18"/>
              </w:rPr>
              <w:t>Alert noise is managed so that fewer than 5% of alerts in a month are actioned as false positives.</w:t>
            </w:r>
          </w:p>
        </w:tc>
        <w:tc>
          <w:tcPr>
            <w:tcW w:type="dxa" w:w="1224"/>
            <w:tcMar>
              <w:top w:w="60" w:type="dxa"/>
              <w:left w:w="110" w:type="dxa"/>
              <w:bottom w:w="60" w:type="dxa"/>
              <w:right w:w="110" w:type="dxa"/>
            </w:tcMar>
          </w:tcPr>
          <w:p>
            <w:pPr>
              <w:spacing w:after="0"/>
              <w:jc w:val="center"/>
            </w:pPr>
            <w:r>
              <w:rPr>
                <w:b/>
                <w:i w:val="0"/>
                <w:color w:val="3A6FA8"/>
                <w:sz w:val="16"/>
              </w:rPr>
              <w:t>Goal</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bl>
    <w:p>
      <w:r>
        <w:br w:type="page"/>
      </w:r>
    </w:p>
    <w:p>
      <w:pPr>
        <w:pStyle w:val="Heading1"/>
      </w:pPr>
      <w:r>
        <w:t>11. NFR-USE — Usability and accessibility</w:t>
      </w:r>
    </w:p>
    <w:p>
      <w:pPr>
        <w:spacing w:after="140"/>
      </w:pPr>
      <w:r>
        <w:rPr>
          <w:b w:val="0"/>
          <w:i w:val="0"/>
          <w:color w:val="16261F"/>
          <w:sz w:val="21"/>
        </w:rPr>
        <w:t>The merchant application is a professional tool used daily. The payment page is used once, by someone with no training and no obligation to persevere.</w:t>
      </w:r>
    </w:p>
    <w:p>
      <w:pPr>
        <w:pBdr>
          <w:left w:val="single" w:sz="18" w:space="10" w:color="C7862B"/>
        </w:pBdr>
        <w:shd w:val="clear" w:color="auto" w:fill="FBF0DF"/>
        <w:spacing w:before="160" w:after="180"/>
        <w:ind w:left="173"/>
      </w:pPr>
      <w:r>
        <w:rPr>
          <w:b/>
          <w:color w:val="C7862B"/>
          <w:sz w:val="17"/>
        </w:rPr>
        <w:t xml:space="preserve">DIRECT CONSEQUENCE OF GAP-011  </w:t>
      </w:r>
      <w:r>
        <w:rPr>
          <w:color w:val="16261F"/>
          <w:sz w:val="20"/>
        </w:rPr>
        <w:t>The prototype has no responsive layout at all — a fixed sidebar and unbreakpointed grids. For the merchant application that is an inconvenience. For the payment page, where a meaningful share of customers will open the link on a phone, it is a revenue defect.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NFR-USE-001</w:t>
            </w:r>
          </w:p>
        </w:tc>
        <w:tc>
          <w:tcPr>
            <w:tcW w:type="dxa" w:w="5544"/>
            <w:tcMar>
              <w:top w:w="60" w:type="dxa"/>
              <w:left w:w="110" w:type="dxa"/>
              <w:bottom w:w="60" w:type="dxa"/>
              <w:right w:w="110" w:type="dxa"/>
            </w:tcMar>
          </w:tcPr>
          <w:p>
            <w:pPr>
              <w:spacing w:after="0"/>
            </w:pPr>
            <w:r>
              <w:rPr>
                <w:b w:val="0"/>
                <w:i w:val="0"/>
                <w:color w:val="16261F"/>
                <w:sz w:val="18"/>
              </w:rPr>
              <w:t>Public payment pages conform to WCAG 2.1 Level AA.</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NFR-USE-002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Merchant application conforms to WCAG 2.1 Level AA for all core workflows.</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NFR-USE-003</w:t>
            </w:r>
          </w:p>
        </w:tc>
        <w:tc>
          <w:tcPr>
            <w:tcW w:type="dxa" w:w="5544"/>
            <w:tcMar>
              <w:top w:w="60" w:type="dxa"/>
              <w:left w:w="110" w:type="dxa"/>
              <w:bottom w:w="60" w:type="dxa"/>
              <w:right w:w="110" w:type="dxa"/>
            </w:tcMar>
          </w:tcPr>
          <w:p>
            <w:pPr>
              <w:spacing w:after="0"/>
            </w:pPr>
            <w:r>
              <w:rPr>
                <w:b w:val="0"/>
                <w:i w:val="0"/>
                <w:color w:val="16261F"/>
                <w:sz w:val="18"/>
              </w:rPr>
              <w:t>All functionality is operable by keyboard alone, with a visible focus indicator throughout.</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NFR-USE-004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Text contrast meets 4.5:1, and interactive component contrast meets 3:1, in every brand theme colour.</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NFR-USE-005</w:t>
            </w:r>
          </w:p>
        </w:tc>
        <w:tc>
          <w:tcPr>
            <w:tcW w:type="dxa" w:w="5544"/>
            <w:tcMar>
              <w:top w:w="60" w:type="dxa"/>
              <w:left w:w="110" w:type="dxa"/>
              <w:bottom w:w="60" w:type="dxa"/>
              <w:right w:w="110" w:type="dxa"/>
            </w:tcMar>
          </w:tcPr>
          <w:p>
            <w:pPr>
              <w:spacing w:after="0"/>
            </w:pPr>
            <w:r>
              <w:rPr>
                <w:b w:val="0"/>
                <w:i w:val="0"/>
                <w:color w:val="16261F"/>
                <w:sz w:val="18"/>
              </w:rPr>
              <w:t>Status is never conveyed by colour alone; a text label or icon always accompanies it.</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NFR-USE-006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Form fields carry programmatically associated labels and accessible error messages.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NFR-USE-010</w:t>
            </w:r>
          </w:p>
        </w:tc>
        <w:tc>
          <w:tcPr>
            <w:tcW w:type="dxa" w:w="5544"/>
            <w:tcMar>
              <w:top w:w="60" w:type="dxa"/>
              <w:left w:w="110" w:type="dxa"/>
              <w:bottom w:w="60" w:type="dxa"/>
              <w:right w:w="110" w:type="dxa"/>
            </w:tcMar>
          </w:tcPr>
          <w:p>
            <w:pPr>
              <w:spacing w:after="0"/>
            </w:pPr>
            <w:r>
              <w:rPr>
                <w:b w:val="0"/>
                <w:i w:val="0"/>
                <w:color w:val="16261F"/>
                <w:sz w:val="18"/>
              </w:rPr>
              <w:t>A trained user completes invoice creation with three line items in under 90 seconds.</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NFR-USE-011</w:t>
            </w:r>
          </w:p>
        </w:tc>
        <w:tc>
          <w:tcPr>
            <w:tcW w:type="dxa" w:w="5544"/>
            <w:tcMar>
              <w:top w:w="60" w:type="dxa"/>
              <w:left w:w="110" w:type="dxa"/>
              <w:bottom w:w="60" w:type="dxa"/>
              <w:right w:w="110" w:type="dxa"/>
            </w:tcMar>
            <w:shd w:val="clear" w:color="auto" w:fill="F5F7F5"/>
          </w:tcPr>
          <w:p>
            <w:pPr>
              <w:spacing w:after="0"/>
            </w:pPr>
            <w:r>
              <w:rPr>
                <w:b w:val="0"/>
                <w:i w:val="0"/>
                <w:color w:val="16261F"/>
                <w:sz w:val="18"/>
              </w:rPr>
              <w:t>An untrained customer completes a card payment in under 60 seconds from opening the link.</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NFR-USE-012</w:t>
            </w:r>
          </w:p>
        </w:tc>
        <w:tc>
          <w:tcPr>
            <w:tcW w:type="dxa" w:w="5544"/>
            <w:tcMar>
              <w:top w:w="60" w:type="dxa"/>
              <w:left w:w="110" w:type="dxa"/>
              <w:bottom w:w="60" w:type="dxa"/>
              <w:right w:w="110" w:type="dxa"/>
            </w:tcMar>
          </w:tcPr>
          <w:p>
            <w:pPr>
              <w:spacing w:after="0"/>
            </w:pPr>
            <w:r>
              <w:rPr>
                <w:b w:val="0"/>
                <w:i w:val="0"/>
                <w:color w:val="16261F"/>
                <w:sz w:val="18"/>
              </w:rPr>
              <w:t>Every destructive action requires explicit confirmation naming the affected record.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NFR-USE-013</w:t>
            </w:r>
          </w:p>
        </w:tc>
        <w:tc>
          <w:tcPr>
            <w:tcW w:type="dxa" w:w="5544"/>
            <w:tcMar>
              <w:top w:w="60" w:type="dxa"/>
              <w:left w:w="110" w:type="dxa"/>
              <w:bottom w:w="60" w:type="dxa"/>
              <w:right w:w="110" w:type="dxa"/>
            </w:tcMar>
            <w:shd w:val="clear" w:color="auto" w:fill="F5F7F5"/>
          </w:tcPr>
          <w:p>
            <w:pPr>
              <w:spacing w:after="0"/>
            </w:pPr>
            <w:r>
              <w:rPr>
                <w:b w:val="0"/>
                <w:i w:val="0"/>
                <w:color w:val="16261F"/>
                <w:sz w:val="18"/>
              </w:rPr>
              <w:t>Error messages state what happened and what to do next, in plain language, without technical detail.</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NFR-USE-014</w:t>
            </w:r>
          </w:p>
        </w:tc>
        <w:tc>
          <w:tcPr>
            <w:tcW w:type="dxa" w:w="5544"/>
            <w:tcMar>
              <w:top w:w="60" w:type="dxa"/>
              <w:left w:w="110" w:type="dxa"/>
              <w:bottom w:w="60" w:type="dxa"/>
              <w:right w:w="110" w:type="dxa"/>
            </w:tcMar>
          </w:tcPr>
          <w:p>
            <w:pPr>
              <w:spacing w:after="0"/>
            </w:pPr>
            <w:r>
              <w:rPr>
                <w:b w:val="0"/>
                <w:i w:val="0"/>
                <w:color w:val="16261F"/>
                <w:sz w:val="18"/>
              </w:rPr>
              <w:t>Unsaved changes are protected against accidental navigation away.</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NFR-USE-015</w:t>
            </w:r>
          </w:p>
        </w:tc>
        <w:tc>
          <w:tcPr>
            <w:tcW w:type="dxa" w:w="5544"/>
            <w:tcMar>
              <w:top w:w="60" w:type="dxa"/>
              <w:left w:w="110" w:type="dxa"/>
              <w:bottom w:w="60" w:type="dxa"/>
              <w:right w:w="110" w:type="dxa"/>
            </w:tcMar>
            <w:shd w:val="clear" w:color="auto" w:fill="F5F7F5"/>
          </w:tcPr>
          <w:p>
            <w:pPr>
              <w:spacing w:after="0"/>
            </w:pPr>
            <w:r>
              <w:rPr>
                <w:b w:val="0"/>
                <w:i w:val="0"/>
                <w:color w:val="16261F"/>
                <w:sz w:val="18"/>
              </w:rPr>
              <w:t>The active brand is unambiguously indicated on every brand-scoped screen.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NFR-USE-016</w:t>
            </w:r>
          </w:p>
        </w:tc>
        <w:tc>
          <w:tcPr>
            <w:tcW w:type="dxa" w:w="5544"/>
            <w:tcMar>
              <w:top w:w="60" w:type="dxa"/>
              <w:left w:w="110" w:type="dxa"/>
              <w:bottom w:w="60" w:type="dxa"/>
              <w:right w:w="110" w:type="dxa"/>
            </w:tcMar>
          </w:tcPr>
          <w:p>
            <w:pPr>
              <w:spacing w:after="0"/>
            </w:pPr>
            <w:r>
              <w:rPr>
                <w:b w:val="0"/>
                <w:i w:val="0"/>
                <w:color w:val="16261F"/>
                <w:sz w:val="18"/>
              </w:rPr>
              <w:t>Operations exceeding 500 ms present a progress indication.</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bl>
    <w:p>
      <w:pPr>
        <w:pStyle w:val="Heading2"/>
      </w:pPr>
      <w:r>
        <w:t>11.1 Brand theme accessibility</w:t>
      </w:r>
    </w:p>
    <w:p>
      <w:pPr>
        <w:pBdr>
          <w:left w:val="single" w:sz="18" w:space="10" w:color="2D6A6A"/>
        </w:pBdr>
        <w:shd w:val="clear" w:color="auto" w:fill="EDF1EE"/>
        <w:spacing w:before="160" w:after="180"/>
        <w:ind w:left="173"/>
      </w:pPr>
      <w:r>
        <w:rPr>
          <w:b/>
          <w:color w:val="2D6A6A"/>
          <w:sz w:val="17"/>
        </w:rPr>
        <w:t xml:space="preserve">DESIGN CONSTRAINT  </w:t>
      </w:r>
      <w:r>
        <w:rPr>
          <w:color w:val="16261F"/>
          <w:sz w:val="20"/>
        </w:rPr>
        <w:t>Brands choose their own theme colour, and that colour is used for primary buttons and headers on the payment page. An arbitrary brand colour will not reliably meet contrast requirements against white text. The colour picker must therefore either restrict choice to a validated set, or compute an accessible foreground automatically and warn where the chosen colour cannot be made compliant. This constrains FR-BRD-004 and FR-DSG-008.</w:t>
      </w:r>
    </w:p>
    <w:p>
      <w:r>
        <w:br w:type="page"/>
      </w:r>
    </w:p>
    <w:p>
      <w:pPr>
        <w:pStyle w:val="Heading1"/>
      </w:pPr>
      <w:r>
        <w:t>12. NFR-CMP — Compatibility and device support</w:t>
      </w:r>
    </w:p>
    <w:p>
      <w:pPr>
        <w:spacing w:after="140"/>
      </w:pPr>
      <w:r>
        <w:rPr>
          <w:b w:val="0"/>
          <w:i w:val="0"/>
          <w:color w:val="16261F"/>
          <w:sz w:val="21"/>
        </w:rPr>
        <w:t>Merchant staff use managed desktops. Customers use whatever they have.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NFR-CMP-001</w:t>
            </w:r>
          </w:p>
        </w:tc>
        <w:tc>
          <w:tcPr>
            <w:tcW w:type="dxa" w:w="5544"/>
            <w:tcMar>
              <w:top w:w="60" w:type="dxa"/>
              <w:left w:w="110" w:type="dxa"/>
              <w:bottom w:w="60" w:type="dxa"/>
              <w:right w:w="110" w:type="dxa"/>
            </w:tcMar>
          </w:tcPr>
          <w:p>
            <w:pPr>
              <w:spacing w:after="0"/>
            </w:pPr>
            <w:r>
              <w:rPr>
                <w:b w:val="0"/>
                <w:i w:val="0"/>
                <w:color w:val="16261F"/>
                <w:sz w:val="18"/>
              </w:rPr>
              <w:t>Merchant application supports the current and previous major version of Chrome, Edge, Firefox and Safari.</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NFR-CMP-002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Payment pages support the same, plus mobile Safari and Chrome on Android from the current and previous two major versions.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NFR-CMP-003</w:t>
            </w:r>
          </w:p>
        </w:tc>
        <w:tc>
          <w:tcPr>
            <w:tcW w:type="dxa" w:w="5544"/>
            <w:tcMar>
              <w:top w:w="60" w:type="dxa"/>
              <w:left w:w="110" w:type="dxa"/>
              <w:bottom w:w="60" w:type="dxa"/>
              <w:right w:w="110" w:type="dxa"/>
            </w:tcMar>
          </w:tcPr>
          <w:p>
            <w:pPr>
              <w:spacing w:after="0"/>
            </w:pPr>
            <w:r>
              <w:rPr>
                <w:b w:val="0"/>
                <w:i w:val="0"/>
                <w:color w:val="16261F"/>
                <w:sz w:val="18"/>
              </w:rPr>
              <w:t>Payment pages render and function correctly from a 320 pixel viewport width upward.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NFR-CMP-004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Merchant application is usable from a 768 pixel viewport width upward.</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NFR-CMP-005</w:t>
            </w:r>
          </w:p>
        </w:tc>
        <w:tc>
          <w:tcPr>
            <w:tcW w:type="dxa" w:w="5544"/>
            <w:tcMar>
              <w:top w:w="60" w:type="dxa"/>
              <w:left w:w="110" w:type="dxa"/>
              <w:bottom w:w="60" w:type="dxa"/>
              <w:right w:w="110" w:type="dxa"/>
            </w:tcMar>
          </w:tcPr>
          <w:p>
            <w:pPr>
              <w:spacing w:after="0"/>
            </w:pPr>
            <w:r>
              <w:rPr>
                <w:b w:val="0"/>
                <w:i w:val="0"/>
                <w:color w:val="16261F"/>
                <w:sz w:val="18"/>
              </w:rPr>
              <w:t>Invoice emails render correctly in Outlook, Gmail, Apple Mail and their mobile clients.</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NFR-CMP-006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Invoice emails degrade gracefully where images are blocked, retaining all payment-critical information as text.</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NFR-CMP-007</w:t>
            </w:r>
          </w:p>
        </w:tc>
        <w:tc>
          <w:tcPr>
            <w:tcW w:type="dxa" w:w="5544"/>
            <w:tcMar>
              <w:top w:w="60" w:type="dxa"/>
              <w:left w:w="110" w:type="dxa"/>
              <w:bottom w:w="60" w:type="dxa"/>
              <w:right w:w="110" w:type="dxa"/>
            </w:tcMar>
          </w:tcPr>
          <w:p>
            <w:pPr>
              <w:spacing w:after="0"/>
            </w:pPr>
            <w:r>
              <w:rPr>
                <w:b w:val="0"/>
                <w:i w:val="0"/>
                <w:color w:val="16261F"/>
                <w:sz w:val="18"/>
              </w:rPr>
              <w:t>Generated PDFs open correctly in Adobe Acrobat, Preview and common browser viewers.</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NFR-CMP-008</w:t>
            </w:r>
          </w:p>
        </w:tc>
        <w:tc>
          <w:tcPr>
            <w:tcW w:type="dxa" w:w="5544"/>
            <w:tcMar>
              <w:top w:w="60" w:type="dxa"/>
              <w:left w:w="110" w:type="dxa"/>
              <w:bottom w:w="60" w:type="dxa"/>
              <w:right w:w="110" w:type="dxa"/>
            </w:tcMar>
            <w:shd w:val="clear" w:color="auto" w:fill="F5F7F5"/>
          </w:tcPr>
          <w:p>
            <w:pPr>
              <w:spacing w:after="0"/>
            </w:pPr>
            <w:r>
              <w:rPr>
                <w:b w:val="0"/>
                <w:i w:val="0"/>
                <w:color w:val="16261F"/>
                <w:sz w:val="18"/>
              </w:rPr>
              <w:t>The payment page functions without JavaScript to the extent of displaying invoice detail and PDF download.</w:t>
            </w:r>
          </w:p>
        </w:tc>
        <w:tc>
          <w:tcPr>
            <w:tcW w:type="dxa" w:w="1224"/>
            <w:tcMar>
              <w:top w:w="60" w:type="dxa"/>
              <w:left w:w="110" w:type="dxa"/>
              <w:bottom w:w="60" w:type="dxa"/>
              <w:right w:w="110" w:type="dxa"/>
            </w:tcMar>
            <w:shd w:val="clear" w:color="auto" w:fill="F5F7F5"/>
          </w:tcPr>
          <w:p>
            <w:pPr>
              <w:spacing w:after="0"/>
              <w:jc w:val="center"/>
            </w:pPr>
            <w:r>
              <w:rPr>
                <w:b/>
                <w:i w:val="0"/>
                <w:color w:val="3A6FA8"/>
                <w:sz w:val="16"/>
              </w:rPr>
              <w:t>Goal</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bl>
    <w:p>
      <w:r>
        <w:br w:type="page"/>
      </w:r>
    </w:p>
    <w:p>
      <w:pPr>
        <w:pStyle w:val="Heading1"/>
      </w:pPr>
      <w:r>
        <w:t>13. NFR-MNT — Maintainability and code quality</w:t>
      </w:r>
    </w:p>
    <w:p>
      <w:pPr>
        <w:spacing w:after="140"/>
      </w:pPr>
      <w:r>
        <w:rPr>
          <w:b w:val="0"/>
          <w:i w:val="0"/>
          <w:color w:val="16261F"/>
          <w:sz w:val="21"/>
        </w:rPr>
        <w:t>The platform is expected to run for years and be worked on by engineers who did not write it.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NFR-MNT-001</w:t>
            </w:r>
          </w:p>
        </w:tc>
        <w:tc>
          <w:tcPr>
            <w:tcW w:type="dxa" w:w="5544"/>
            <w:tcMar>
              <w:top w:w="60" w:type="dxa"/>
              <w:left w:w="110" w:type="dxa"/>
              <w:bottom w:w="60" w:type="dxa"/>
              <w:right w:w="110" w:type="dxa"/>
            </w:tcMar>
          </w:tcPr>
          <w:p>
            <w:pPr>
              <w:spacing w:after="0"/>
            </w:pPr>
            <w:r>
              <w:rPr>
                <w:b w:val="0"/>
                <w:i w:val="0"/>
                <w:color w:val="16261F"/>
                <w:sz w:val="18"/>
              </w:rPr>
              <w:t>The codebase is statically typed end to end, with implicit-any equivalents prohibited.</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NFR-MNT-002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Linting and formatting are enforced automatically; a violation fails the build.</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NFR-MNT-003</w:t>
            </w:r>
          </w:p>
        </w:tc>
        <w:tc>
          <w:tcPr>
            <w:tcW w:type="dxa" w:w="5544"/>
            <w:tcMar>
              <w:top w:w="60" w:type="dxa"/>
              <w:left w:w="110" w:type="dxa"/>
              <w:bottom w:w="60" w:type="dxa"/>
              <w:right w:w="110" w:type="dxa"/>
            </w:tcMar>
          </w:tcPr>
          <w:p>
            <w:pPr>
              <w:spacing w:after="0"/>
            </w:pPr>
            <w:r>
              <w:rPr>
                <w:b w:val="0"/>
                <w:i w:val="0"/>
                <w:color w:val="16261F"/>
                <w:sz w:val="18"/>
              </w:rPr>
              <w:t>Business logic is separated from framework, transport and persistence concerns.</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NFR-MNT-004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Every external integration sits behind an internal interface, so a provider can be replaced without change to domain logic.</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NFR-MNT-005</w:t>
            </w:r>
          </w:p>
        </w:tc>
        <w:tc>
          <w:tcPr>
            <w:tcW w:type="dxa" w:w="5544"/>
            <w:tcMar>
              <w:top w:w="60" w:type="dxa"/>
              <w:left w:w="110" w:type="dxa"/>
              <w:bottom w:w="60" w:type="dxa"/>
              <w:right w:w="110" w:type="dxa"/>
            </w:tcMar>
          </w:tcPr>
          <w:p>
            <w:pPr>
              <w:spacing w:after="0"/>
            </w:pPr>
            <w:r>
              <w:rPr>
                <w:b w:val="0"/>
                <w:i w:val="0"/>
                <w:color w:val="16261F"/>
                <w:sz w:val="18"/>
              </w:rPr>
              <w:t>Database schema changes are applied by versioned, reversible migrations held in version control.</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NFR-MNT-006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No production configuration value is hard-coded; all environment-specific values come from configuration.</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NFR-MNT-007</w:t>
            </w:r>
          </w:p>
        </w:tc>
        <w:tc>
          <w:tcPr>
            <w:tcW w:type="dxa" w:w="5544"/>
            <w:tcMar>
              <w:top w:w="60" w:type="dxa"/>
              <w:left w:w="110" w:type="dxa"/>
              <w:bottom w:w="60" w:type="dxa"/>
              <w:right w:w="110" w:type="dxa"/>
            </w:tcMar>
          </w:tcPr>
          <w:p>
            <w:pPr>
              <w:spacing w:after="0"/>
            </w:pPr>
            <w:r>
              <w:rPr>
                <w:b w:val="0"/>
                <w:i w:val="0"/>
                <w:color w:val="16261F"/>
                <w:sz w:val="18"/>
              </w:rPr>
              <w:t>Public API surfaces are documented and the documentation is generated from the source of truth.</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NFR-MNT-008</w:t>
            </w:r>
          </w:p>
        </w:tc>
        <w:tc>
          <w:tcPr>
            <w:tcW w:type="dxa" w:w="5544"/>
            <w:tcMar>
              <w:top w:w="60" w:type="dxa"/>
              <w:left w:w="110" w:type="dxa"/>
              <w:bottom w:w="60" w:type="dxa"/>
              <w:right w:w="110" w:type="dxa"/>
            </w:tcMar>
            <w:shd w:val="clear" w:color="auto" w:fill="F5F7F5"/>
          </w:tcPr>
          <w:p>
            <w:pPr>
              <w:spacing w:after="0"/>
            </w:pPr>
            <w:r>
              <w:rPr>
                <w:b w:val="0"/>
                <w:i w:val="0"/>
                <w:color w:val="16261F"/>
                <w:sz w:val="18"/>
              </w:rPr>
              <w:t>A new engineer can bring the full stack up locally with a documented single command in under 30 minutes.</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NFR-MNT-009</w:t>
            </w:r>
          </w:p>
        </w:tc>
        <w:tc>
          <w:tcPr>
            <w:tcW w:type="dxa" w:w="5544"/>
            <w:tcMar>
              <w:top w:w="60" w:type="dxa"/>
              <w:left w:w="110" w:type="dxa"/>
              <w:bottom w:w="60" w:type="dxa"/>
              <w:right w:w="110" w:type="dxa"/>
            </w:tcMar>
          </w:tcPr>
          <w:p>
            <w:pPr>
              <w:spacing w:after="0"/>
            </w:pPr>
            <w:r>
              <w:rPr>
                <w:b w:val="0"/>
                <w:i w:val="0"/>
                <w:color w:val="16261F"/>
                <w:sz w:val="18"/>
              </w:rPr>
              <w:t>Dependencies are updated at least quarterly; no production dependency is more than two major versions behind.</w:t>
            </w:r>
          </w:p>
        </w:tc>
        <w:tc>
          <w:tcPr>
            <w:tcW w:type="dxa" w:w="1224"/>
            <w:tcMar>
              <w:top w:w="60" w:type="dxa"/>
              <w:left w:w="110" w:type="dxa"/>
              <w:bottom w:w="60" w:type="dxa"/>
              <w:right w:w="110" w:type="dxa"/>
            </w:tcMar>
          </w:tcPr>
          <w:p>
            <w:pPr>
              <w:spacing w:after="0"/>
              <w:jc w:val="center"/>
            </w:pPr>
            <w:r>
              <w:rPr>
                <w:b/>
                <w:i w:val="0"/>
                <w:color w:val="3A6FA8"/>
                <w:sz w:val="16"/>
              </w:rPr>
              <w:t>Goal</w:t>
            </w:r>
          </w:p>
        </w:tc>
        <w:tc>
          <w:tcPr>
            <w:tcW w:type="dxa" w:w="936"/>
            <w:tcMar>
              <w:top w:w="60" w:type="dxa"/>
              <w:left w:w="110" w:type="dxa"/>
              <w:bottom w:w="60" w:type="dxa"/>
              <w:right w:w="110" w:type="dxa"/>
            </w:tcMar>
          </w:tcPr>
          <w:p>
            <w:pPr>
              <w:spacing w:after="0"/>
              <w:jc w:val="center"/>
            </w:pPr>
            <w:r>
              <w:rPr>
                <w:b w:val="0"/>
                <w:i w:val="0"/>
                <w:color w:val="16261F"/>
                <w:sz w:val="18"/>
              </w:rPr>
              <w:t>Audit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NFR-MNT-010</w:t>
            </w:r>
          </w:p>
        </w:tc>
        <w:tc>
          <w:tcPr>
            <w:tcW w:type="dxa" w:w="5544"/>
            <w:tcMar>
              <w:top w:w="60" w:type="dxa"/>
              <w:left w:w="110" w:type="dxa"/>
              <w:bottom w:w="60" w:type="dxa"/>
              <w:right w:w="110" w:type="dxa"/>
            </w:tcMar>
            <w:shd w:val="clear" w:color="auto" w:fill="F5F7F5"/>
          </w:tcPr>
          <w:p>
            <w:pPr>
              <w:spacing w:after="0"/>
            </w:pPr>
            <w:r>
              <w:rPr>
                <w:b w:val="0"/>
                <w:i w:val="0"/>
                <w:color w:val="16261F"/>
                <w:sz w:val="18"/>
              </w:rPr>
              <w:t>Architectural decisions of consequence are recorded with their context and alternatives.</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bl>
    <w:p>
      <w:r>
        <w:br w:type="page"/>
      </w:r>
    </w:p>
    <w:p>
      <w:pPr>
        <w:pStyle w:val="Heading1"/>
      </w:pPr>
      <w:r>
        <w:t>14. NFR-TST — Testability and quality gates</w:t>
      </w:r>
    </w:p>
    <w:p>
      <w:pPr>
        <w:spacing w:after="140"/>
      </w:pPr>
      <w:r>
        <w:rPr>
          <w:b w:val="0"/>
          <w:i w:val="0"/>
          <w:color w:val="16261F"/>
          <w:sz w:val="21"/>
        </w:rPr>
        <w:t>Coverage percentages are a weak proxy for confidence. The gates below name what must be tested, not merely how much.</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NFR-TST-001</w:t>
            </w:r>
          </w:p>
        </w:tc>
        <w:tc>
          <w:tcPr>
            <w:tcW w:type="dxa" w:w="5544"/>
            <w:tcMar>
              <w:top w:w="60" w:type="dxa"/>
              <w:left w:w="110" w:type="dxa"/>
              <w:bottom w:w="60" w:type="dxa"/>
              <w:right w:w="110" w:type="dxa"/>
            </w:tcMar>
          </w:tcPr>
          <w:p>
            <w:pPr>
              <w:spacing w:after="0"/>
            </w:pPr>
            <w:r>
              <w:rPr>
                <w:b w:val="0"/>
                <w:i w:val="0"/>
                <w:color w:val="16261F"/>
                <w:sz w:val="18"/>
              </w:rPr>
              <w:t>Unit test line coverage is at least 70% overall and at least 90% for money arithmetic, tax and fee calculation, and invoice status transition logic.</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Measure</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NFR-TST-002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Every integration has contract tests running against a recorded or sandbox provider.</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NFR-TST-003</w:t>
            </w:r>
          </w:p>
        </w:tc>
        <w:tc>
          <w:tcPr>
            <w:tcW w:type="dxa" w:w="5544"/>
            <w:tcMar>
              <w:top w:w="60" w:type="dxa"/>
              <w:left w:w="110" w:type="dxa"/>
              <w:bottom w:w="60" w:type="dxa"/>
              <w:right w:w="110" w:type="dxa"/>
            </w:tcMar>
          </w:tcPr>
          <w:p>
            <w:pPr>
              <w:spacing w:after="0"/>
            </w:pPr>
            <w:r>
              <w:rPr>
                <w:b w:val="0"/>
                <w:i w:val="0"/>
                <w:color w:val="16261F"/>
                <w:sz w:val="18"/>
              </w:rPr>
              <w:t>End-to-end tests cover: invoice creation through to payment receipt, each payment method, check approval, and Zoho round trip.</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NFR-TST-004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Authorisation tests assert, for every role and every protected endpoint, that access is granted or denied as specified.</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NFR-TST-005</w:t>
            </w:r>
          </w:p>
        </w:tc>
        <w:tc>
          <w:tcPr>
            <w:tcW w:type="dxa" w:w="5544"/>
            <w:tcMar>
              <w:top w:w="60" w:type="dxa"/>
              <w:left w:w="110" w:type="dxa"/>
              <w:bottom w:w="60" w:type="dxa"/>
              <w:right w:w="110" w:type="dxa"/>
            </w:tcMar>
          </w:tcPr>
          <w:p>
            <w:pPr>
              <w:spacing w:after="0"/>
            </w:pPr>
            <w:r>
              <w:rPr>
                <w:b w:val="0"/>
                <w:i w:val="0"/>
                <w:color w:val="16261F"/>
                <w:sz w:val="18"/>
              </w:rPr>
              <w:t>Concurrency tests cover duplicate payment submission, out-of-order webhook delivery and simultaneous invoice numbering.</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NFR-TST-006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Accessibility checks run automatically in the pipeline against all customer-facing pages.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NFR-TST-007</w:t>
            </w:r>
          </w:p>
        </w:tc>
        <w:tc>
          <w:tcPr>
            <w:tcW w:type="dxa" w:w="5544"/>
            <w:tcMar>
              <w:top w:w="60" w:type="dxa"/>
              <w:left w:w="110" w:type="dxa"/>
              <w:bottom w:w="60" w:type="dxa"/>
              <w:right w:w="110" w:type="dxa"/>
            </w:tcMar>
          </w:tcPr>
          <w:p>
            <w:pPr>
              <w:spacing w:after="0"/>
            </w:pPr>
            <w:r>
              <w:rPr>
                <w:b w:val="0"/>
                <w:i w:val="0"/>
                <w:color w:val="16261F"/>
                <w:sz w:val="18"/>
              </w:rPr>
              <w:t>Load testing against the section 2 Month-12 model is performed before first production release.</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NFR-TST-008</w:t>
            </w:r>
          </w:p>
        </w:tc>
        <w:tc>
          <w:tcPr>
            <w:tcW w:type="dxa" w:w="5544"/>
            <w:tcMar>
              <w:top w:w="60" w:type="dxa"/>
              <w:left w:w="110" w:type="dxa"/>
              <w:bottom w:w="60" w:type="dxa"/>
              <w:right w:w="110" w:type="dxa"/>
            </w:tcMar>
            <w:shd w:val="clear" w:color="auto" w:fill="F5F7F5"/>
          </w:tcPr>
          <w:p>
            <w:pPr>
              <w:spacing w:after="0"/>
            </w:pPr>
            <w:r>
              <w:rPr>
                <w:b w:val="0"/>
                <w:i w:val="0"/>
                <w:color w:val="16261F"/>
                <w:sz w:val="18"/>
              </w:rPr>
              <w:t>The pipeline blocks merge on any failing test, lint error, type error or critical vulnerability.</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NFR-TST-009</w:t>
            </w:r>
          </w:p>
        </w:tc>
        <w:tc>
          <w:tcPr>
            <w:tcW w:type="dxa" w:w="5544"/>
            <w:tcMar>
              <w:top w:w="60" w:type="dxa"/>
              <w:left w:w="110" w:type="dxa"/>
              <w:bottom w:w="60" w:type="dxa"/>
              <w:right w:w="110" w:type="dxa"/>
            </w:tcMar>
          </w:tcPr>
          <w:p>
            <w:pPr>
              <w:spacing w:after="0"/>
            </w:pPr>
            <w:r>
              <w:rPr>
                <w:b w:val="0"/>
                <w:i w:val="0"/>
                <w:color w:val="16261F"/>
                <w:sz w:val="18"/>
              </w:rPr>
              <w:t>A staging environment mirrors production topology and uses provider sandboxes for every integration.</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NFR-TST-010</w:t>
            </w:r>
          </w:p>
        </w:tc>
        <w:tc>
          <w:tcPr>
            <w:tcW w:type="dxa" w:w="5544"/>
            <w:tcMar>
              <w:top w:w="60" w:type="dxa"/>
              <w:left w:w="110" w:type="dxa"/>
              <w:bottom w:w="60" w:type="dxa"/>
              <w:right w:w="110" w:type="dxa"/>
            </w:tcMar>
            <w:shd w:val="clear" w:color="auto" w:fill="F5F7F5"/>
          </w:tcPr>
          <w:p>
            <w:pPr>
              <w:spacing w:after="0"/>
            </w:pPr>
            <w:r>
              <w:rPr>
                <w:b w:val="0"/>
                <w:i w:val="0"/>
                <w:color w:val="16261F"/>
                <w:sz w:val="18"/>
              </w:rPr>
              <w:t>Test data seeding produces a representative multi-brand dataset with a single command.</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bl>
    <w:p>
      <w:r>
        <w:br w:type="page"/>
      </w:r>
    </w:p>
    <w:p>
      <w:pPr>
        <w:pStyle w:val="Heading1"/>
      </w:pPr>
      <w:r>
        <w:t>15. NFR-LOC — Localisation, currency and time</w:t>
      </w:r>
    </w:p>
    <w:p>
      <w:pPr>
        <w:spacing w:after="140"/>
      </w:pPr>
      <w:r>
        <w:rPr>
          <w:b w:val="0"/>
          <w:i w:val="0"/>
          <w:color w:val="16261F"/>
          <w:sz w:val="21"/>
        </w:rPr>
        <w:t>Multi-brand implies multi-timezone even within a single country, and the prototype already seeds brands in different zones.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224"/>
            <w:shd w:val="clear" w:color="auto" w:fill="16261F"/>
            <w:tcMar>
              <w:top w:w="70" w:type="dxa"/>
              <w:left w:w="110" w:type="dxa"/>
              <w:bottom w:w="70" w:type="dxa"/>
              <w:right w:w="110" w:type="dxa"/>
            </w:tcMar>
          </w:tcPr>
          <w:p>
            <w:pPr>
              <w:spacing w:after="0"/>
            </w:pPr>
            <w:r>
              <w:rPr>
                <w:rFonts w:ascii="Calibri" w:hAnsi="Calibri"/>
                <w:b/>
                <w:color w:val="FFFFFF"/>
                <w:sz w:val="17"/>
              </w:rPr>
              <w:t>ID</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Requirement and target</w:t>
            </w:r>
          </w:p>
        </w:tc>
        <w:tc>
          <w:tcPr>
            <w:tcW w:type="dxa" w:w="1224"/>
            <w:shd w:val="clear" w:color="auto" w:fill="16261F"/>
            <w:tcMar>
              <w:top w:w="70" w:type="dxa"/>
              <w:left w:w="110" w:type="dxa"/>
              <w:bottom w:w="70" w:type="dxa"/>
              <w:right w:w="110" w:type="dxa"/>
            </w:tcMar>
          </w:tcPr>
          <w:p>
            <w:pPr>
              <w:spacing w:after="0"/>
              <w:jc w:val="center"/>
            </w:pPr>
            <w:r>
              <w:rPr>
                <w:rFonts w:ascii="Calibri" w:hAnsi="Calibri"/>
                <w:b/>
                <w:color w:val="FFFFFF"/>
                <w:sz w:val="17"/>
              </w:rPr>
              <w:t>Class</w:t>
            </w:r>
          </w:p>
        </w:tc>
        <w:tc>
          <w:tcPr>
            <w:tcW w:type="dxa" w:w="936"/>
            <w:shd w:val="clear" w:color="auto" w:fill="16261F"/>
            <w:tcMar>
              <w:top w:w="70" w:type="dxa"/>
              <w:left w:w="110" w:type="dxa"/>
              <w:bottom w:w="70" w:type="dxa"/>
              <w:right w:w="110" w:type="dxa"/>
            </w:tcMar>
          </w:tcPr>
          <w:p>
            <w:pPr>
              <w:spacing w:after="0"/>
              <w:jc w:val="center"/>
            </w:pPr>
            <w:r>
              <w:rPr>
                <w:rFonts w:ascii="Calibri" w:hAnsi="Calibri"/>
                <w:b/>
                <w:color w:val="FFFFFF"/>
                <w:sz w:val="17"/>
              </w:rPr>
              <w:t>Verify</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NFR-LOC-001</w:t>
            </w:r>
          </w:p>
        </w:tc>
        <w:tc>
          <w:tcPr>
            <w:tcW w:type="dxa" w:w="5544"/>
            <w:tcMar>
              <w:top w:w="60" w:type="dxa"/>
              <w:left w:w="110" w:type="dxa"/>
              <w:bottom w:w="60" w:type="dxa"/>
              <w:right w:w="110" w:type="dxa"/>
            </w:tcMar>
          </w:tcPr>
          <w:p>
            <w:pPr>
              <w:spacing w:after="0"/>
            </w:pPr>
            <w:r>
              <w:rPr>
                <w:b w:val="0"/>
                <w:i w:val="0"/>
                <w:color w:val="16261F"/>
                <w:sz w:val="18"/>
              </w:rPr>
              <w:t>All timestamps are stored in UTC and rendered in the relevant brand's time zone.</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NFR-LOC-002</w:t>
            </w:r>
          </w:p>
        </w:tc>
        <w:tc>
          <w:tcPr>
            <w:tcW w:type="dxa" w:w="5544"/>
            <w:tcMar>
              <w:top w:w="60" w:type="dxa"/>
              <w:left w:w="110" w:type="dxa"/>
              <w:bottom w:w="60" w:type="dxa"/>
              <w:right w:w="110" w:type="dxa"/>
            </w:tcMar>
            <w:shd w:val="clear" w:color="auto" w:fill="F5F7F5"/>
          </w:tcPr>
          <w:p>
            <w:pPr>
              <w:spacing w:after="0"/>
            </w:pPr>
            <w:r>
              <w:rPr>
                <w:b w:val="0"/>
                <w:i w:val="0"/>
                <w:color w:val="16261F"/>
                <w:sz w:val="18"/>
              </w:rPr>
              <w:t>Due date and overdue evaluation use the brand's time zone, not the server's or the user's.</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NFR-LOC-003</w:t>
            </w:r>
          </w:p>
        </w:tc>
        <w:tc>
          <w:tcPr>
            <w:tcW w:type="dxa" w:w="5544"/>
            <w:tcMar>
              <w:top w:w="60" w:type="dxa"/>
              <w:left w:w="110" w:type="dxa"/>
              <w:bottom w:w="60" w:type="dxa"/>
              <w:right w:w="110" w:type="dxa"/>
            </w:tcMar>
          </w:tcPr>
          <w:p>
            <w:pPr>
              <w:spacing w:after="0"/>
            </w:pPr>
            <w:r>
              <w:rPr>
                <w:b w:val="0"/>
                <w:i w:val="0"/>
                <w:color w:val="16261F"/>
                <w:sz w:val="18"/>
              </w:rPr>
              <w:t>Date handling is correct across daylight saving transitions.</w:t>
            </w:r>
          </w:p>
        </w:tc>
        <w:tc>
          <w:tcPr>
            <w:tcW w:type="dxa" w:w="1224"/>
            <w:tcMar>
              <w:top w:w="60" w:type="dxa"/>
              <w:left w:w="110" w:type="dxa"/>
              <w:bottom w:w="60" w:type="dxa"/>
              <w:right w:w="110" w:type="dxa"/>
            </w:tcMar>
          </w:tcPr>
          <w:p>
            <w:pPr>
              <w:spacing w:after="0"/>
              <w:jc w:val="center"/>
            </w:pPr>
            <w:r>
              <w:rPr>
                <w:b/>
                <w:i w:val="0"/>
                <w:color w:val="C0473D"/>
                <w:sz w:val="16"/>
              </w:rPr>
              <w:t>Mandatory</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NFR-LOC-004</w:t>
            </w:r>
          </w:p>
        </w:tc>
        <w:tc>
          <w:tcPr>
            <w:tcW w:type="dxa" w:w="5544"/>
            <w:tcMar>
              <w:top w:w="60" w:type="dxa"/>
              <w:left w:w="110" w:type="dxa"/>
              <w:bottom w:w="60" w:type="dxa"/>
              <w:right w:w="110" w:type="dxa"/>
            </w:tcMar>
            <w:shd w:val="clear" w:color="auto" w:fill="F5F7F5"/>
          </w:tcPr>
          <w:p>
            <w:pPr>
              <w:spacing w:after="0"/>
            </w:pPr>
            <w:r>
              <w:rPr>
                <w:b w:val="0"/>
                <w:i w:val="0"/>
                <w:color w:val="16261F"/>
                <w:sz w:val="18"/>
              </w:rPr>
              <w:t>Currency is stored with an explicit ISO 4217 code alongside every monetary amount.</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Inspect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NFR-LOC-005</w:t>
            </w:r>
          </w:p>
        </w:tc>
        <w:tc>
          <w:tcPr>
            <w:tcW w:type="dxa" w:w="5544"/>
            <w:tcMar>
              <w:top w:w="60" w:type="dxa"/>
              <w:left w:w="110" w:type="dxa"/>
              <w:bottom w:w="60" w:type="dxa"/>
              <w:right w:w="110" w:type="dxa"/>
            </w:tcMar>
          </w:tcPr>
          <w:p>
            <w:pPr>
              <w:spacing w:after="0"/>
            </w:pPr>
            <w:r>
              <w:rPr>
                <w:b w:val="0"/>
                <w:i w:val="0"/>
                <w:color w:val="16261F"/>
                <w:sz w:val="18"/>
              </w:rPr>
              <w:t>Currency is formatted according to the brand's locale conventions.</w:t>
            </w:r>
          </w:p>
        </w:tc>
        <w:tc>
          <w:tcPr>
            <w:tcW w:type="dxa" w:w="1224"/>
            <w:tcMar>
              <w:top w:w="60" w:type="dxa"/>
              <w:left w:w="110" w:type="dxa"/>
              <w:bottom w:w="60" w:type="dxa"/>
              <w:right w:w="110" w:type="dxa"/>
            </w:tcMar>
          </w:tcPr>
          <w:p>
            <w:pPr>
              <w:spacing w:after="0"/>
              <w:jc w:val="center"/>
            </w:pPr>
            <w:r>
              <w:rPr>
                <w:b/>
                <w:i w:val="0"/>
                <w:color w:val="2D6A6A"/>
                <w:sz w:val="16"/>
              </w:rPr>
              <w:t>Target</w:t>
            </w:r>
          </w:p>
        </w:tc>
        <w:tc>
          <w:tcPr>
            <w:tcW w:type="dxa" w:w="936"/>
            <w:tcMar>
              <w:top w:w="60" w:type="dxa"/>
              <w:left w:w="110" w:type="dxa"/>
              <w:bottom w:w="60" w:type="dxa"/>
              <w:right w:w="110" w:type="dxa"/>
            </w:tcMar>
          </w:tcPr>
          <w:p>
            <w:pPr>
              <w:spacing w:after="0"/>
              <w:jc w:val="center"/>
            </w:pPr>
            <w:r>
              <w:rPr>
                <w:b w:val="0"/>
                <w:i w:val="0"/>
                <w:color w:val="16261F"/>
                <w:sz w:val="18"/>
              </w:rPr>
              <w:t>Test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NFR-LOC-006</w:t>
            </w:r>
          </w:p>
        </w:tc>
        <w:tc>
          <w:tcPr>
            <w:tcW w:type="dxa" w:w="5544"/>
            <w:tcMar>
              <w:top w:w="60" w:type="dxa"/>
              <w:left w:w="110" w:type="dxa"/>
              <w:bottom w:w="60" w:type="dxa"/>
              <w:right w:w="110" w:type="dxa"/>
            </w:tcMar>
            <w:shd w:val="clear" w:color="auto" w:fill="F5F7F5"/>
          </w:tcPr>
          <w:p>
            <w:pPr>
              <w:spacing w:after="0"/>
            </w:pPr>
            <w:r>
              <w:rPr>
                <w:b w:val="0"/>
                <w:i w:val="0"/>
                <w:color w:val="16261F"/>
                <w:sz w:val="18"/>
              </w:rPr>
              <w:t>Cross-currency dashboard aggregation records the conversion rate and the date it was applied.</w:t>
            </w:r>
          </w:p>
        </w:tc>
        <w:tc>
          <w:tcPr>
            <w:tcW w:type="dxa" w:w="1224"/>
            <w:tcMar>
              <w:top w:w="60" w:type="dxa"/>
              <w:left w:w="110" w:type="dxa"/>
              <w:bottom w:w="60" w:type="dxa"/>
              <w:right w:w="110" w:type="dxa"/>
            </w:tcMar>
            <w:shd w:val="clear" w:color="auto" w:fill="F5F7F5"/>
          </w:tcPr>
          <w:p>
            <w:pPr>
              <w:spacing w:after="0"/>
              <w:jc w:val="center"/>
            </w:pPr>
            <w:r>
              <w:rPr>
                <w:b/>
                <w:i w:val="0"/>
                <w:color w:val="2D6A6A"/>
                <w:sz w:val="16"/>
              </w:rPr>
              <w:t>Target</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r>
        <w:tc>
          <w:tcPr>
            <w:tcW w:type="dxa" w:w="1224"/>
            <w:tcMar>
              <w:top w:w="60" w:type="dxa"/>
              <w:left w:w="110" w:type="dxa"/>
              <w:bottom w:w="60" w:type="dxa"/>
              <w:right w:w="110" w:type="dxa"/>
            </w:tcMar>
          </w:tcPr>
          <w:p>
            <w:pPr>
              <w:spacing w:after="0"/>
            </w:pPr>
            <w:r>
              <w:rPr>
                <w:rFonts w:ascii="Consolas" w:hAnsi="Consolas"/>
                <w:b w:val="0"/>
                <w:i w:val="0"/>
                <w:color w:val="16261F"/>
                <w:sz w:val="17"/>
              </w:rPr>
              <w:t>NFR-LOC-007</w:t>
            </w:r>
          </w:p>
        </w:tc>
        <w:tc>
          <w:tcPr>
            <w:tcW w:type="dxa" w:w="5544"/>
            <w:tcMar>
              <w:top w:w="60" w:type="dxa"/>
              <w:left w:w="110" w:type="dxa"/>
              <w:bottom w:w="60" w:type="dxa"/>
              <w:right w:w="110" w:type="dxa"/>
            </w:tcMar>
          </w:tcPr>
          <w:p>
            <w:pPr>
              <w:spacing w:after="0"/>
            </w:pPr>
            <w:r>
              <w:rPr>
                <w:b w:val="0"/>
                <w:i w:val="0"/>
                <w:color w:val="16261F"/>
                <w:sz w:val="18"/>
              </w:rPr>
              <w:t>User-facing strings are externalised to support future translation, even though only English is delivered.</w:t>
            </w:r>
          </w:p>
        </w:tc>
        <w:tc>
          <w:tcPr>
            <w:tcW w:type="dxa" w:w="1224"/>
            <w:tcMar>
              <w:top w:w="60" w:type="dxa"/>
              <w:left w:w="110" w:type="dxa"/>
              <w:bottom w:w="60" w:type="dxa"/>
              <w:right w:w="110" w:type="dxa"/>
            </w:tcMar>
          </w:tcPr>
          <w:p>
            <w:pPr>
              <w:spacing w:after="0"/>
              <w:jc w:val="center"/>
            </w:pPr>
            <w:r>
              <w:rPr>
                <w:b/>
                <w:i w:val="0"/>
                <w:color w:val="3A6FA8"/>
                <w:sz w:val="16"/>
              </w:rPr>
              <w:t>Goal</w:t>
            </w:r>
          </w:p>
        </w:tc>
        <w:tc>
          <w:tcPr>
            <w:tcW w:type="dxa" w:w="936"/>
            <w:tcMar>
              <w:top w:w="60" w:type="dxa"/>
              <w:left w:w="110" w:type="dxa"/>
              <w:bottom w:w="60" w:type="dxa"/>
              <w:right w:w="110" w:type="dxa"/>
            </w:tcMar>
          </w:tcPr>
          <w:p>
            <w:pPr>
              <w:spacing w:after="0"/>
              <w:jc w:val="center"/>
            </w:pPr>
            <w:r>
              <w:rPr>
                <w:b w:val="0"/>
                <w:i w:val="0"/>
                <w:color w:val="16261F"/>
                <w:sz w:val="18"/>
              </w:rPr>
              <w:t>Inspect</w:t>
            </w:r>
          </w:p>
        </w:tc>
      </w:tr>
      <w:tr>
        <w:tc>
          <w:tcPr>
            <w:tcW w:type="dxa" w:w="1224"/>
            <w:tcMar>
              <w:top w:w="60" w:type="dxa"/>
              <w:left w:w="110" w:type="dxa"/>
              <w:bottom w:w="60" w:type="dxa"/>
              <w:right w:w="110" w:type="dxa"/>
            </w:tcMar>
            <w:shd w:val="clear" w:color="auto" w:fill="F5F7F5"/>
          </w:tcPr>
          <w:p>
            <w:pPr>
              <w:spacing w:after="0"/>
            </w:pPr>
            <w:r>
              <w:rPr>
                <w:rFonts w:ascii="Consolas" w:hAnsi="Consolas"/>
                <w:b w:val="0"/>
                <w:i w:val="0"/>
                <w:color w:val="16261F"/>
                <w:sz w:val="17"/>
              </w:rPr>
              <w:t>NFR-LOC-008</w:t>
            </w:r>
          </w:p>
        </w:tc>
        <w:tc>
          <w:tcPr>
            <w:tcW w:type="dxa" w:w="5544"/>
            <w:tcMar>
              <w:top w:w="60" w:type="dxa"/>
              <w:left w:w="110" w:type="dxa"/>
              <w:bottom w:w="60" w:type="dxa"/>
              <w:right w:w="110" w:type="dxa"/>
            </w:tcMar>
            <w:shd w:val="clear" w:color="auto" w:fill="F5F7F5"/>
          </w:tcPr>
          <w:p>
            <w:pPr>
              <w:spacing w:after="0"/>
            </w:pPr>
            <w:r>
              <w:rPr>
                <w:b w:val="0"/>
                <w:i w:val="0"/>
                <w:color w:val="16261F"/>
                <w:sz w:val="18"/>
              </w:rPr>
              <w:t>Names and addresses accept the full Unicode range without corruption at any layer.</w:t>
            </w:r>
          </w:p>
        </w:tc>
        <w:tc>
          <w:tcPr>
            <w:tcW w:type="dxa" w:w="1224"/>
            <w:tcMar>
              <w:top w:w="60" w:type="dxa"/>
              <w:left w:w="110" w:type="dxa"/>
              <w:bottom w:w="60" w:type="dxa"/>
              <w:right w:w="110" w:type="dxa"/>
            </w:tcMar>
            <w:shd w:val="clear" w:color="auto" w:fill="F5F7F5"/>
          </w:tcPr>
          <w:p>
            <w:pPr>
              <w:spacing w:after="0"/>
              <w:jc w:val="center"/>
            </w:pPr>
            <w:r>
              <w:rPr>
                <w:b/>
                <w:i w:val="0"/>
                <w:color w:val="C0473D"/>
                <w:sz w:val="16"/>
              </w:rPr>
              <w:t>Mandatory</w:t>
            </w:r>
          </w:p>
        </w:tc>
        <w:tc>
          <w:tcPr>
            <w:tcW w:type="dxa" w:w="936"/>
            <w:tcMar>
              <w:top w:w="60" w:type="dxa"/>
              <w:left w:w="110" w:type="dxa"/>
              <w:bottom w:w="60" w:type="dxa"/>
              <w:right w:w="110" w:type="dxa"/>
            </w:tcMar>
            <w:shd w:val="clear" w:color="auto" w:fill="F5F7F5"/>
          </w:tcPr>
          <w:p>
            <w:pPr>
              <w:spacing w:after="0"/>
              <w:jc w:val="center"/>
            </w:pPr>
            <w:r>
              <w:rPr>
                <w:b w:val="0"/>
                <w:i w:val="0"/>
                <w:color w:val="16261F"/>
                <w:sz w:val="18"/>
              </w:rPr>
              <w:t>Test</w:t>
            </w:r>
          </w:p>
        </w:tc>
      </w:tr>
    </w:tbl>
    <w:p>
      <w:r>
        <w:br w:type="page"/>
      </w:r>
    </w:p>
    <w:p>
      <w:pPr>
        <w:pStyle w:val="Heading1"/>
      </w:pPr>
      <w:r>
        <w:t>16. Verification matrix</w:t>
      </w:r>
    </w:p>
    <w:p>
      <w:pPr>
        <w:spacing w:after="140"/>
      </w:pPr>
      <w:r>
        <w:rPr>
          <w:b w:val="0"/>
          <w:i w:val="0"/>
          <w:color w:val="16261F"/>
          <w:sz w:val="21"/>
        </w:rPr>
        <w:t>How each category is proven, and at what point in the delivery cycle. No category is verified solely by opinion or demonstration.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6"/>
              </w:rPr>
              <w:t>Category</w:t>
            </w:r>
          </w:p>
        </w:tc>
        <w:tc>
          <w:tcPr>
            <w:tcW w:type="dxa" w:w="2376"/>
            <w:shd w:val="clear" w:color="auto" w:fill="16261F"/>
            <w:tcMar>
              <w:top w:w="70" w:type="dxa"/>
              <w:left w:w="110" w:type="dxa"/>
              <w:bottom w:w="70" w:type="dxa"/>
              <w:right w:w="110" w:type="dxa"/>
            </w:tcMar>
          </w:tcPr>
          <w:p>
            <w:pPr>
              <w:spacing w:after="0"/>
            </w:pPr>
            <w:r>
              <w:rPr>
                <w:rFonts w:ascii="Calibri" w:hAnsi="Calibri"/>
                <w:b/>
                <w:color w:val="FFFFFF"/>
                <w:sz w:val="16"/>
              </w:rPr>
              <w:t>Primary method</w:t>
            </w:r>
          </w:p>
        </w:tc>
        <w:tc>
          <w:tcPr>
            <w:tcW w:type="dxa" w:w="1800"/>
            <w:shd w:val="clear" w:color="auto" w:fill="16261F"/>
            <w:tcMar>
              <w:top w:w="70" w:type="dxa"/>
              <w:left w:w="110" w:type="dxa"/>
              <w:bottom w:w="70" w:type="dxa"/>
              <w:right w:w="110" w:type="dxa"/>
            </w:tcMar>
          </w:tcPr>
          <w:p>
            <w:pPr>
              <w:spacing w:after="0"/>
            </w:pPr>
            <w:r>
              <w:rPr>
                <w:rFonts w:ascii="Calibri" w:hAnsi="Calibri"/>
                <w:b/>
                <w:color w:val="FFFFFF"/>
                <w:sz w:val="16"/>
              </w:rPr>
              <w:t>When</w:t>
            </w:r>
          </w:p>
        </w:tc>
        <w:tc>
          <w:tcPr>
            <w:tcW w:type="dxa" w:w="2376"/>
            <w:shd w:val="clear" w:color="auto" w:fill="16261F"/>
            <w:tcMar>
              <w:top w:w="70" w:type="dxa"/>
              <w:left w:w="110" w:type="dxa"/>
              <w:bottom w:w="70" w:type="dxa"/>
              <w:right w:w="110" w:type="dxa"/>
            </w:tcMar>
          </w:tcPr>
          <w:p>
            <w:pPr>
              <w:spacing w:after="0"/>
            </w:pPr>
            <w:r>
              <w:rPr>
                <w:rFonts w:ascii="Calibri" w:hAnsi="Calibri"/>
                <w:b/>
                <w:color w:val="FFFFFF"/>
                <w:sz w:val="16"/>
              </w:rPr>
              <w:t>Evidence produced</w:t>
            </w:r>
          </w:p>
        </w:tc>
        <w:tc>
          <w:tcPr>
            <w:tcW w:type="dxa" w:w="1152"/>
            <w:shd w:val="clear" w:color="auto" w:fill="16261F"/>
            <w:tcMar>
              <w:top w:w="70" w:type="dxa"/>
              <w:left w:w="110" w:type="dxa"/>
              <w:bottom w:w="70" w:type="dxa"/>
              <w:right w:w="110" w:type="dxa"/>
            </w:tcMar>
          </w:tcPr>
          <w:p>
            <w:pPr>
              <w:spacing w:after="0"/>
            </w:pPr>
            <w:r>
              <w:rPr>
                <w:rFonts w:ascii="Calibri" w:hAnsi="Calibri"/>
                <w:b/>
                <w:color w:val="FFFFFF"/>
                <w:sz w:val="16"/>
              </w:rPr>
              <w:t>Gate</w:t>
            </w:r>
          </w:p>
        </w:tc>
      </w:tr>
      <w:tr>
        <w:tc>
          <w:tcPr>
            <w:tcW w:type="dxa" w:w="1656"/>
            <w:tcMar>
              <w:top w:w="60" w:type="dxa"/>
              <w:left w:w="110" w:type="dxa"/>
              <w:bottom w:w="60" w:type="dxa"/>
              <w:right w:w="110" w:type="dxa"/>
            </w:tcMar>
          </w:tcPr>
          <w:p>
            <w:pPr>
              <w:spacing w:after="0"/>
            </w:pPr>
            <w:r>
              <w:rPr>
                <w:b w:val="0"/>
                <w:i w:val="0"/>
                <w:color w:val="16261F"/>
                <w:sz w:val="17"/>
              </w:rPr>
              <w:t>Performance</w:t>
            </w:r>
          </w:p>
        </w:tc>
        <w:tc>
          <w:tcPr>
            <w:tcW w:type="dxa" w:w="2376"/>
            <w:tcMar>
              <w:top w:w="60" w:type="dxa"/>
              <w:left w:w="110" w:type="dxa"/>
              <w:bottom w:w="60" w:type="dxa"/>
              <w:right w:w="110" w:type="dxa"/>
            </w:tcMar>
          </w:tcPr>
          <w:p>
            <w:pPr>
              <w:spacing w:after="0"/>
            </w:pPr>
            <w:r>
              <w:rPr>
                <w:b w:val="0"/>
                <w:i w:val="0"/>
                <w:color w:val="16261F"/>
                <w:sz w:val="17"/>
              </w:rPr>
              <w:t>Load and profiling measurement</w:t>
            </w:r>
          </w:p>
        </w:tc>
        <w:tc>
          <w:tcPr>
            <w:tcW w:type="dxa" w:w="1800"/>
            <w:tcMar>
              <w:top w:w="60" w:type="dxa"/>
              <w:left w:w="110" w:type="dxa"/>
              <w:bottom w:w="60" w:type="dxa"/>
              <w:right w:w="110" w:type="dxa"/>
            </w:tcMar>
          </w:tcPr>
          <w:p>
            <w:pPr>
              <w:spacing w:after="0"/>
            </w:pPr>
            <w:r>
              <w:rPr>
                <w:b w:val="0"/>
                <w:i w:val="0"/>
                <w:color w:val="16261F"/>
                <w:sz w:val="17"/>
              </w:rPr>
              <w:t>Per release</w:t>
            </w:r>
          </w:p>
        </w:tc>
        <w:tc>
          <w:tcPr>
            <w:tcW w:type="dxa" w:w="2376"/>
            <w:tcMar>
              <w:top w:w="60" w:type="dxa"/>
              <w:left w:w="110" w:type="dxa"/>
              <w:bottom w:w="60" w:type="dxa"/>
              <w:right w:w="110" w:type="dxa"/>
            </w:tcMar>
          </w:tcPr>
          <w:p>
            <w:pPr>
              <w:spacing w:after="0"/>
            </w:pPr>
            <w:r>
              <w:rPr>
                <w:b w:val="0"/>
                <w:i w:val="0"/>
                <w:color w:val="16261F"/>
                <w:sz w:val="17"/>
              </w:rPr>
              <w:t>Latency percentile report</w:t>
            </w:r>
          </w:p>
        </w:tc>
        <w:tc>
          <w:tcPr>
            <w:tcW w:type="dxa" w:w="1152"/>
            <w:tcMar>
              <w:top w:w="60" w:type="dxa"/>
              <w:left w:w="110" w:type="dxa"/>
              <w:bottom w:w="60" w:type="dxa"/>
              <w:right w:w="110" w:type="dxa"/>
            </w:tcMar>
          </w:tcPr>
          <w:p>
            <w:pPr>
              <w:spacing w:after="0"/>
            </w:pPr>
            <w:r>
              <w:rPr>
                <w:b w:val="0"/>
                <w:i w:val="0"/>
                <w:color w:val="16261F"/>
                <w:sz w:val="17"/>
              </w:rPr>
              <w:t>Release</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Scalability</w:t>
            </w:r>
          </w:p>
        </w:tc>
        <w:tc>
          <w:tcPr>
            <w:tcW w:type="dxa" w:w="2376"/>
            <w:tcMar>
              <w:top w:w="60" w:type="dxa"/>
              <w:left w:w="110" w:type="dxa"/>
              <w:bottom w:w="60" w:type="dxa"/>
              <w:right w:w="110" w:type="dxa"/>
            </w:tcMar>
            <w:shd w:val="clear" w:color="auto" w:fill="F5F7F5"/>
          </w:tcPr>
          <w:p>
            <w:pPr>
              <w:spacing w:after="0"/>
            </w:pPr>
            <w:r>
              <w:rPr>
                <w:b w:val="0"/>
                <w:i w:val="0"/>
                <w:color w:val="16261F"/>
                <w:sz w:val="17"/>
              </w:rPr>
              <w:t>Burst and soak testing</w:t>
            </w:r>
          </w:p>
        </w:tc>
        <w:tc>
          <w:tcPr>
            <w:tcW w:type="dxa" w:w="1800"/>
            <w:tcMar>
              <w:top w:w="60" w:type="dxa"/>
              <w:left w:w="110" w:type="dxa"/>
              <w:bottom w:w="60" w:type="dxa"/>
              <w:right w:w="110" w:type="dxa"/>
            </w:tcMar>
            <w:shd w:val="clear" w:color="auto" w:fill="F5F7F5"/>
          </w:tcPr>
          <w:p>
            <w:pPr>
              <w:spacing w:after="0"/>
            </w:pPr>
            <w:r>
              <w:rPr>
                <w:b w:val="0"/>
                <w:i w:val="0"/>
                <w:color w:val="16261F"/>
                <w:sz w:val="17"/>
              </w:rPr>
              <w:t>Pre-production, then annually</w:t>
            </w:r>
          </w:p>
        </w:tc>
        <w:tc>
          <w:tcPr>
            <w:tcW w:type="dxa" w:w="2376"/>
            <w:tcMar>
              <w:top w:w="60" w:type="dxa"/>
              <w:left w:w="110" w:type="dxa"/>
              <w:bottom w:w="60" w:type="dxa"/>
              <w:right w:w="110" w:type="dxa"/>
            </w:tcMar>
            <w:shd w:val="clear" w:color="auto" w:fill="F5F7F5"/>
          </w:tcPr>
          <w:p>
            <w:pPr>
              <w:spacing w:after="0"/>
            </w:pPr>
            <w:r>
              <w:rPr>
                <w:b w:val="0"/>
                <w:i w:val="0"/>
                <w:color w:val="16261F"/>
                <w:sz w:val="17"/>
              </w:rPr>
              <w:t>Load test report</w:t>
            </w:r>
          </w:p>
        </w:tc>
        <w:tc>
          <w:tcPr>
            <w:tcW w:type="dxa" w:w="1152"/>
            <w:tcMar>
              <w:top w:w="60" w:type="dxa"/>
              <w:left w:w="110" w:type="dxa"/>
              <w:bottom w:w="60" w:type="dxa"/>
              <w:right w:w="110" w:type="dxa"/>
            </w:tcMar>
            <w:shd w:val="clear" w:color="auto" w:fill="F5F7F5"/>
          </w:tcPr>
          <w:p>
            <w:pPr>
              <w:spacing w:after="0"/>
            </w:pPr>
            <w:r>
              <w:rPr>
                <w:b w:val="0"/>
                <w:i w:val="0"/>
                <w:color w:val="16261F"/>
                <w:sz w:val="17"/>
              </w:rPr>
              <w:t>First release</w:t>
            </w:r>
          </w:p>
        </w:tc>
      </w:tr>
      <w:tr>
        <w:tc>
          <w:tcPr>
            <w:tcW w:type="dxa" w:w="1656"/>
            <w:tcMar>
              <w:top w:w="60" w:type="dxa"/>
              <w:left w:w="110" w:type="dxa"/>
              <w:bottom w:w="60" w:type="dxa"/>
              <w:right w:w="110" w:type="dxa"/>
            </w:tcMar>
          </w:tcPr>
          <w:p>
            <w:pPr>
              <w:spacing w:after="0"/>
            </w:pPr>
            <w:r>
              <w:rPr>
                <w:b w:val="0"/>
                <w:i w:val="0"/>
                <w:color w:val="16261F"/>
                <w:sz w:val="17"/>
              </w:rPr>
              <w:t>Availability</w:t>
            </w:r>
          </w:p>
        </w:tc>
        <w:tc>
          <w:tcPr>
            <w:tcW w:type="dxa" w:w="2376"/>
            <w:tcMar>
              <w:top w:w="60" w:type="dxa"/>
              <w:left w:w="110" w:type="dxa"/>
              <w:bottom w:w="60" w:type="dxa"/>
              <w:right w:w="110" w:type="dxa"/>
            </w:tcMar>
          </w:tcPr>
          <w:p>
            <w:pPr>
              <w:spacing w:after="0"/>
            </w:pPr>
            <w:r>
              <w:rPr>
                <w:b w:val="0"/>
                <w:i w:val="0"/>
                <w:color w:val="16261F"/>
                <w:sz w:val="17"/>
              </w:rPr>
              <w:t>Production measurement, DR rehearsal</w:t>
            </w:r>
          </w:p>
        </w:tc>
        <w:tc>
          <w:tcPr>
            <w:tcW w:type="dxa" w:w="1800"/>
            <w:tcMar>
              <w:top w:w="60" w:type="dxa"/>
              <w:left w:w="110" w:type="dxa"/>
              <w:bottom w:w="60" w:type="dxa"/>
              <w:right w:w="110" w:type="dxa"/>
            </w:tcMar>
          </w:tcPr>
          <w:p>
            <w:pPr>
              <w:spacing w:after="0"/>
            </w:pPr>
            <w:r>
              <w:rPr>
                <w:b w:val="0"/>
                <w:i w:val="0"/>
                <w:color w:val="16261F"/>
                <w:sz w:val="17"/>
              </w:rPr>
              <w:t>Continuous; DR quarterly</w:t>
            </w:r>
          </w:p>
        </w:tc>
        <w:tc>
          <w:tcPr>
            <w:tcW w:type="dxa" w:w="2376"/>
            <w:tcMar>
              <w:top w:w="60" w:type="dxa"/>
              <w:left w:w="110" w:type="dxa"/>
              <w:bottom w:w="60" w:type="dxa"/>
              <w:right w:w="110" w:type="dxa"/>
            </w:tcMar>
          </w:tcPr>
          <w:p>
            <w:pPr>
              <w:spacing w:after="0"/>
            </w:pPr>
            <w:r>
              <w:rPr>
                <w:b w:val="0"/>
                <w:i w:val="0"/>
                <w:color w:val="16261F"/>
                <w:sz w:val="17"/>
              </w:rPr>
              <w:t>Uptime report, restore log</w:t>
            </w:r>
          </w:p>
        </w:tc>
        <w:tc>
          <w:tcPr>
            <w:tcW w:type="dxa" w:w="1152"/>
            <w:tcMar>
              <w:top w:w="60" w:type="dxa"/>
              <w:left w:w="110" w:type="dxa"/>
              <w:bottom w:w="60" w:type="dxa"/>
              <w:right w:w="110" w:type="dxa"/>
            </w:tcMar>
          </w:tcPr>
          <w:p>
            <w:pPr>
              <w:spacing w:after="0"/>
            </w:pPr>
            <w:r>
              <w:rPr>
                <w:b w:val="0"/>
                <w:i w:val="0"/>
                <w:color w:val="16261F"/>
                <w:sz w:val="17"/>
              </w:rPr>
              <w:t>Monthly review</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Security</w:t>
            </w:r>
          </w:p>
        </w:tc>
        <w:tc>
          <w:tcPr>
            <w:tcW w:type="dxa" w:w="2376"/>
            <w:tcMar>
              <w:top w:w="60" w:type="dxa"/>
              <w:left w:w="110" w:type="dxa"/>
              <w:bottom w:w="60" w:type="dxa"/>
              <w:right w:w="110" w:type="dxa"/>
            </w:tcMar>
            <w:shd w:val="clear" w:color="auto" w:fill="F5F7F5"/>
          </w:tcPr>
          <w:p>
            <w:pPr>
              <w:spacing w:after="0"/>
            </w:pPr>
            <w:r>
              <w:rPr>
                <w:b w:val="0"/>
                <w:i w:val="0"/>
                <w:color w:val="16261F"/>
                <w:sz w:val="17"/>
              </w:rPr>
              <w:t>Automated scanning, code inspection, penetration test</w:t>
            </w:r>
          </w:p>
        </w:tc>
        <w:tc>
          <w:tcPr>
            <w:tcW w:type="dxa" w:w="1800"/>
            <w:tcMar>
              <w:top w:w="60" w:type="dxa"/>
              <w:left w:w="110" w:type="dxa"/>
              <w:bottom w:w="60" w:type="dxa"/>
              <w:right w:w="110" w:type="dxa"/>
            </w:tcMar>
            <w:shd w:val="clear" w:color="auto" w:fill="F5F7F5"/>
          </w:tcPr>
          <w:p>
            <w:pPr>
              <w:spacing w:after="0"/>
            </w:pPr>
            <w:r>
              <w:rPr>
                <w:b w:val="0"/>
                <w:i w:val="0"/>
                <w:color w:val="16261F"/>
                <w:sz w:val="17"/>
              </w:rPr>
              <w:t>Per commit; test pre-release</w:t>
            </w:r>
          </w:p>
        </w:tc>
        <w:tc>
          <w:tcPr>
            <w:tcW w:type="dxa" w:w="2376"/>
            <w:tcMar>
              <w:top w:w="60" w:type="dxa"/>
              <w:left w:w="110" w:type="dxa"/>
              <w:bottom w:w="60" w:type="dxa"/>
              <w:right w:w="110" w:type="dxa"/>
            </w:tcMar>
            <w:shd w:val="clear" w:color="auto" w:fill="F5F7F5"/>
          </w:tcPr>
          <w:p>
            <w:pPr>
              <w:spacing w:after="0"/>
            </w:pPr>
            <w:r>
              <w:rPr>
                <w:b w:val="0"/>
                <w:i w:val="0"/>
                <w:color w:val="16261F"/>
                <w:sz w:val="17"/>
              </w:rPr>
              <w:t>Scan output, pen test report</w:t>
            </w:r>
          </w:p>
        </w:tc>
        <w:tc>
          <w:tcPr>
            <w:tcW w:type="dxa" w:w="1152"/>
            <w:tcMar>
              <w:top w:w="60" w:type="dxa"/>
              <w:left w:w="110" w:type="dxa"/>
              <w:bottom w:w="60" w:type="dxa"/>
              <w:right w:w="110" w:type="dxa"/>
            </w:tcMar>
            <w:shd w:val="clear" w:color="auto" w:fill="F5F7F5"/>
          </w:tcPr>
          <w:p>
            <w:pPr>
              <w:spacing w:after="0"/>
            </w:pPr>
            <w:r>
              <w:rPr>
                <w:b w:val="0"/>
                <w:i w:val="0"/>
                <w:color w:val="16261F"/>
                <w:sz w:val="17"/>
              </w:rPr>
              <w:t>Release</w:t>
            </w:r>
          </w:p>
        </w:tc>
      </w:tr>
      <w:tr>
        <w:tc>
          <w:tcPr>
            <w:tcW w:type="dxa" w:w="1656"/>
            <w:tcMar>
              <w:top w:w="60" w:type="dxa"/>
              <w:left w:w="110" w:type="dxa"/>
              <w:bottom w:w="60" w:type="dxa"/>
              <w:right w:w="110" w:type="dxa"/>
            </w:tcMar>
          </w:tcPr>
          <w:p>
            <w:pPr>
              <w:spacing w:after="0"/>
            </w:pPr>
            <w:r>
              <w:rPr>
                <w:b w:val="0"/>
                <w:i w:val="0"/>
                <w:color w:val="16261F"/>
                <w:sz w:val="17"/>
              </w:rPr>
              <w:t>PCI</w:t>
            </w:r>
          </w:p>
        </w:tc>
        <w:tc>
          <w:tcPr>
            <w:tcW w:type="dxa" w:w="2376"/>
            <w:tcMar>
              <w:top w:w="60" w:type="dxa"/>
              <w:left w:w="110" w:type="dxa"/>
              <w:bottom w:w="60" w:type="dxa"/>
              <w:right w:w="110" w:type="dxa"/>
            </w:tcMar>
          </w:tcPr>
          <w:p>
            <w:pPr>
              <w:spacing w:after="0"/>
            </w:pPr>
            <w:r>
              <w:rPr>
                <w:b w:val="0"/>
                <w:i w:val="0"/>
                <w:color w:val="16261F"/>
                <w:sz w:val="17"/>
              </w:rPr>
              <w:t>Self-assessment, ASV scan</w:t>
            </w:r>
          </w:p>
        </w:tc>
        <w:tc>
          <w:tcPr>
            <w:tcW w:type="dxa" w:w="1800"/>
            <w:tcMar>
              <w:top w:w="60" w:type="dxa"/>
              <w:left w:w="110" w:type="dxa"/>
              <w:bottom w:w="60" w:type="dxa"/>
              <w:right w:w="110" w:type="dxa"/>
            </w:tcMar>
          </w:tcPr>
          <w:p>
            <w:pPr>
              <w:spacing w:after="0"/>
            </w:pPr>
            <w:r>
              <w:rPr>
                <w:b w:val="0"/>
                <w:i w:val="0"/>
                <w:color w:val="16261F"/>
                <w:sz w:val="17"/>
              </w:rPr>
              <w:t>Pre-launch, then annually</w:t>
            </w:r>
          </w:p>
        </w:tc>
        <w:tc>
          <w:tcPr>
            <w:tcW w:type="dxa" w:w="2376"/>
            <w:tcMar>
              <w:top w:w="60" w:type="dxa"/>
              <w:left w:w="110" w:type="dxa"/>
              <w:bottom w:w="60" w:type="dxa"/>
              <w:right w:w="110" w:type="dxa"/>
            </w:tcMar>
          </w:tcPr>
          <w:p>
            <w:pPr>
              <w:spacing w:after="0"/>
            </w:pPr>
            <w:r>
              <w:rPr>
                <w:b w:val="0"/>
                <w:i w:val="0"/>
                <w:color w:val="16261F"/>
                <w:sz w:val="17"/>
              </w:rPr>
              <w:t>SAQ and Attestation of Compliance</w:t>
            </w:r>
          </w:p>
        </w:tc>
        <w:tc>
          <w:tcPr>
            <w:tcW w:type="dxa" w:w="1152"/>
            <w:tcMar>
              <w:top w:w="60" w:type="dxa"/>
              <w:left w:w="110" w:type="dxa"/>
              <w:bottom w:w="60" w:type="dxa"/>
              <w:right w:w="110" w:type="dxa"/>
            </w:tcMar>
          </w:tcPr>
          <w:p>
            <w:pPr>
              <w:spacing w:after="0"/>
            </w:pPr>
            <w:r>
              <w:rPr>
                <w:b w:val="0"/>
                <w:i w:val="0"/>
                <w:color w:val="16261F"/>
                <w:sz w:val="17"/>
              </w:rPr>
              <w:t>Go-live</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Privacy</w:t>
            </w:r>
          </w:p>
        </w:tc>
        <w:tc>
          <w:tcPr>
            <w:tcW w:type="dxa" w:w="2376"/>
            <w:tcMar>
              <w:top w:w="60" w:type="dxa"/>
              <w:left w:w="110" w:type="dxa"/>
              <w:bottom w:w="60" w:type="dxa"/>
              <w:right w:w="110" w:type="dxa"/>
            </w:tcMar>
            <w:shd w:val="clear" w:color="auto" w:fill="F5F7F5"/>
          </w:tcPr>
          <w:p>
            <w:pPr>
              <w:spacing w:after="0"/>
            </w:pPr>
            <w:r>
              <w:rPr>
                <w:b w:val="0"/>
                <w:i w:val="0"/>
                <w:color w:val="16261F"/>
                <w:sz w:val="17"/>
              </w:rPr>
              <w:t>Inspection and audit</w:t>
            </w:r>
          </w:p>
        </w:tc>
        <w:tc>
          <w:tcPr>
            <w:tcW w:type="dxa" w:w="1800"/>
            <w:tcMar>
              <w:top w:w="60" w:type="dxa"/>
              <w:left w:w="110" w:type="dxa"/>
              <w:bottom w:w="60" w:type="dxa"/>
              <w:right w:w="110" w:type="dxa"/>
            </w:tcMar>
            <w:shd w:val="clear" w:color="auto" w:fill="F5F7F5"/>
          </w:tcPr>
          <w:p>
            <w:pPr>
              <w:spacing w:after="0"/>
            </w:pPr>
            <w:r>
              <w:rPr>
                <w:b w:val="0"/>
                <w:i w:val="0"/>
                <w:color w:val="16261F"/>
                <w:sz w:val="17"/>
              </w:rPr>
              <w:t>Pre-launch, then annually</w:t>
            </w:r>
          </w:p>
        </w:tc>
        <w:tc>
          <w:tcPr>
            <w:tcW w:type="dxa" w:w="2376"/>
            <w:tcMar>
              <w:top w:w="60" w:type="dxa"/>
              <w:left w:w="110" w:type="dxa"/>
              <w:bottom w:w="60" w:type="dxa"/>
              <w:right w:w="110" w:type="dxa"/>
            </w:tcMar>
            <w:shd w:val="clear" w:color="auto" w:fill="F5F7F5"/>
          </w:tcPr>
          <w:p>
            <w:pPr>
              <w:spacing w:after="0"/>
            </w:pPr>
            <w:r>
              <w:rPr>
                <w:b w:val="0"/>
                <w:i w:val="0"/>
                <w:color w:val="16261F"/>
                <w:sz w:val="17"/>
              </w:rPr>
              <w:t>Processor register, retention policy</w:t>
            </w:r>
          </w:p>
        </w:tc>
        <w:tc>
          <w:tcPr>
            <w:tcW w:type="dxa" w:w="1152"/>
            <w:tcMar>
              <w:top w:w="60" w:type="dxa"/>
              <w:left w:w="110" w:type="dxa"/>
              <w:bottom w:w="60" w:type="dxa"/>
              <w:right w:w="110" w:type="dxa"/>
            </w:tcMar>
            <w:shd w:val="clear" w:color="auto" w:fill="F5F7F5"/>
          </w:tcPr>
          <w:p>
            <w:pPr>
              <w:spacing w:after="0"/>
            </w:pPr>
            <w:r>
              <w:rPr>
                <w:b w:val="0"/>
                <w:i w:val="0"/>
                <w:color w:val="16261F"/>
                <w:sz w:val="17"/>
              </w:rPr>
              <w:t>Go-live</w:t>
            </w:r>
          </w:p>
        </w:tc>
      </w:tr>
      <w:tr>
        <w:tc>
          <w:tcPr>
            <w:tcW w:type="dxa" w:w="1656"/>
            <w:tcMar>
              <w:top w:w="60" w:type="dxa"/>
              <w:left w:w="110" w:type="dxa"/>
              <w:bottom w:w="60" w:type="dxa"/>
              <w:right w:w="110" w:type="dxa"/>
            </w:tcMar>
          </w:tcPr>
          <w:p>
            <w:pPr>
              <w:spacing w:after="0"/>
            </w:pPr>
            <w:r>
              <w:rPr>
                <w:b w:val="0"/>
                <w:i w:val="0"/>
                <w:color w:val="16261F"/>
                <w:sz w:val="17"/>
              </w:rPr>
              <w:t>Integrity</w:t>
            </w:r>
          </w:p>
        </w:tc>
        <w:tc>
          <w:tcPr>
            <w:tcW w:type="dxa" w:w="2376"/>
            <w:tcMar>
              <w:top w:w="60" w:type="dxa"/>
              <w:left w:w="110" w:type="dxa"/>
              <w:bottom w:w="60" w:type="dxa"/>
              <w:right w:w="110" w:type="dxa"/>
            </w:tcMar>
          </w:tcPr>
          <w:p>
            <w:pPr>
              <w:spacing w:after="0"/>
            </w:pPr>
            <w:r>
              <w:rPr>
                <w:b w:val="0"/>
                <w:i w:val="0"/>
                <w:color w:val="16261F"/>
                <w:sz w:val="17"/>
              </w:rPr>
              <w:t>Automated concurrency and arithmetic tests</w:t>
            </w:r>
          </w:p>
        </w:tc>
        <w:tc>
          <w:tcPr>
            <w:tcW w:type="dxa" w:w="1800"/>
            <w:tcMar>
              <w:top w:w="60" w:type="dxa"/>
              <w:left w:w="110" w:type="dxa"/>
              <w:bottom w:w="60" w:type="dxa"/>
              <w:right w:w="110" w:type="dxa"/>
            </w:tcMar>
          </w:tcPr>
          <w:p>
            <w:pPr>
              <w:spacing w:after="0"/>
            </w:pPr>
            <w:r>
              <w:rPr>
                <w:b w:val="0"/>
                <w:i w:val="0"/>
                <w:color w:val="16261F"/>
                <w:sz w:val="17"/>
              </w:rPr>
              <w:t>Per commit</w:t>
            </w:r>
          </w:p>
        </w:tc>
        <w:tc>
          <w:tcPr>
            <w:tcW w:type="dxa" w:w="2376"/>
            <w:tcMar>
              <w:top w:w="60" w:type="dxa"/>
              <w:left w:w="110" w:type="dxa"/>
              <w:bottom w:w="60" w:type="dxa"/>
              <w:right w:w="110" w:type="dxa"/>
            </w:tcMar>
          </w:tcPr>
          <w:p>
            <w:pPr>
              <w:spacing w:after="0"/>
            </w:pPr>
            <w:r>
              <w:rPr>
                <w:b w:val="0"/>
                <w:i w:val="0"/>
                <w:color w:val="16261F"/>
                <w:sz w:val="17"/>
              </w:rPr>
              <w:t>Test suite results</w:t>
            </w:r>
          </w:p>
        </w:tc>
        <w:tc>
          <w:tcPr>
            <w:tcW w:type="dxa" w:w="1152"/>
            <w:tcMar>
              <w:top w:w="60" w:type="dxa"/>
              <w:left w:w="110" w:type="dxa"/>
              <w:bottom w:w="60" w:type="dxa"/>
              <w:right w:w="110" w:type="dxa"/>
            </w:tcMar>
          </w:tcPr>
          <w:p>
            <w:pPr>
              <w:spacing w:after="0"/>
            </w:pPr>
            <w:r>
              <w:rPr>
                <w:b w:val="0"/>
                <w:i w:val="0"/>
                <w:color w:val="16261F"/>
                <w:sz w:val="17"/>
              </w:rPr>
              <w:t>Merge</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Observability</w:t>
            </w:r>
          </w:p>
        </w:tc>
        <w:tc>
          <w:tcPr>
            <w:tcW w:type="dxa" w:w="2376"/>
            <w:tcMar>
              <w:top w:w="60" w:type="dxa"/>
              <w:left w:w="110" w:type="dxa"/>
              <w:bottom w:w="60" w:type="dxa"/>
              <w:right w:w="110" w:type="dxa"/>
            </w:tcMar>
            <w:shd w:val="clear" w:color="auto" w:fill="F5F7F5"/>
          </w:tcPr>
          <w:p>
            <w:pPr>
              <w:spacing w:after="0"/>
            </w:pPr>
            <w:r>
              <w:rPr>
                <w:b w:val="0"/>
                <w:i w:val="0"/>
                <w:color w:val="16261F"/>
                <w:sz w:val="17"/>
              </w:rPr>
              <w:t>Inspection, alert drill</w:t>
            </w:r>
          </w:p>
        </w:tc>
        <w:tc>
          <w:tcPr>
            <w:tcW w:type="dxa" w:w="1800"/>
            <w:tcMar>
              <w:top w:w="60" w:type="dxa"/>
              <w:left w:w="110" w:type="dxa"/>
              <w:bottom w:w="60" w:type="dxa"/>
              <w:right w:w="110" w:type="dxa"/>
            </w:tcMar>
            <w:shd w:val="clear" w:color="auto" w:fill="F5F7F5"/>
          </w:tcPr>
          <w:p>
            <w:pPr>
              <w:spacing w:after="0"/>
            </w:pPr>
            <w:r>
              <w:rPr>
                <w:b w:val="0"/>
                <w:i w:val="0"/>
                <w:color w:val="16261F"/>
                <w:sz w:val="17"/>
              </w:rPr>
              <w:t>Per release</w:t>
            </w:r>
          </w:p>
        </w:tc>
        <w:tc>
          <w:tcPr>
            <w:tcW w:type="dxa" w:w="2376"/>
            <w:tcMar>
              <w:top w:w="60" w:type="dxa"/>
              <w:left w:w="110" w:type="dxa"/>
              <w:bottom w:w="60" w:type="dxa"/>
              <w:right w:w="110" w:type="dxa"/>
            </w:tcMar>
            <w:shd w:val="clear" w:color="auto" w:fill="F5F7F5"/>
          </w:tcPr>
          <w:p>
            <w:pPr>
              <w:spacing w:after="0"/>
            </w:pPr>
            <w:r>
              <w:rPr>
                <w:b w:val="0"/>
                <w:i w:val="0"/>
                <w:color w:val="16261F"/>
                <w:sz w:val="17"/>
              </w:rPr>
              <w:t>Dashboard and runbook review</w:t>
            </w:r>
          </w:p>
        </w:tc>
        <w:tc>
          <w:tcPr>
            <w:tcW w:type="dxa" w:w="1152"/>
            <w:tcMar>
              <w:top w:w="60" w:type="dxa"/>
              <w:left w:w="110" w:type="dxa"/>
              <w:bottom w:w="60" w:type="dxa"/>
              <w:right w:w="110" w:type="dxa"/>
            </w:tcMar>
            <w:shd w:val="clear" w:color="auto" w:fill="F5F7F5"/>
          </w:tcPr>
          <w:p>
            <w:pPr>
              <w:spacing w:after="0"/>
            </w:pPr>
            <w:r>
              <w:rPr>
                <w:b w:val="0"/>
                <w:i w:val="0"/>
                <w:color w:val="16261F"/>
                <w:sz w:val="17"/>
              </w:rPr>
              <w:t>Release</w:t>
            </w:r>
          </w:p>
        </w:tc>
      </w:tr>
      <w:tr>
        <w:tc>
          <w:tcPr>
            <w:tcW w:type="dxa" w:w="1656"/>
            <w:tcMar>
              <w:top w:w="60" w:type="dxa"/>
              <w:left w:w="110" w:type="dxa"/>
              <w:bottom w:w="60" w:type="dxa"/>
              <w:right w:w="110" w:type="dxa"/>
            </w:tcMar>
          </w:tcPr>
          <w:p>
            <w:pPr>
              <w:spacing w:after="0"/>
            </w:pPr>
            <w:r>
              <w:rPr>
                <w:b w:val="0"/>
                <w:i w:val="0"/>
                <w:color w:val="16261F"/>
                <w:sz w:val="17"/>
              </w:rPr>
              <w:t>Usability</w:t>
            </w:r>
          </w:p>
        </w:tc>
        <w:tc>
          <w:tcPr>
            <w:tcW w:type="dxa" w:w="2376"/>
            <w:tcMar>
              <w:top w:w="60" w:type="dxa"/>
              <w:left w:w="110" w:type="dxa"/>
              <w:bottom w:w="60" w:type="dxa"/>
              <w:right w:w="110" w:type="dxa"/>
            </w:tcMar>
          </w:tcPr>
          <w:p>
            <w:pPr>
              <w:spacing w:after="0"/>
            </w:pPr>
            <w:r>
              <w:rPr>
                <w:b w:val="0"/>
                <w:i w:val="0"/>
                <w:color w:val="16261F"/>
                <w:sz w:val="17"/>
              </w:rPr>
              <w:t>Automated checks and moderated testing</w:t>
            </w:r>
          </w:p>
        </w:tc>
        <w:tc>
          <w:tcPr>
            <w:tcW w:type="dxa" w:w="1800"/>
            <w:tcMar>
              <w:top w:w="60" w:type="dxa"/>
              <w:left w:w="110" w:type="dxa"/>
              <w:bottom w:w="60" w:type="dxa"/>
              <w:right w:w="110" w:type="dxa"/>
            </w:tcMar>
          </w:tcPr>
          <w:p>
            <w:pPr>
              <w:spacing w:after="0"/>
            </w:pPr>
            <w:r>
              <w:rPr>
                <w:b w:val="0"/>
                <w:i w:val="0"/>
                <w:color w:val="16261F"/>
                <w:sz w:val="17"/>
              </w:rPr>
              <w:t>Per release</w:t>
            </w:r>
          </w:p>
        </w:tc>
        <w:tc>
          <w:tcPr>
            <w:tcW w:type="dxa" w:w="2376"/>
            <w:tcMar>
              <w:top w:w="60" w:type="dxa"/>
              <w:left w:w="110" w:type="dxa"/>
              <w:bottom w:w="60" w:type="dxa"/>
              <w:right w:w="110" w:type="dxa"/>
            </w:tcMar>
          </w:tcPr>
          <w:p>
            <w:pPr>
              <w:spacing w:after="0"/>
            </w:pPr>
            <w:r>
              <w:rPr>
                <w:b w:val="0"/>
                <w:i w:val="0"/>
                <w:color w:val="16261F"/>
                <w:sz w:val="17"/>
              </w:rPr>
              <w:t>Accessibility report, session notes</w:t>
            </w:r>
          </w:p>
        </w:tc>
        <w:tc>
          <w:tcPr>
            <w:tcW w:type="dxa" w:w="1152"/>
            <w:tcMar>
              <w:top w:w="60" w:type="dxa"/>
              <w:left w:w="110" w:type="dxa"/>
              <w:bottom w:w="60" w:type="dxa"/>
              <w:right w:w="110" w:type="dxa"/>
            </w:tcMar>
          </w:tcPr>
          <w:p>
            <w:pPr>
              <w:spacing w:after="0"/>
            </w:pPr>
            <w:r>
              <w:rPr>
                <w:b w:val="0"/>
                <w:i w:val="0"/>
                <w:color w:val="16261F"/>
                <w:sz w:val="17"/>
              </w:rPr>
              <w:t>Release</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Compatibility</w:t>
            </w:r>
          </w:p>
        </w:tc>
        <w:tc>
          <w:tcPr>
            <w:tcW w:type="dxa" w:w="2376"/>
            <w:tcMar>
              <w:top w:w="60" w:type="dxa"/>
              <w:left w:w="110" w:type="dxa"/>
              <w:bottom w:w="60" w:type="dxa"/>
              <w:right w:w="110" w:type="dxa"/>
            </w:tcMar>
            <w:shd w:val="clear" w:color="auto" w:fill="F5F7F5"/>
          </w:tcPr>
          <w:p>
            <w:pPr>
              <w:spacing w:after="0"/>
            </w:pPr>
            <w:r>
              <w:rPr>
                <w:b w:val="0"/>
                <w:i w:val="0"/>
                <w:color w:val="16261F"/>
                <w:sz w:val="17"/>
              </w:rPr>
              <w:t>Cross-browser and email client matrix</w:t>
            </w:r>
          </w:p>
        </w:tc>
        <w:tc>
          <w:tcPr>
            <w:tcW w:type="dxa" w:w="1800"/>
            <w:tcMar>
              <w:top w:w="60" w:type="dxa"/>
              <w:left w:w="110" w:type="dxa"/>
              <w:bottom w:w="60" w:type="dxa"/>
              <w:right w:w="110" w:type="dxa"/>
            </w:tcMar>
            <w:shd w:val="clear" w:color="auto" w:fill="F5F7F5"/>
          </w:tcPr>
          <w:p>
            <w:pPr>
              <w:spacing w:after="0"/>
            </w:pPr>
            <w:r>
              <w:rPr>
                <w:b w:val="0"/>
                <w:i w:val="0"/>
                <w:color w:val="16261F"/>
                <w:sz w:val="17"/>
              </w:rPr>
              <w:t>Per release</w:t>
            </w:r>
          </w:p>
        </w:tc>
        <w:tc>
          <w:tcPr>
            <w:tcW w:type="dxa" w:w="2376"/>
            <w:tcMar>
              <w:top w:w="60" w:type="dxa"/>
              <w:left w:w="110" w:type="dxa"/>
              <w:bottom w:w="60" w:type="dxa"/>
              <w:right w:w="110" w:type="dxa"/>
            </w:tcMar>
            <w:shd w:val="clear" w:color="auto" w:fill="F5F7F5"/>
          </w:tcPr>
          <w:p>
            <w:pPr>
              <w:spacing w:after="0"/>
            </w:pPr>
            <w:r>
              <w:rPr>
                <w:b w:val="0"/>
                <w:i w:val="0"/>
                <w:color w:val="16261F"/>
                <w:sz w:val="17"/>
              </w:rPr>
              <w:t>Matrix results</w:t>
            </w:r>
          </w:p>
        </w:tc>
        <w:tc>
          <w:tcPr>
            <w:tcW w:type="dxa" w:w="1152"/>
            <w:tcMar>
              <w:top w:w="60" w:type="dxa"/>
              <w:left w:w="110" w:type="dxa"/>
              <w:bottom w:w="60" w:type="dxa"/>
              <w:right w:w="110" w:type="dxa"/>
            </w:tcMar>
            <w:shd w:val="clear" w:color="auto" w:fill="F5F7F5"/>
          </w:tcPr>
          <w:p>
            <w:pPr>
              <w:spacing w:after="0"/>
            </w:pPr>
            <w:r>
              <w:rPr>
                <w:b w:val="0"/>
                <w:i w:val="0"/>
                <w:color w:val="16261F"/>
                <w:sz w:val="17"/>
              </w:rPr>
              <w:t>Release</w:t>
            </w:r>
          </w:p>
        </w:tc>
      </w:tr>
      <w:tr>
        <w:tc>
          <w:tcPr>
            <w:tcW w:type="dxa" w:w="1656"/>
            <w:tcMar>
              <w:top w:w="60" w:type="dxa"/>
              <w:left w:w="110" w:type="dxa"/>
              <w:bottom w:w="60" w:type="dxa"/>
              <w:right w:w="110" w:type="dxa"/>
            </w:tcMar>
          </w:tcPr>
          <w:p>
            <w:pPr>
              <w:spacing w:after="0"/>
            </w:pPr>
            <w:r>
              <w:rPr>
                <w:b w:val="0"/>
                <w:i w:val="0"/>
                <w:color w:val="16261F"/>
                <w:sz w:val="17"/>
              </w:rPr>
              <w:t>Maintainability</w:t>
            </w:r>
          </w:p>
        </w:tc>
        <w:tc>
          <w:tcPr>
            <w:tcW w:type="dxa" w:w="2376"/>
            <w:tcMar>
              <w:top w:w="60" w:type="dxa"/>
              <w:left w:w="110" w:type="dxa"/>
              <w:bottom w:w="60" w:type="dxa"/>
              <w:right w:w="110" w:type="dxa"/>
            </w:tcMar>
          </w:tcPr>
          <w:p>
            <w:pPr>
              <w:spacing w:after="0"/>
            </w:pPr>
            <w:r>
              <w:rPr>
                <w:b w:val="0"/>
                <w:i w:val="0"/>
                <w:color w:val="16261F"/>
                <w:sz w:val="17"/>
              </w:rPr>
              <w:t>Static analysis and review</w:t>
            </w:r>
          </w:p>
        </w:tc>
        <w:tc>
          <w:tcPr>
            <w:tcW w:type="dxa" w:w="1800"/>
            <w:tcMar>
              <w:top w:w="60" w:type="dxa"/>
              <w:left w:w="110" w:type="dxa"/>
              <w:bottom w:w="60" w:type="dxa"/>
              <w:right w:w="110" w:type="dxa"/>
            </w:tcMar>
          </w:tcPr>
          <w:p>
            <w:pPr>
              <w:spacing w:after="0"/>
            </w:pPr>
            <w:r>
              <w:rPr>
                <w:b w:val="0"/>
                <w:i w:val="0"/>
                <w:color w:val="16261F"/>
                <w:sz w:val="17"/>
              </w:rPr>
              <w:t>Per commit</w:t>
            </w:r>
          </w:p>
        </w:tc>
        <w:tc>
          <w:tcPr>
            <w:tcW w:type="dxa" w:w="2376"/>
            <w:tcMar>
              <w:top w:w="60" w:type="dxa"/>
              <w:left w:w="110" w:type="dxa"/>
              <w:bottom w:w="60" w:type="dxa"/>
              <w:right w:w="110" w:type="dxa"/>
            </w:tcMar>
          </w:tcPr>
          <w:p>
            <w:pPr>
              <w:spacing w:after="0"/>
            </w:pPr>
            <w:r>
              <w:rPr>
                <w:b w:val="0"/>
                <w:i w:val="0"/>
                <w:color w:val="16261F"/>
                <w:sz w:val="17"/>
              </w:rPr>
              <w:t>Pipeline output</w:t>
            </w:r>
          </w:p>
        </w:tc>
        <w:tc>
          <w:tcPr>
            <w:tcW w:type="dxa" w:w="1152"/>
            <w:tcMar>
              <w:top w:w="60" w:type="dxa"/>
              <w:left w:w="110" w:type="dxa"/>
              <w:bottom w:w="60" w:type="dxa"/>
              <w:right w:w="110" w:type="dxa"/>
            </w:tcMar>
          </w:tcPr>
          <w:p>
            <w:pPr>
              <w:spacing w:after="0"/>
            </w:pPr>
            <w:r>
              <w:rPr>
                <w:b w:val="0"/>
                <w:i w:val="0"/>
                <w:color w:val="16261F"/>
                <w:sz w:val="17"/>
              </w:rPr>
              <w:t>Merge</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Testability</w:t>
            </w:r>
          </w:p>
        </w:tc>
        <w:tc>
          <w:tcPr>
            <w:tcW w:type="dxa" w:w="2376"/>
            <w:tcMar>
              <w:top w:w="60" w:type="dxa"/>
              <w:left w:w="110" w:type="dxa"/>
              <w:bottom w:w="60" w:type="dxa"/>
              <w:right w:w="110" w:type="dxa"/>
            </w:tcMar>
            <w:shd w:val="clear" w:color="auto" w:fill="F5F7F5"/>
          </w:tcPr>
          <w:p>
            <w:pPr>
              <w:spacing w:after="0"/>
            </w:pPr>
            <w:r>
              <w:rPr>
                <w:b w:val="0"/>
                <w:i w:val="0"/>
                <w:color w:val="16261F"/>
                <w:sz w:val="17"/>
              </w:rPr>
              <w:t>Coverage and gate enforcement</w:t>
            </w:r>
          </w:p>
        </w:tc>
        <w:tc>
          <w:tcPr>
            <w:tcW w:type="dxa" w:w="1800"/>
            <w:tcMar>
              <w:top w:w="60" w:type="dxa"/>
              <w:left w:w="110" w:type="dxa"/>
              <w:bottom w:w="60" w:type="dxa"/>
              <w:right w:w="110" w:type="dxa"/>
            </w:tcMar>
            <w:shd w:val="clear" w:color="auto" w:fill="F5F7F5"/>
          </w:tcPr>
          <w:p>
            <w:pPr>
              <w:spacing w:after="0"/>
            </w:pPr>
            <w:r>
              <w:rPr>
                <w:b w:val="0"/>
                <w:i w:val="0"/>
                <w:color w:val="16261F"/>
                <w:sz w:val="17"/>
              </w:rPr>
              <w:t>Per commit</w:t>
            </w:r>
          </w:p>
        </w:tc>
        <w:tc>
          <w:tcPr>
            <w:tcW w:type="dxa" w:w="2376"/>
            <w:tcMar>
              <w:top w:w="60" w:type="dxa"/>
              <w:left w:w="110" w:type="dxa"/>
              <w:bottom w:w="60" w:type="dxa"/>
              <w:right w:w="110" w:type="dxa"/>
            </w:tcMar>
            <w:shd w:val="clear" w:color="auto" w:fill="F5F7F5"/>
          </w:tcPr>
          <w:p>
            <w:pPr>
              <w:spacing w:after="0"/>
            </w:pPr>
            <w:r>
              <w:rPr>
                <w:b w:val="0"/>
                <w:i w:val="0"/>
                <w:color w:val="16261F"/>
                <w:sz w:val="17"/>
              </w:rPr>
              <w:t>Coverage report</w:t>
            </w:r>
          </w:p>
        </w:tc>
        <w:tc>
          <w:tcPr>
            <w:tcW w:type="dxa" w:w="1152"/>
            <w:tcMar>
              <w:top w:w="60" w:type="dxa"/>
              <w:left w:w="110" w:type="dxa"/>
              <w:bottom w:w="60" w:type="dxa"/>
              <w:right w:w="110" w:type="dxa"/>
            </w:tcMar>
            <w:shd w:val="clear" w:color="auto" w:fill="F5F7F5"/>
          </w:tcPr>
          <w:p>
            <w:pPr>
              <w:spacing w:after="0"/>
            </w:pPr>
            <w:r>
              <w:rPr>
                <w:b w:val="0"/>
                <w:i w:val="0"/>
                <w:color w:val="16261F"/>
                <w:sz w:val="17"/>
              </w:rPr>
              <w:t>Merge</w:t>
            </w:r>
          </w:p>
        </w:tc>
      </w:tr>
    </w:tbl>
    <w:p>
      <w:r>
        <w:br w:type="page"/>
      </w:r>
    </w:p>
    <w:p>
      <w:pPr>
        <w:pStyle w:val="Heading1"/>
      </w:pPr>
      <w:r>
        <w:t>17. Risk register</w:t>
      </w:r>
    </w:p>
    <w:p>
      <w:pPr>
        <w:spacing w:after="140"/>
      </w:pPr>
      <w:r>
        <w:rPr>
          <w:b w:val="0"/>
          <w:i w:val="0"/>
          <w:color w:val="16261F"/>
          <w:sz w:val="21"/>
        </w:rPr>
        <w:t>Risks to meeting the requirements in this document. Scored as likelihood against impact, both on a three-point scale.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720"/>
            <w:shd w:val="clear" w:color="auto" w:fill="16261F"/>
            <w:tcMar>
              <w:top w:w="70" w:type="dxa"/>
              <w:left w:w="110" w:type="dxa"/>
              <w:bottom w:w="70" w:type="dxa"/>
              <w:right w:w="110" w:type="dxa"/>
            </w:tcMar>
          </w:tcPr>
          <w:p>
            <w:pPr>
              <w:spacing w:after="0"/>
            </w:pPr>
            <w:r>
              <w:rPr>
                <w:rFonts w:ascii="Calibri" w:hAnsi="Calibri"/>
                <w:b/>
                <w:color w:val="FFFFFF"/>
                <w:sz w:val="16"/>
              </w:rPr>
              <w:t>Ref</w:t>
            </w:r>
          </w:p>
        </w:tc>
        <w:tc>
          <w:tcPr>
            <w:tcW w:type="dxa" w:w="3096"/>
            <w:shd w:val="clear" w:color="auto" w:fill="16261F"/>
            <w:tcMar>
              <w:top w:w="70" w:type="dxa"/>
              <w:left w:w="110" w:type="dxa"/>
              <w:bottom w:w="70" w:type="dxa"/>
              <w:right w:w="110" w:type="dxa"/>
            </w:tcMar>
          </w:tcPr>
          <w:p>
            <w:pPr>
              <w:spacing w:after="0"/>
            </w:pPr>
            <w:r>
              <w:rPr>
                <w:rFonts w:ascii="Calibri" w:hAnsi="Calibri"/>
                <w:b/>
                <w:color w:val="FFFFFF"/>
                <w:sz w:val="16"/>
              </w:rPr>
              <w:t>Risk</w:t>
            </w:r>
          </w:p>
        </w:tc>
        <w:tc>
          <w:tcPr>
            <w:tcW w:type="dxa" w:w="432"/>
            <w:shd w:val="clear" w:color="auto" w:fill="16261F"/>
            <w:tcMar>
              <w:top w:w="70" w:type="dxa"/>
              <w:left w:w="110" w:type="dxa"/>
              <w:bottom w:w="70" w:type="dxa"/>
              <w:right w:w="110" w:type="dxa"/>
            </w:tcMar>
          </w:tcPr>
          <w:p>
            <w:pPr>
              <w:spacing w:after="0"/>
              <w:jc w:val="center"/>
            </w:pPr>
            <w:r>
              <w:rPr>
                <w:rFonts w:ascii="Calibri" w:hAnsi="Calibri"/>
                <w:b/>
                <w:color w:val="FFFFFF"/>
                <w:sz w:val="16"/>
              </w:rPr>
              <w:t>L</w:t>
            </w:r>
          </w:p>
        </w:tc>
        <w:tc>
          <w:tcPr>
            <w:tcW w:type="dxa" w:w="432"/>
            <w:shd w:val="clear" w:color="auto" w:fill="16261F"/>
            <w:tcMar>
              <w:top w:w="70" w:type="dxa"/>
              <w:left w:w="110" w:type="dxa"/>
              <w:bottom w:w="70" w:type="dxa"/>
              <w:right w:w="110" w:type="dxa"/>
            </w:tcMar>
          </w:tcPr>
          <w:p>
            <w:pPr>
              <w:spacing w:after="0"/>
              <w:jc w:val="center"/>
            </w:pPr>
            <w:r>
              <w:rPr>
                <w:rFonts w:ascii="Calibri" w:hAnsi="Calibri"/>
                <w:b/>
                <w:color w:val="FFFFFF"/>
                <w:sz w:val="16"/>
              </w:rPr>
              <w:t>I</w:t>
            </w:r>
          </w:p>
        </w:tc>
        <w:tc>
          <w:tcPr>
            <w:tcW w:type="dxa" w:w="3240"/>
            <w:shd w:val="clear" w:color="auto" w:fill="16261F"/>
            <w:tcMar>
              <w:top w:w="70" w:type="dxa"/>
              <w:left w:w="110" w:type="dxa"/>
              <w:bottom w:w="70" w:type="dxa"/>
              <w:right w:w="110" w:type="dxa"/>
            </w:tcMar>
          </w:tcPr>
          <w:p>
            <w:pPr>
              <w:spacing w:after="0"/>
            </w:pPr>
            <w:r>
              <w:rPr>
                <w:rFonts w:ascii="Calibri" w:hAnsi="Calibri"/>
                <w:b/>
                <w:color w:val="FFFFFF"/>
                <w:sz w:val="16"/>
              </w:rPr>
              <w:t>Mitigation</w:t>
            </w:r>
          </w:p>
        </w:tc>
      </w:tr>
      <w:tr>
        <w:tc>
          <w:tcPr>
            <w:tcW w:type="dxa" w:w="720"/>
            <w:tcMar>
              <w:top w:w="60" w:type="dxa"/>
              <w:left w:w="110" w:type="dxa"/>
              <w:bottom w:w="60" w:type="dxa"/>
              <w:right w:w="110" w:type="dxa"/>
            </w:tcMar>
          </w:tcPr>
          <w:p>
            <w:pPr>
              <w:spacing w:after="0"/>
            </w:pPr>
            <w:r>
              <w:rPr>
                <w:rFonts w:ascii="Consolas" w:hAnsi="Consolas"/>
                <w:b w:val="0"/>
                <w:i w:val="0"/>
                <w:color w:val="16261F"/>
                <w:sz w:val="16"/>
              </w:rPr>
              <w:t>R-01</w:t>
            </w:r>
          </w:p>
        </w:tc>
        <w:tc>
          <w:tcPr>
            <w:tcW w:type="dxa" w:w="3096"/>
            <w:tcMar>
              <w:top w:w="60" w:type="dxa"/>
              <w:left w:w="110" w:type="dxa"/>
              <w:bottom w:w="60" w:type="dxa"/>
              <w:right w:w="110" w:type="dxa"/>
            </w:tcMar>
          </w:tcPr>
          <w:p>
            <w:pPr>
              <w:spacing w:after="0"/>
            </w:pPr>
            <w:r>
              <w:rPr>
                <w:b w:val="0"/>
                <w:i w:val="0"/>
                <w:color w:val="16261F"/>
                <w:sz w:val="17"/>
              </w:rPr>
              <w:t>Numbers Gateway does not offer hosted card fields, escalating PCI scope from SAQ A to SAQ D with substantial cost and schedule impact.</w:t>
            </w:r>
          </w:p>
        </w:tc>
        <w:tc>
          <w:tcPr>
            <w:tcW w:type="dxa" w:w="432"/>
            <w:tcMar>
              <w:top w:w="60" w:type="dxa"/>
              <w:left w:w="110" w:type="dxa"/>
              <w:bottom w:w="60" w:type="dxa"/>
              <w:right w:w="110" w:type="dxa"/>
            </w:tcMar>
          </w:tcPr>
          <w:p>
            <w:pPr>
              <w:spacing w:after="0"/>
              <w:jc w:val="center"/>
            </w:pPr>
            <w:r>
              <w:rPr>
                <w:b/>
                <w:i w:val="0"/>
                <w:color w:val="16261F"/>
                <w:sz w:val="17"/>
              </w:rPr>
              <w:t>M</w:t>
            </w:r>
          </w:p>
        </w:tc>
        <w:tc>
          <w:tcPr>
            <w:tcW w:type="dxa" w:w="432"/>
            <w:tcMar>
              <w:top w:w="60" w:type="dxa"/>
              <w:left w:w="110" w:type="dxa"/>
              <w:bottom w:w="60" w:type="dxa"/>
              <w:right w:w="110" w:type="dxa"/>
            </w:tcMar>
          </w:tcPr>
          <w:p>
            <w:pPr>
              <w:spacing w:after="0"/>
              <w:jc w:val="center"/>
            </w:pPr>
            <w:r>
              <w:rPr>
                <w:b/>
                <w:i w:val="0"/>
                <w:color w:val="C0473D"/>
                <w:sz w:val="17"/>
              </w:rPr>
              <w:t>H</w:t>
            </w:r>
          </w:p>
        </w:tc>
        <w:tc>
          <w:tcPr>
            <w:tcW w:type="dxa" w:w="3240"/>
            <w:tcMar>
              <w:top w:w="60" w:type="dxa"/>
              <w:left w:w="110" w:type="dxa"/>
              <w:bottom w:w="60" w:type="dxa"/>
              <w:right w:w="110" w:type="dxa"/>
            </w:tcMar>
          </w:tcPr>
          <w:p>
            <w:pPr>
              <w:spacing w:after="0"/>
            </w:pPr>
            <w:r>
              <w:rPr>
                <w:b w:val="0"/>
                <w:i w:val="0"/>
                <w:color w:val="16261F"/>
                <w:sz w:val="17"/>
              </w:rPr>
              <w:t>Resolve DEP-01 before estimating payment work. If confirmed, re-baseline cost and timeline and reconsider a hosted-checkout redirect model.</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6"/>
              </w:rPr>
              <w:t>R-02</w:t>
            </w:r>
          </w:p>
        </w:tc>
        <w:tc>
          <w:tcPr>
            <w:tcW w:type="dxa" w:w="3096"/>
            <w:tcMar>
              <w:top w:w="60" w:type="dxa"/>
              <w:left w:w="110" w:type="dxa"/>
              <w:bottom w:w="60" w:type="dxa"/>
              <w:right w:w="110" w:type="dxa"/>
            </w:tcMar>
            <w:shd w:val="clear" w:color="auto" w:fill="F5F7F5"/>
          </w:tcPr>
          <w:p>
            <w:pPr>
              <w:spacing w:after="0"/>
            </w:pPr>
            <w:r>
              <w:rPr>
                <w:b w:val="0"/>
                <w:i w:val="0"/>
                <w:color w:val="16261F"/>
                <w:sz w:val="17"/>
              </w:rPr>
              <w:t>Access control is built late and retrofitted, leaving brand isolation defects undiscovered until production.</w:t>
            </w:r>
          </w:p>
        </w:tc>
        <w:tc>
          <w:tcPr>
            <w:tcW w:type="dxa" w:w="432"/>
            <w:tcMar>
              <w:top w:w="60" w:type="dxa"/>
              <w:left w:w="110" w:type="dxa"/>
              <w:bottom w:w="60" w:type="dxa"/>
              <w:right w:w="110" w:type="dxa"/>
            </w:tcMar>
            <w:shd w:val="clear" w:color="auto" w:fill="F5F7F5"/>
          </w:tcPr>
          <w:p>
            <w:pPr>
              <w:spacing w:after="0"/>
              <w:jc w:val="center"/>
            </w:pPr>
            <w:r>
              <w:rPr>
                <w:b/>
                <w:i w:val="0"/>
                <w:color w:val="16261F"/>
                <w:sz w:val="17"/>
              </w:rPr>
              <w:t>M</w:t>
            </w:r>
          </w:p>
        </w:tc>
        <w:tc>
          <w:tcPr>
            <w:tcW w:type="dxa" w:w="432"/>
            <w:tcMar>
              <w:top w:w="60" w:type="dxa"/>
              <w:left w:w="110" w:type="dxa"/>
              <w:bottom w:w="60" w:type="dxa"/>
              <w:right w:w="110" w:type="dxa"/>
            </w:tcMar>
            <w:shd w:val="clear" w:color="auto" w:fill="F5F7F5"/>
          </w:tcPr>
          <w:p>
            <w:pPr>
              <w:spacing w:after="0"/>
              <w:jc w:val="center"/>
            </w:pPr>
            <w:r>
              <w:rPr>
                <w:b/>
                <w:i w:val="0"/>
                <w:color w:val="C0473D"/>
                <w:sz w:val="17"/>
              </w:rPr>
              <w:t>H</w:t>
            </w:r>
          </w:p>
        </w:tc>
        <w:tc>
          <w:tcPr>
            <w:tcW w:type="dxa" w:w="3240"/>
            <w:tcMar>
              <w:top w:w="60" w:type="dxa"/>
              <w:left w:w="110" w:type="dxa"/>
              <w:bottom w:w="60" w:type="dxa"/>
              <w:right w:w="110" w:type="dxa"/>
            </w:tcMar>
            <w:shd w:val="clear" w:color="auto" w:fill="F5F7F5"/>
          </w:tcPr>
          <w:p>
            <w:pPr>
              <w:spacing w:after="0"/>
            </w:pPr>
            <w:r>
              <w:rPr>
                <w:b w:val="0"/>
                <w:i w:val="0"/>
                <w:color w:val="16261F"/>
                <w:sz w:val="17"/>
              </w:rPr>
              <w:t>Implement authorisation in the first sprint alongside the data model. Make NFR-SEC-012 tests a merge gate from day one.</w:t>
            </w:r>
          </w:p>
        </w:tc>
      </w:tr>
      <w:tr>
        <w:tc>
          <w:tcPr>
            <w:tcW w:type="dxa" w:w="720"/>
            <w:tcMar>
              <w:top w:w="60" w:type="dxa"/>
              <w:left w:w="110" w:type="dxa"/>
              <w:bottom w:w="60" w:type="dxa"/>
              <w:right w:w="110" w:type="dxa"/>
            </w:tcMar>
          </w:tcPr>
          <w:p>
            <w:pPr>
              <w:spacing w:after="0"/>
            </w:pPr>
            <w:r>
              <w:rPr>
                <w:rFonts w:ascii="Consolas" w:hAnsi="Consolas"/>
                <w:b w:val="0"/>
                <w:i w:val="0"/>
                <w:color w:val="16261F"/>
                <w:sz w:val="16"/>
              </w:rPr>
              <w:t>R-03</w:t>
            </w:r>
          </w:p>
        </w:tc>
        <w:tc>
          <w:tcPr>
            <w:tcW w:type="dxa" w:w="3096"/>
            <w:tcMar>
              <w:top w:w="60" w:type="dxa"/>
              <w:left w:w="110" w:type="dxa"/>
              <w:bottom w:w="60" w:type="dxa"/>
              <w:right w:w="110" w:type="dxa"/>
            </w:tcMar>
          </w:tcPr>
          <w:p>
            <w:pPr>
              <w:spacing w:after="0"/>
            </w:pPr>
            <w:r>
              <w:rPr>
                <w:b w:val="0"/>
                <w:i w:val="0"/>
                <w:color w:val="16261F"/>
                <w:sz w:val="17"/>
              </w:rPr>
              <w:t>Money arithmetic implemented with floating point, producing rounding drift discovered only after live invoices are issued.</w:t>
            </w:r>
          </w:p>
        </w:tc>
        <w:tc>
          <w:tcPr>
            <w:tcW w:type="dxa" w:w="432"/>
            <w:tcMar>
              <w:top w:w="60" w:type="dxa"/>
              <w:left w:w="110" w:type="dxa"/>
              <w:bottom w:w="60" w:type="dxa"/>
              <w:right w:w="110" w:type="dxa"/>
            </w:tcMar>
          </w:tcPr>
          <w:p>
            <w:pPr>
              <w:spacing w:after="0"/>
              <w:jc w:val="center"/>
            </w:pPr>
            <w:r>
              <w:rPr>
                <w:b/>
                <w:i w:val="0"/>
                <w:color w:val="16261F"/>
                <w:sz w:val="17"/>
              </w:rPr>
              <w:t>M</w:t>
            </w:r>
          </w:p>
        </w:tc>
        <w:tc>
          <w:tcPr>
            <w:tcW w:type="dxa" w:w="432"/>
            <w:tcMar>
              <w:top w:w="60" w:type="dxa"/>
              <w:left w:w="110" w:type="dxa"/>
              <w:bottom w:w="60" w:type="dxa"/>
              <w:right w:w="110" w:type="dxa"/>
            </w:tcMar>
          </w:tcPr>
          <w:p>
            <w:pPr>
              <w:spacing w:after="0"/>
              <w:jc w:val="center"/>
            </w:pPr>
            <w:r>
              <w:rPr>
                <w:b/>
                <w:i w:val="0"/>
                <w:color w:val="C0473D"/>
                <w:sz w:val="17"/>
              </w:rPr>
              <w:t>H</w:t>
            </w:r>
          </w:p>
        </w:tc>
        <w:tc>
          <w:tcPr>
            <w:tcW w:type="dxa" w:w="3240"/>
            <w:tcMar>
              <w:top w:w="60" w:type="dxa"/>
              <w:left w:w="110" w:type="dxa"/>
              <w:bottom w:w="60" w:type="dxa"/>
              <w:right w:w="110" w:type="dxa"/>
            </w:tcMar>
          </w:tcPr>
          <w:p>
            <w:pPr>
              <w:spacing w:after="0"/>
            </w:pPr>
            <w:r>
              <w:rPr>
                <w:b w:val="0"/>
                <w:i w:val="0"/>
                <w:color w:val="16261F"/>
                <w:sz w:val="17"/>
              </w:rPr>
              <w:t>Enforce NFR-INT-001 by static analysis rule, not review discipline. 90% coverage gate on the calculation module.</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6"/>
              </w:rPr>
              <w:t>R-04</w:t>
            </w:r>
          </w:p>
        </w:tc>
        <w:tc>
          <w:tcPr>
            <w:tcW w:type="dxa" w:w="3096"/>
            <w:tcMar>
              <w:top w:w="60" w:type="dxa"/>
              <w:left w:w="110" w:type="dxa"/>
              <w:bottom w:w="60" w:type="dxa"/>
              <w:right w:w="110" w:type="dxa"/>
            </w:tcMar>
            <w:shd w:val="clear" w:color="auto" w:fill="F5F7F5"/>
          </w:tcPr>
          <w:p>
            <w:pPr>
              <w:spacing w:after="0"/>
            </w:pPr>
            <w:r>
              <w:rPr>
                <w:b w:val="0"/>
                <w:i w:val="0"/>
                <w:color w:val="16261F"/>
                <w:sz w:val="17"/>
              </w:rPr>
              <w:t>Actual transaction volume materially exceeds the unconfirmed capacity model, invalidating infrastructure sizing.</w:t>
            </w:r>
          </w:p>
        </w:tc>
        <w:tc>
          <w:tcPr>
            <w:tcW w:type="dxa" w:w="432"/>
            <w:tcMar>
              <w:top w:w="60" w:type="dxa"/>
              <w:left w:w="110" w:type="dxa"/>
              <w:bottom w:w="60" w:type="dxa"/>
              <w:right w:w="110" w:type="dxa"/>
            </w:tcMar>
            <w:shd w:val="clear" w:color="auto" w:fill="F5F7F5"/>
          </w:tcPr>
          <w:p>
            <w:pPr>
              <w:spacing w:after="0"/>
              <w:jc w:val="center"/>
            </w:pPr>
            <w:r>
              <w:rPr>
                <w:b/>
                <w:i w:val="0"/>
                <w:color w:val="16261F"/>
                <w:sz w:val="17"/>
              </w:rPr>
              <w:t>M</w:t>
            </w:r>
          </w:p>
        </w:tc>
        <w:tc>
          <w:tcPr>
            <w:tcW w:type="dxa" w:w="432"/>
            <w:tcMar>
              <w:top w:w="60" w:type="dxa"/>
              <w:left w:w="110" w:type="dxa"/>
              <w:bottom w:w="60" w:type="dxa"/>
              <w:right w:w="110" w:type="dxa"/>
            </w:tcMar>
            <w:shd w:val="clear" w:color="auto" w:fill="F5F7F5"/>
          </w:tcPr>
          <w:p>
            <w:pPr>
              <w:spacing w:after="0"/>
              <w:jc w:val="center"/>
            </w:pPr>
            <w:r>
              <w:rPr>
                <w:b/>
                <w:i w:val="0"/>
                <w:color w:val="C7862B"/>
                <w:sz w:val="17"/>
              </w:rPr>
              <w:t>M</w:t>
            </w:r>
          </w:p>
        </w:tc>
        <w:tc>
          <w:tcPr>
            <w:tcW w:type="dxa" w:w="3240"/>
            <w:tcMar>
              <w:top w:w="60" w:type="dxa"/>
              <w:left w:w="110" w:type="dxa"/>
              <w:bottom w:w="60" w:type="dxa"/>
              <w:right w:w="110" w:type="dxa"/>
            </w:tcMar>
            <w:shd w:val="clear" w:color="auto" w:fill="F5F7F5"/>
          </w:tcPr>
          <w:p>
            <w:pPr>
              <w:spacing w:after="0"/>
            </w:pPr>
            <w:r>
              <w:rPr>
                <w:b w:val="0"/>
                <w:i w:val="0"/>
                <w:color w:val="16261F"/>
                <w:sz w:val="17"/>
              </w:rPr>
              <w:t>Obtain real figures via Q-05 before committing hosting. Design for horizontal scale so the remedy is provisioning, not redesign.</w:t>
            </w:r>
          </w:p>
        </w:tc>
      </w:tr>
      <w:tr>
        <w:tc>
          <w:tcPr>
            <w:tcW w:type="dxa" w:w="720"/>
            <w:tcMar>
              <w:top w:w="60" w:type="dxa"/>
              <w:left w:w="110" w:type="dxa"/>
              <w:bottom w:w="60" w:type="dxa"/>
              <w:right w:w="110" w:type="dxa"/>
            </w:tcMar>
          </w:tcPr>
          <w:p>
            <w:pPr>
              <w:spacing w:after="0"/>
            </w:pPr>
            <w:r>
              <w:rPr>
                <w:rFonts w:ascii="Consolas" w:hAnsi="Consolas"/>
                <w:b w:val="0"/>
                <w:i w:val="0"/>
                <w:color w:val="16261F"/>
                <w:sz w:val="16"/>
              </w:rPr>
              <w:t>R-05</w:t>
            </w:r>
          </w:p>
        </w:tc>
        <w:tc>
          <w:tcPr>
            <w:tcW w:type="dxa" w:w="3096"/>
            <w:tcMar>
              <w:top w:w="60" w:type="dxa"/>
              <w:left w:w="110" w:type="dxa"/>
              <w:bottom w:w="60" w:type="dxa"/>
              <w:right w:w="110" w:type="dxa"/>
            </w:tcMar>
          </w:tcPr>
          <w:p>
            <w:pPr>
              <w:spacing w:after="0"/>
            </w:pPr>
            <w:r>
              <w:rPr>
                <w:b w:val="0"/>
                <w:i w:val="0"/>
                <w:color w:val="16261F"/>
                <w:sz w:val="17"/>
              </w:rPr>
              <w:t>Zoho API rate limits throttle synchronisation during month-end peaks, delaying accounting visibility.</w:t>
            </w:r>
          </w:p>
        </w:tc>
        <w:tc>
          <w:tcPr>
            <w:tcW w:type="dxa" w:w="432"/>
            <w:tcMar>
              <w:top w:w="60" w:type="dxa"/>
              <w:left w:w="110" w:type="dxa"/>
              <w:bottom w:w="60" w:type="dxa"/>
              <w:right w:w="110" w:type="dxa"/>
            </w:tcMar>
          </w:tcPr>
          <w:p>
            <w:pPr>
              <w:spacing w:after="0"/>
              <w:jc w:val="center"/>
            </w:pPr>
            <w:r>
              <w:rPr>
                <w:b/>
                <w:i w:val="0"/>
                <w:color w:val="C0473D"/>
                <w:sz w:val="17"/>
              </w:rPr>
              <w:t>H</w:t>
            </w:r>
          </w:p>
        </w:tc>
        <w:tc>
          <w:tcPr>
            <w:tcW w:type="dxa" w:w="432"/>
            <w:tcMar>
              <w:top w:w="60" w:type="dxa"/>
              <w:left w:w="110" w:type="dxa"/>
              <w:bottom w:w="60" w:type="dxa"/>
              <w:right w:w="110" w:type="dxa"/>
            </w:tcMar>
          </w:tcPr>
          <w:p>
            <w:pPr>
              <w:spacing w:after="0"/>
              <w:jc w:val="center"/>
            </w:pPr>
            <w:r>
              <w:rPr>
                <w:b/>
                <w:i w:val="0"/>
                <w:color w:val="C7862B"/>
                <w:sz w:val="17"/>
              </w:rPr>
              <w:t>M</w:t>
            </w:r>
          </w:p>
        </w:tc>
        <w:tc>
          <w:tcPr>
            <w:tcW w:type="dxa" w:w="3240"/>
            <w:tcMar>
              <w:top w:w="60" w:type="dxa"/>
              <w:left w:w="110" w:type="dxa"/>
              <w:bottom w:w="60" w:type="dxa"/>
              <w:right w:w="110" w:type="dxa"/>
            </w:tcMar>
          </w:tcPr>
          <w:p>
            <w:pPr>
              <w:spacing w:after="0"/>
            </w:pPr>
            <w:r>
              <w:rPr>
                <w:b w:val="0"/>
                <w:i w:val="0"/>
                <w:color w:val="16261F"/>
                <w:sz w:val="17"/>
              </w:rPr>
              <w:t>Implement adaptive throttling and per-brand queue isolation. Measure quota headroom against NFR-PRF-021 early.</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6"/>
              </w:rPr>
              <w:t>R-06</w:t>
            </w:r>
          </w:p>
        </w:tc>
        <w:tc>
          <w:tcPr>
            <w:tcW w:type="dxa" w:w="3096"/>
            <w:tcMar>
              <w:top w:w="60" w:type="dxa"/>
              <w:left w:w="110" w:type="dxa"/>
              <w:bottom w:w="60" w:type="dxa"/>
              <w:right w:w="110" w:type="dxa"/>
            </w:tcMar>
            <w:shd w:val="clear" w:color="auto" w:fill="F5F7F5"/>
          </w:tcPr>
          <w:p>
            <w:pPr>
              <w:spacing w:after="0"/>
            </w:pPr>
            <w:r>
              <w:rPr>
                <w:b w:val="0"/>
                <w:i w:val="0"/>
                <w:color w:val="16261F"/>
                <w:sz w:val="17"/>
              </w:rPr>
              <w:t>Brand theme colours chosen freely fail contrast requirements on the payment page.</w:t>
            </w:r>
          </w:p>
        </w:tc>
        <w:tc>
          <w:tcPr>
            <w:tcW w:type="dxa" w:w="432"/>
            <w:tcMar>
              <w:top w:w="60" w:type="dxa"/>
              <w:left w:w="110" w:type="dxa"/>
              <w:bottom w:w="60" w:type="dxa"/>
              <w:right w:w="110" w:type="dxa"/>
            </w:tcMar>
            <w:shd w:val="clear" w:color="auto" w:fill="F5F7F5"/>
          </w:tcPr>
          <w:p>
            <w:pPr>
              <w:spacing w:after="0"/>
              <w:jc w:val="center"/>
            </w:pPr>
            <w:r>
              <w:rPr>
                <w:b/>
                <w:i w:val="0"/>
                <w:color w:val="C0473D"/>
                <w:sz w:val="17"/>
              </w:rPr>
              <w:t>H</w:t>
            </w:r>
          </w:p>
        </w:tc>
        <w:tc>
          <w:tcPr>
            <w:tcW w:type="dxa" w:w="432"/>
            <w:tcMar>
              <w:top w:w="60" w:type="dxa"/>
              <w:left w:w="110" w:type="dxa"/>
              <w:bottom w:w="60" w:type="dxa"/>
              <w:right w:w="110" w:type="dxa"/>
            </w:tcMar>
            <w:shd w:val="clear" w:color="auto" w:fill="F5F7F5"/>
          </w:tcPr>
          <w:p>
            <w:pPr>
              <w:spacing w:after="0"/>
              <w:jc w:val="center"/>
            </w:pPr>
            <w:r>
              <w:rPr>
                <w:b/>
                <w:i w:val="0"/>
                <w:color w:val="C7862B"/>
                <w:sz w:val="17"/>
              </w:rPr>
              <w:t>M</w:t>
            </w:r>
          </w:p>
        </w:tc>
        <w:tc>
          <w:tcPr>
            <w:tcW w:type="dxa" w:w="3240"/>
            <w:tcMar>
              <w:top w:w="60" w:type="dxa"/>
              <w:left w:w="110" w:type="dxa"/>
              <w:bottom w:w="60" w:type="dxa"/>
              <w:right w:w="110" w:type="dxa"/>
            </w:tcMar>
            <w:shd w:val="clear" w:color="auto" w:fill="F5F7F5"/>
          </w:tcPr>
          <w:p>
            <w:pPr>
              <w:spacing w:after="0"/>
            </w:pPr>
            <w:r>
              <w:rPr>
                <w:b w:val="0"/>
                <w:i w:val="0"/>
                <w:color w:val="16261F"/>
                <w:sz w:val="17"/>
              </w:rPr>
              <w:t>Constrain or validate colour selection at the point of entry per section 11.1, rather than auditing after the fact.</w:t>
            </w:r>
          </w:p>
        </w:tc>
      </w:tr>
      <w:tr>
        <w:tc>
          <w:tcPr>
            <w:tcW w:type="dxa" w:w="720"/>
            <w:tcMar>
              <w:top w:w="60" w:type="dxa"/>
              <w:left w:w="110" w:type="dxa"/>
              <w:bottom w:w="60" w:type="dxa"/>
              <w:right w:w="110" w:type="dxa"/>
            </w:tcMar>
          </w:tcPr>
          <w:p>
            <w:pPr>
              <w:spacing w:after="0"/>
            </w:pPr>
            <w:r>
              <w:rPr>
                <w:rFonts w:ascii="Consolas" w:hAnsi="Consolas"/>
                <w:b w:val="0"/>
                <w:i w:val="0"/>
                <w:color w:val="16261F"/>
                <w:sz w:val="16"/>
              </w:rPr>
              <w:t>R-07</w:t>
            </w:r>
          </w:p>
        </w:tc>
        <w:tc>
          <w:tcPr>
            <w:tcW w:type="dxa" w:w="3096"/>
            <w:tcMar>
              <w:top w:w="60" w:type="dxa"/>
              <w:left w:w="110" w:type="dxa"/>
              <w:bottom w:w="60" w:type="dxa"/>
              <w:right w:w="110" w:type="dxa"/>
            </w:tcMar>
          </w:tcPr>
          <w:p>
            <w:pPr>
              <w:spacing w:after="0"/>
            </w:pPr>
            <w:r>
              <w:rPr>
                <w:b w:val="0"/>
                <w:i w:val="0"/>
                <w:color w:val="16261F"/>
                <w:sz w:val="17"/>
              </w:rPr>
              <w:t>Generated payment page designs introduce markup that breaks accessibility or the Content Security Policy.</w:t>
            </w:r>
          </w:p>
        </w:tc>
        <w:tc>
          <w:tcPr>
            <w:tcW w:type="dxa" w:w="432"/>
            <w:tcMar>
              <w:top w:w="60" w:type="dxa"/>
              <w:left w:w="110" w:type="dxa"/>
              <w:bottom w:w="60" w:type="dxa"/>
              <w:right w:w="110" w:type="dxa"/>
            </w:tcMar>
          </w:tcPr>
          <w:p>
            <w:pPr>
              <w:spacing w:after="0"/>
              <w:jc w:val="center"/>
            </w:pPr>
            <w:r>
              <w:rPr>
                <w:b/>
                <w:i w:val="0"/>
                <w:color w:val="16261F"/>
                <w:sz w:val="17"/>
              </w:rPr>
              <w:t>M</w:t>
            </w:r>
          </w:p>
        </w:tc>
        <w:tc>
          <w:tcPr>
            <w:tcW w:type="dxa" w:w="432"/>
            <w:tcMar>
              <w:top w:w="60" w:type="dxa"/>
              <w:left w:w="110" w:type="dxa"/>
              <w:bottom w:w="60" w:type="dxa"/>
              <w:right w:w="110" w:type="dxa"/>
            </w:tcMar>
          </w:tcPr>
          <w:p>
            <w:pPr>
              <w:spacing w:after="0"/>
              <w:jc w:val="center"/>
            </w:pPr>
            <w:r>
              <w:rPr>
                <w:b/>
                <w:i w:val="0"/>
                <w:color w:val="C7862B"/>
                <w:sz w:val="17"/>
              </w:rPr>
              <w:t>M</w:t>
            </w:r>
          </w:p>
        </w:tc>
        <w:tc>
          <w:tcPr>
            <w:tcW w:type="dxa" w:w="3240"/>
            <w:tcMar>
              <w:top w:w="60" w:type="dxa"/>
              <w:left w:w="110" w:type="dxa"/>
              <w:bottom w:w="60" w:type="dxa"/>
              <w:right w:w="110" w:type="dxa"/>
            </w:tcMar>
          </w:tcPr>
          <w:p>
            <w:pPr>
              <w:spacing w:after="0"/>
            </w:pPr>
            <w:r>
              <w:rPr>
                <w:b w:val="0"/>
                <w:i w:val="0"/>
                <w:color w:val="16261F"/>
                <w:sz w:val="17"/>
              </w:rPr>
              <w:t>Constrain generation to a fixed non-executable style vocabulary. Enforce FR-DSG-008 and FR-DSG-009 as publication gates.</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6"/>
              </w:rPr>
              <w:t>R-08</w:t>
            </w:r>
          </w:p>
        </w:tc>
        <w:tc>
          <w:tcPr>
            <w:tcW w:type="dxa" w:w="3096"/>
            <w:tcMar>
              <w:top w:w="60" w:type="dxa"/>
              <w:left w:w="110" w:type="dxa"/>
              <w:bottom w:w="60" w:type="dxa"/>
              <w:right w:w="110" w:type="dxa"/>
            </w:tcMar>
            <w:shd w:val="clear" w:color="auto" w:fill="F5F7F5"/>
          </w:tcPr>
          <w:p>
            <w:pPr>
              <w:spacing w:after="0"/>
            </w:pPr>
            <w:r>
              <w:rPr>
                <w:b w:val="0"/>
                <w:i w:val="0"/>
                <w:color w:val="16261F"/>
                <w:sz w:val="17"/>
              </w:rPr>
              <w:t>Invoice email is filtered as spam, so customers never receive payment links and collection stalls.</w:t>
            </w:r>
          </w:p>
        </w:tc>
        <w:tc>
          <w:tcPr>
            <w:tcW w:type="dxa" w:w="432"/>
            <w:tcMar>
              <w:top w:w="60" w:type="dxa"/>
              <w:left w:w="110" w:type="dxa"/>
              <w:bottom w:w="60" w:type="dxa"/>
              <w:right w:w="110" w:type="dxa"/>
            </w:tcMar>
            <w:shd w:val="clear" w:color="auto" w:fill="F5F7F5"/>
          </w:tcPr>
          <w:p>
            <w:pPr>
              <w:spacing w:after="0"/>
              <w:jc w:val="center"/>
            </w:pPr>
            <w:r>
              <w:rPr>
                <w:b/>
                <w:i w:val="0"/>
                <w:color w:val="16261F"/>
                <w:sz w:val="17"/>
              </w:rPr>
              <w:t>M</w:t>
            </w:r>
          </w:p>
        </w:tc>
        <w:tc>
          <w:tcPr>
            <w:tcW w:type="dxa" w:w="432"/>
            <w:tcMar>
              <w:top w:w="60" w:type="dxa"/>
              <w:left w:w="110" w:type="dxa"/>
              <w:bottom w:w="60" w:type="dxa"/>
              <w:right w:w="110" w:type="dxa"/>
            </w:tcMar>
            <w:shd w:val="clear" w:color="auto" w:fill="F5F7F5"/>
          </w:tcPr>
          <w:p>
            <w:pPr>
              <w:spacing w:after="0"/>
              <w:jc w:val="center"/>
            </w:pPr>
            <w:r>
              <w:rPr>
                <w:b/>
                <w:i w:val="0"/>
                <w:color w:val="C0473D"/>
                <w:sz w:val="17"/>
              </w:rPr>
              <w:t>H</w:t>
            </w:r>
          </w:p>
        </w:tc>
        <w:tc>
          <w:tcPr>
            <w:tcW w:type="dxa" w:w="3240"/>
            <w:tcMar>
              <w:top w:w="60" w:type="dxa"/>
              <w:left w:w="110" w:type="dxa"/>
              <w:bottom w:w="60" w:type="dxa"/>
              <w:right w:w="110" w:type="dxa"/>
            </w:tcMar>
            <w:shd w:val="clear" w:color="auto" w:fill="F5F7F5"/>
          </w:tcPr>
          <w:p>
            <w:pPr>
              <w:spacing w:after="0"/>
            </w:pPr>
            <w:r>
              <w:rPr>
                <w:b w:val="0"/>
                <w:i w:val="0"/>
                <w:color w:val="16261F"/>
                <w:sz w:val="17"/>
              </w:rPr>
              <w:t>Configure sender authentication on brand domains at DEP-06. Monitor bounce and complaint rates as a business metric per NFR-OBS-011.</w:t>
            </w:r>
          </w:p>
        </w:tc>
      </w:tr>
      <w:tr>
        <w:tc>
          <w:tcPr>
            <w:tcW w:type="dxa" w:w="720"/>
            <w:tcMar>
              <w:top w:w="60" w:type="dxa"/>
              <w:left w:w="110" w:type="dxa"/>
              <w:bottom w:w="60" w:type="dxa"/>
              <w:right w:w="110" w:type="dxa"/>
            </w:tcMar>
          </w:tcPr>
          <w:p>
            <w:pPr>
              <w:spacing w:after="0"/>
            </w:pPr>
            <w:r>
              <w:rPr>
                <w:rFonts w:ascii="Consolas" w:hAnsi="Consolas"/>
                <w:b w:val="0"/>
                <w:i w:val="0"/>
                <w:color w:val="16261F"/>
                <w:sz w:val="16"/>
              </w:rPr>
              <w:t>R-09</w:t>
            </w:r>
          </w:p>
        </w:tc>
        <w:tc>
          <w:tcPr>
            <w:tcW w:type="dxa" w:w="3096"/>
            <w:tcMar>
              <w:top w:w="60" w:type="dxa"/>
              <w:left w:w="110" w:type="dxa"/>
              <w:bottom w:w="60" w:type="dxa"/>
              <w:right w:w="110" w:type="dxa"/>
            </w:tcMar>
          </w:tcPr>
          <w:p>
            <w:pPr>
              <w:spacing w:after="0"/>
            </w:pPr>
            <w:r>
              <w:rPr>
                <w:b w:val="0"/>
                <w:i w:val="0"/>
                <w:color w:val="16261F"/>
                <w:sz w:val="17"/>
              </w:rPr>
              <w:t>Prototype code or its patterns are carried into production, importing GAP-007 and GAP-010 defects.</w:t>
            </w:r>
          </w:p>
        </w:tc>
        <w:tc>
          <w:tcPr>
            <w:tcW w:type="dxa" w:w="432"/>
            <w:tcMar>
              <w:top w:w="60" w:type="dxa"/>
              <w:left w:w="110" w:type="dxa"/>
              <w:bottom w:w="60" w:type="dxa"/>
              <w:right w:w="110" w:type="dxa"/>
            </w:tcMar>
          </w:tcPr>
          <w:p>
            <w:pPr>
              <w:spacing w:after="0"/>
              <w:jc w:val="center"/>
            </w:pPr>
            <w:r>
              <w:rPr>
                <w:b/>
                <w:i w:val="0"/>
                <w:color w:val="16261F"/>
                <w:sz w:val="17"/>
              </w:rPr>
              <w:t>M</w:t>
            </w:r>
          </w:p>
        </w:tc>
        <w:tc>
          <w:tcPr>
            <w:tcW w:type="dxa" w:w="432"/>
            <w:tcMar>
              <w:top w:w="60" w:type="dxa"/>
              <w:left w:w="110" w:type="dxa"/>
              <w:bottom w:w="60" w:type="dxa"/>
              <w:right w:w="110" w:type="dxa"/>
            </w:tcMar>
          </w:tcPr>
          <w:p>
            <w:pPr>
              <w:spacing w:after="0"/>
              <w:jc w:val="center"/>
            </w:pPr>
            <w:r>
              <w:rPr>
                <w:b/>
                <w:i w:val="0"/>
                <w:color w:val="C7862B"/>
                <w:sz w:val="17"/>
              </w:rPr>
              <w:t>M</w:t>
            </w:r>
          </w:p>
        </w:tc>
        <w:tc>
          <w:tcPr>
            <w:tcW w:type="dxa" w:w="3240"/>
            <w:tcMar>
              <w:top w:w="60" w:type="dxa"/>
              <w:left w:w="110" w:type="dxa"/>
              <w:bottom w:w="60" w:type="dxa"/>
              <w:right w:w="110" w:type="dxa"/>
            </w:tcMar>
          </w:tcPr>
          <w:p>
            <w:pPr>
              <w:spacing w:after="0"/>
            </w:pPr>
            <w:r>
              <w:rPr>
                <w:b w:val="0"/>
                <w:i w:val="0"/>
                <w:color w:val="16261F"/>
                <w:sz w:val="17"/>
              </w:rPr>
              <w:t>Treat the prototype as a design reference only. No prototype source enters the production repository.</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6"/>
              </w:rPr>
              <w:t>R-10</w:t>
            </w:r>
          </w:p>
        </w:tc>
        <w:tc>
          <w:tcPr>
            <w:tcW w:type="dxa" w:w="3096"/>
            <w:tcMar>
              <w:top w:w="60" w:type="dxa"/>
              <w:left w:w="110" w:type="dxa"/>
              <w:bottom w:w="60" w:type="dxa"/>
              <w:right w:w="110" w:type="dxa"/>
            </w:tcMar>
            <w:shd w:val="clear" w:color="auto" w:fill="F5F7F5"/>
          </w:tcPr>
          <w:p>
            <w:pPr>
              <w:spacing w:after="0"/>
            </w:pPr>
            <w:r>
              <w:rPr>
                <w:b w:val="0"/>
                <w:i w:val="0"/>
                <w:color w:val="16261F"/>
                <w:sz w:val="17"/>
              </w:rPr>
              <w:t>Phase 3 accounts payable is committed after the MVP data model is fixed, forcing costly migration.</w:t>
            </w:r>
          </w:p>
        </w:tc>
        <w:tc>
          <w:tcPr>
            <w:tcW w:type="dxa" w:w="432"/>
            <w:tcMar>
              <w:top w:w="60" w:type="dxa"/>
              <w:left w:w="110" w:type="dxa"/>
              <w:bottom w:w="60" w:type="dxa"/>
              <w:right w:w="110" w:type="dxa"/>
            </w:tcMar>
            <w:shd w:val="clear" w:color="auto" w:fill="F5F7F5"/>
          </w:tcPr>
          <w:p>
            <w:pPr>
              <w:spacing w:after="0"/>
              <w:jc w:val="center"/>
            </w:pPr>
            <w:r>
              <w:rPr>
                <w:b/>
                <w:i w:val="0"/>
                <w:color w:val="16261F"/>
                <w:sz w:val="17"/>
              </w:rPr>
              <w:t>M</w:t>
            </w:r>
          </w:p>
        </w:tc>
        <w:tc>
          <w:tcPr>
            <w:tcW w:type="dxa" w:w="432"/>
            <w:tcMar>
              <w:top w:w="60" w:type="dxa"/>
              <w:left w:w="110" w:type="dxa"/>
              <w:bottom w:w="60" w:type="dxa"/>
              <w:right w:w="110" w:type="dxa"/>
            </w:tcMar>
            <w:shd w:val="clear" w:color="auto" w:fill="F5F7F5"/>
          </w:tcPr>
          <w:p>
            <w:pPr>
              <w:spacing w:after="0"/>
              <w:jc w:val="center"/>
            </w:pPr>
            <w:r>
              <w:rPr>
                <w:b/>
                <w:i w:val="0"/>
                <w:color w:val="C7862B"/>
                <w:sz w:val="17"/>
              </w:rPr>
              <w:t>M</w:t>
            </w:r>
          </w:p>
        </w:tc>
        <w:tc>
          <w:tcPr>
            <w:tcW w:type="dxa" w:w="3240"/>
            <w:tcMar>
              <w:top w:w="60" w:type="dxa"/>
              <w:left w:w="110" w:type="dxa"/>
              <w:bottom w:w="60" w:type="dxa"/>
              <w:right w:w="110" w:type="dxa"/>
            </w:tcMar>
            <w:shd w:val="clear" w:color="auto" w:fill="F5F7F5"/>
          </w:tcPr>
          <w:p>
            <w:pPr>
              <w:spacing w:after="0"/>
            </w:pPr>
            <w:r>
              <w:rPr>
                <w:b w:val="0"/>
                <w:i w:val="0"/>
                <w:color w:val="16261F"/>
                <w:sz w:val="17"/>
              </w:rPr>
              <w:t>Resolve Q-06 during MVP design. Model the contact entity to accommodate both roles even if only Customer is delivered.</w:t>
            </w:r>
          </w:p>
        </w:tc>
      </w:tr>
    </w:tbl>
    <w:p>
      <w:pPr>
        <w:spacing w:after="240"/>
      </w:pPr>
    </w:p>
    <w:p>
      <w:pPr>
        <w:pStyle w:val="Heading2"/>
      </w:pPr>
      <w:r>
        <w:t>Approval</w:t>
      </w:r>
    </w:p>
    <w:p>
      <w:pPr>
        <w:spacing w:after="140"/>
      </w:pPr>
      <w:r>
        <w:rPr>
          <w:b w:val="0"/>
          <w:i w:val="0"/>
          <w:color w:val="5B6B63"/>
          <w:sz w:val="21"/>
        </w:rPr>
        <w:t>This document requires sign-off from the following parties before the corresponding development phase begins.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Role</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8"/>
              </w:rPr>
              <w:t>Name</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8"/>
              </w:rPr>
              <w:t>Signature</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Date</w:t>
            </w:r>
          </w:p>
        </w:tc>
      </w:tr>
      <w:tr>
        <w:tc>
          <w:tcPr>
            <w:tcW w:type="dxa" w:w="2160"/>
            <w:tcMar>
              <w:top w:w="60" w:type="dxa"/>
              <w:left w:w="110" w:type="dxa"/>
              <w:bottom w:w="60" w:type="dxa"/>
              <w:right w:w="110" w:type="dxa"/>
            </w:tcMar>
          </w:tcPr>
          <w:p>
            <w:pPr>
              <w:spacing w:after="0"/>
            </w:pPr>
            <w:r>
              <w:rPr>
                <w:b w:val="0"/>
                <w:i w:val="0"/>
                <w:color w:val="16261F"/>
                <w:sz w:val="19"/>
              </w:rPr>
              <w:t>Client sponsor</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Product owner</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r>
        <w:tc>
          <w:tcPr>
            <w:tcW w:type="dxa" w:w="2160"/>
            <w:tcMar>
              <w:top w:w="60" w:type="dxa"/>
              <w:left w:w="110" w:type="dxa"/>
              <w:bottom w:w="60" w:type="dxa"/>
              <w:right w:w="110" w:type="dxa"/>
            </w:tcMar>
          </w:tcPr>
          <w:p>
            <w:pPr>
              <w:spacing w:after="0"/>
            </w:pPr>
            <w:r>
              <w:rPr>
                <w:b w:val="0"/>
                <w:i w:val="0"/>
                <w:color w:val="16261F"/>
                <w:sz w:val="19"/>
              </w:rPr>
              <w:t>Engineering lead</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QA lead</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63"/>
        <w:sz w:val="16"/>
      </w:rPr>
      <w:t>NFR-001 · Non-Functional Requirements</w:t>
    </w:r>
    <w:r>
      <w:tab/>
      <w:tab/>
    </w:r>
    <w:r>
      <w:rPr>
        <w:color w:val="5B6B63"/>
        <w:sz w:val="16"/>
      </w:rPr>
      <w:t xml:space="preserve">Page </w:t>
    </w:r>
    <w:fldSimple w:instr="PAGE">
      <w:r>
        <w:rPr>
          <w:sz w:val="16"/>
          <w:color w:val="5B6B63"/>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626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6261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2D6A6A"/>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6261F"/>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5B6B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