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Architecture &amp; Technical Design</w:t>
      </w:r>
    </w:p>
    <w:p>
      <w:pPr>
        <w:spacing w:after="600"/>
      </w:pPr>
      <w:r>
        <w:rPr>
          <w:color w:val="5B6B63"/>
          <w:sz w:val="26"/>
        </w:rPr>
        <w:t>System architecture, data model, integration design and security design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TDD-001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Purpose and design principles</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System context</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Architecture overview</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Component design</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Data model</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Multi-tenancy and data isolation</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Authentication and authorisation design</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Invoice and payment domain design</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Money, tax and card fee calculation</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Integration architecture</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Synchronisation engine design</w:t>
            </w:r>
          </w:p>
        </w:tc>
      </w:tr>
      <w:tr>
        <w:tc>
          <w:tcPr>
            <w:tcW w:type="dxa" w:w="720"/>
            <w:tcMar>
              <w:top w:w="25" w:type="dxa"/>
              <w:left w:w="0" w:type="dxa"/>
              <w:bottom w:w="25" w:type="dxa"/>
              <w:right w:w="40" w:type="dxa"/>
            </w:tcMar>
          </w:tcPr>
          <w:p>
            <w:r>
              <w:rPr>
                <w:b/>
                <w:color w:val="2D6A6A"/>
                <w:sz w:val="20"/>
              </w:rPr>
              <w:t>12</w:t>
            </w:r>
          </w:p>
        </w:tc>
        <w:tc>
          <w:tcPr>
            <w:tcW w:type="dxa" w:w="7920"/>
            <w:tcMar>
              <w:top w:w="25" w:type="dxa"/>
              <w:left w:w="0" w:type="dxa"/>
              <w:bottom w:w="25" w:type="dxa"/>
              <w:right w:w="0" w:type="dxa"/>
            </w:tcMar>
          </w:tcPr>
          <w:p>
            <w:r>
              <w:rPr>
                <w:color w:val="16261F"/>
                <w:sz w:val="20"/>
              </w:rPr>
              <w:t>Payment page delivery and custom domains</w:t>
            </w:r>
          </w:p>
        </w:tc>
      </w:tr>
      <w:tr>
        <w:tc>
          <w:tcPr>
            <w:tcW w:type="dxa" w:w="720"/>
            <w:tcMar>
              <w:top w:w="25" w:type="dxa"/>
              <w:left w:w="0" w:type="dxa"/>
              <w:bottom w:w="25" w:type="dxa"/>
              <w:right w:w="40" w:type="dxa"/>
            </w:tcMar>
          </w:tcPr>
          <w:p>
            <w:r>
              <w:rPr>
                <w:b/>
                <w:color w:val="2D6A6A"/>
                <w:sz w:val="20"/>
              </w:rPr>
              <w:t>13</w:t>
            </w:r>
          </w:p>
        </w:tc>
        <w:tc>
          <w:tcPr>
            <w:tcW w:type="dxa" w:w="7920"/>
            <w:tcMar>
              <w:top w:w="25" w:type="dxa"/>
              <w:left w:w="0" w:type="dxa"/>
              <w:bottom w:w="25" w:type="dxa"/>
              <w:right w:w="0" w:type="dxa"/>
            </w:tcMar>
          </w:tcPr>
          <w:p>
            <w:r>
              <w:rPr>
                <w:color w:val="16261F"/>
                <w:sz w:val="20"/>
              </w:rPr>
              <w:t>Document generation</w:t>
            </w:r>
          </w:p>
        </w:tc>
      </w:tr>
      <w:tr>
        <w:tc>
          <w:tcPr>
            <w:tcW w:type="dxa" w:w="720"/>
            <w:tcMar>
              <w:top w:w="25" w:type="dxa"/>
              <w:left w:w="0" w:type="dxa"/>
              <w:bottom w:w="25" w:type="dxa"/>
              <w:right w:w="40" w:type="dxa"/>
            </w:tcMar>
          </w:tcPr>
          <w:p>
            <w:r>
              <w:rPr>
                <w:b/>
                <w:color w:val="2D6A6A"/>
                <w:sz w:val="20"/>
              </w:rPr>
              <w:t>14</w:t>
            </w:r>
          </w:p>
        </w:tc>
        <w:tc>
          <w:tcPr>
            <w:tcW w:type="dxa" w:w="7920"/>
            <w:tcMar>
              <w:top w:w="25" w:type="dxa"/>
              <w:left w:w="0" w:type="dxa"/>
              <w:bottom w:w="25" w:type="dxa"/>
              <w:right w:w="0" w:type="dxa"/>
            </w:tcMar>
          </w:tcPr>
          <w:p>
            <w:r>
              <w:rPr>
                <w:color w:val="16261F"/>
                <w:sz w:val="20"/>
              </w:rPr>
              <w:t>Asynchronous processing and scheduling</w:t>
            </w:r>
          </w:p>
        </w:tc>
      </w:tr>
      <w:tr>
        <w:tc>
          <w:tcPr>
            <w:tcW w:type="dxa" w:w="720"/>
            <w:tcMar>
              <w:top w:w="25" w:type="dxa"/>
              <w:left w:w="0" w:type="dxa"/>
              <w:bottom w:w="25" w:type="dxa"/>
              <w:right w:w="40" w:type="dxa"/>
            </w:tcMar>
          </w:tcPr>
          <w:p>
            <w:r>
              <w:rPr>
                <w:b/>
                <w:color w:val="2D6A6A"/>
                <w:sz w:val="20"/>
              </w:rPr>
              <w:t>15</w:t>
            </w:r>
          </w:p>
        </w:tc>
        <w:tc>
          <w:tcPr>
            <w:tcW w:type="dxa" w:w="7920"/>
            <w:tcMar>
              <w:top w:w="25" w:type="dxa"/>
              <w:left w:w="0" w:type="dxa"/>
              <w:bottom w:w="25" w:type="dxa"/>
              <w:right w:w="0" w:type="dxa"/>
            </w:tcMar>
          </w:tcPr>
          <w:p>
            <w:r>
              <w:rPr>
                <w:color w:val="16261F"/>
                <w:sz w:val="20"/>
              </w:rPr>
              <w:t>Security design</w:t>
            </w:r>
          </w:p>
        </w:tc>
      </w:tr>
      <w:tr>
        <w:tc>
          <w:tcPr>
            <w:tcW w:type="dxa" w:w="720"/>
            <w:tcMar>
              <w:top w:w="25" w:type="dxa"/>
              <w:left w:w="0" w:type="dxa"/>
              <w:bottom w:w="25" w:type="dxa"/>
              <w:right w:w="40" w:type="dxa"/>
            </w:tcMar>
          </w:tcPr>
          <w:p>
            <w:r>
              <w:rPr>
                <w:b/>
                <w:color w:val="2D6A6A"/>
                <w:sz w:val="20"/>
              </w:rPr>
              <w:t>16</w:t>
            </w:r>
          </w:p>
        </w:tc>
        <w:tc>
          <w:tcPr>
            <w:tcW w:type="dxa" w:w="7920"/>
            <w:tcMar>
              <w:top w:w="25" w:type="dxa"/>
              <w:left w:w="0" w:type="dxa"/>
              <w:bottom w:w="25" w:type="dxa"/>
              <w:right w:w="0" w:type="dxa"/>
            </w:tcMar>
          </w:tcPr>
          <w:p>
            <w:r>
              <w:rPr>
                <w:color w:val="16261F"/>
                <w:sz w:val="20"/>
              </w:rPr>
              <w:t>Failure handling and resilience</w:t>
            </w:r>
          </w:p>
        </w:tc>
      </w:tr>
      <w:tr>
        <w:tc>
          <w:tcPr>
            <w:tcW w:type="dxa" w:w="720"/>
            <w:tcMar>
              <w:top w:w="25" w:type="dxa"/>
              <w:left w:w="0" w:type="dxa"/>
              <w:bottom w:w="25" w:type="dxa"/>
              <w:right w:w="40" w:type="dxa"/>
            </w:tcMar>
          </w:tcPr>
          <w:p>
            <w:r>
              <w:rPr>
                <w:b/>
                <w:color w:val="2D6A6A"/>
                <w:sz w:val="20"/>
              </w:rPr>
              <w:t>17</w:t>
            </w:r>
          </w:p>
        </w:tc>
        <w:tc>
          <w:tcPr>
            <w:tcW w:type="dxa" w:w="7920"/>
            <w:tcMar>
              <w:top w:w="25" w:type="dxa"/>
              <w:left w:w="0" w:type="dxa"/>
              <w:bottom w:w="25" w:type="dxa"/>
              <w:right w:w="0" w:type="dxa"/>
            </w:tcMar>
          </w:tcPr>
          <w:p>
            <w:r>
              <w:rPr>
                <w:color w:val="16261F"/>
                <w:sz w:val="20"/>
              </w:rPr>
              <w:t>Deployment architecture</w:t>
            </w:r>
          </w:p>
        </w:tc>
      </w:tr>
      <w:tr>
        <w:tc>
          <w:tcPr>
            <w:tcW w:type="dxa" w:w="720"/>
            <w:tcMar>
              <w:top w:w="25" w:type="dxa"/>
              <w:left w:w="0" w:type="dxa"/>
              <w:bottom w:w="25" w:type="dxa"/>
              <w:right w:w="40" w:type="dxa"/>
            </w:tcMar>
          </w:tcPr>
          <w:p>
            <w:r>
              <w:rPr>
                <w:b/>
                <w:color w:val="2D6A6A"/>
                <w:sz w:val="20"/>
              </w:rPr>
              <w:t>18</w:t>
            </w:r>
          </w:p>
        </w:tc>
        <w:tc>
          <w:tcPr>
            <w:tcW w:type="dxa" w:w="7920"/>
            <w:tcMar>
              <w:top w:w="25" w:type="dxa"/>
              <w:left w:w="0" w:type="dxa"/>
              <w:bottom w:w="25" w:type="dxa"/>
              <w:right w:w="0" w:type="dxa"/>
            </w:tcMar>
          </w:tcPr>
          <w:p>
            <w:r>
              <w:rPr>
                <w:color w:val="16261F"/>
                <w:sz w:val="20"/>
              </w:rPr>
              <w:t>Architecture decision record</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Purpose and design principles</w:t>
      </w:r>
    </w:p>
    <w:p>
      <w:pPr>
        <w:spacing w:after="140"/>
      </w:pPr>
      <w:r>
        <w:rPr>
          <w:b w:val="0"/>
          <w:i w:val="0"/>
          <w:color w:val="16261F"/>
          <w:sz w:val="21"/>
        </w:rPr>
        <w:t>This document describes how the system specified in FRS-001 is to be built, and how it satisfies the quality attributes in NFR-001. It is written to be implementable: where a decision has been made, the rationale and the rejected alternatives are recorded in section 18.</w:t>
      </w:r>
    </w:p>
    <w:p>
      <w:pPr>
        <w:pStyle w:val="Heading2"/>
      </w:pPr>
      <w:r>
        <w:t>1.1 Design principles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872"/>
            <w:shd w:val="clear" w:color="auto" w:fill="16261F"/>
            <w:tcMar>
              <w:top w:w="70" w:type="dxa"/>
              <w:left w:w="110" w:type="dxa"/>
              <w:bottom w:w="70" w:type="dxa"/>
              <w:right w:w="110" w:type="dxa"/>
            </w:tcMar>
          </w:tcPr>
          <w:p>
            <w:pPr>
              <w:spacing w:after="0"/>
            </w:pPr>
            <w:r>
              <w:rPr>
                <w:rFonts w:ascii="Calibri" w:hAnsi="Calibri"/>
                <w:b/>
                <w:color w:val="FFFFFF"/>
                <w:sz w:val="18"/>
              </w:rPr>
              <w:t>Principle</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Statement</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8"/>
              </w:rPr>
              <w:t>Consequence</w:t>
            </w:r>
          </w:p>
        </w:tc>
      </w:tr>
      <w:tr>
        <w:tc>
          <w:tcPr>
            <w:tcW w:type="dxa" w:w="1872"/>
            <w:tcMar>
              <w:top w:w="60" w:type="dxa"/>
              <w:left w:w="110" w:type="dxa"/>
              <w:bottom w:w="60" w:type="dxa"/>
              <w:right w:w="110" w:type="dxa"/>
            </w:tcMar>
          </w:tcPr>
          <w:p>
            <w:pPr>
              <w:spacing w:after="0"/>
            </w:pPr>
            <w:r>
              <w:rPr>
                <w:b w:val="0"/>
                <w:i w:val="0"/>
                <w:color w:val="16261F"/>
                <w:sz w:val="19"/>
              </w:rPr>
              <w:t>Brand is the isolation boundary</w:t>
            </w:r>
          </w:p>
        </w:tc>
        <w:tc>
          <w:tcPr>
            <w:tcW w:type="dxa" w:w="3888"/>
            <w:tcMar>
              <w:top w:w="60" w:type="dxa"/>
              <w:left w:w="110" w:type="dxa"/>
              <w:bottom w:w="60" w:type="dxa"/>
              <w:right w:w="110" w:type="dxa"/>
            </w:tcMar>
          </w:tcPr>
          <w:p>
            <w:pPr>
              <w:spacing w:after="0"/>
            </w:pPr>
            <w:r>
              <w:rPr>
                <w:b w:val="0"/>
                <w:i w:val="0"/>
                <w:color w:val="16261F"/>
                <w:sz w:val="19"/>
              </w:rPr>
              <w:t>Every operational record belongs to exactly one brand. Isolation is enforced in the data layer, not in application code.</w:t>
            </w:r>
          </w:p>
        </w:tc>
        <w:tc>
          <w:tcPr>
            <w:tcW w:type="dxa" w:w="3600"/>
            <w:tcMar>
              <w:top w:w="60" w:type="dxa"/>
              <w:left w:w="110" w:type="dxa"/>
              <w:bottom w:w="60" w:type="dxa"/>
              <w:right w:w="110" w:type="dxa"/>
            </w:tcMar>
          </w:tcPr>
          <w:p>
            <w:pPr>
              <w:spacing w:after="0"/>
            </w:pPr>
            <w:r>
              <w:rPr>
                <w:b w:val="0"/>
                <w:i w:val="0"/>
                <w:color w:val="16261F"/>
                <w:sz w:val="19"/>
              </w:rPr>
              <w:t>A missing filter cannot leak data across brands, because the filter is not optional.</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Accounting truth lives in Zoho</w:t>
            </w:r>
          </w:p>
        </w:tc>
        <w:tc>
          <w:tcPr>
            <w:tcW w:type="dxa" w:w="3888"/>
            <w:tcMar>
              <w:top w:w="60" w:type="dxa"/>
              <w:left w:w="110" w:type="dxa"/>
              <w:bottom w:w="60" w:type="dxa"/>
              <w:right w:w="110" w:type="dxa"/>
            </w:tcMar>
            <w:shd w:val="clear" w:color="auto" w:fill="F5F7F5"/>
          </w:tcPr>
          <w:p>
            <w:pPr>
              <w:spacing w:after="0"/>
            </w:pPr>
            <w:r>
              <w:rPr>
                <w:b w:val="0"/>
                <w:i w:val="0"/>
                <w:color w:val="16261F"/>
                <w:sz w:val="19"/>
              </w:rPr>
              <w:t>The platform is a system of engagement for invoicing and collection. Zoho Books remains the ledger.</w:t>
            </w:r>
          </w:p>
        </w:tc>
        <w:tc>
          <w:tcPr>
            <w:tcW w:type="dxa" w:w="3600"/>
            <w:tcMar>
              <w:top w:w="60" w:type="dxa"/>
              <w:left w:w="110" w:type="dxa"/>
              <w:bottom w:w="60" w:type="dxa"/>
              <w:right w:w="110" w:type="dxa"/>
            </w:tcMar>
            <w:shd w:val="clear" w:color="auto" w:fill="F5F7F5"/>
          </w:tcPr>
          <w:p>
            <w:pPr>
              <w:spacing w:after="0"/>
            </w:pPr>
            <w:r>
              <w:rPr>
                <w:b w:val="0"/>
                <w:i w:val="0"/>
                <w:color w:val="16261F"/>
                <w:sz w:val="19"/>
              </w:rPr>
              <w:t>Sync failure degrades reporting, never collection. The platform never becomes the book of record.</w:t>
            </w:r>
          </w:p>
        </w:tc>
      </w:tr>
      <w:tr>
        <w:tc>
          <w:tcPr>
            <w:tcW w:type="dxa" w:w="1872"/>
            <w:tcMar>
              <w:top w:w="60" w:type="dxa"/>
              <w:left w:w="110" w:type="dxa"/>
              <w:bottom w:w="60" w:type="dxa"/>
              <w:right w:w="110" w:type="dxa"/>
            </w:tcMar>
          </w:tcPr>
          <w:p>
            <w:pPr>
              <w:spacing w:after="0"/>
            </w:pPr>
            <w:r>
              <w:rPr>
                <w:b w:val="0"/>
                <w:i w:val="0"/>
                <w:color w:val="16261F"/>
                <w:sz w:val="19"/>
              </w:rPr>
              <w:t>Card data never lands</w:t>
            </w:r>
          </w:p>
        </w:tc>
        <w:tc>
          <w:tcPr>
            <w:tcW w:type="dxa" w:w="3888"/>
            <w:tcMar>
              <w:top w:w="60" w:type="dxa"/>
              <w:left w:w="110" w:type="dxa"/>
              <w:bottom w:w="60" w:type="dxa"/>
              <w:right w:w="110" w:type="dxa"/>
            </w:tcMar>
          </w:tcPr>
          <w:p>
            <w:pPr>
              <w:spacing w:after="0"/>
            </w:pPr>
            <w:r>
              <w:rPr>
                <w:b w:val="0"/>
                <w:i w:val="0"/>
                <w:color w:val="16261F"/>
                <w:sz w:val="19"/>
              </w:rPr>
              <w:t>Card details are captured in gateway-hosted fields and never transit platform infrastructure.</w:t>
            </w:r>
          </w:p>
        </w:tc>
        <w:tc>
          <w:tcPr>
            <w:tcW w:type="dxa" w:w="3600"/>
            <w:tcMar>
              <w:top w:w="60" w:type="dxa"/>
              <w:left w:w="110" w:type="dxa"/>
              <w:bottom w:w="60" w:type="dxa"/>
              <w:right w:w="110" w:type="dxa"/>
            </w:tcMar>
          </w:tcPr>
          <w:p>
            <w:pPr>
              <w:spacing w:after="0"/>
            </w:pPr>
            <w:r>
              <w:rPr>
                <w:b w:val="0"/>
                <w:i w:val="0"/>
                <w:color w:val="16261F"/>
                <w:sz w:val="19"/>
              </w:rPr>
              <w:t>PCI scope stays at SAQ A. Conditional on DEP-01.</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Money is exact</w:t>
            </w:r>
          </w:p>
        </w:tc>
        <w:tc>
          <w:tcPr>
            <w:tcW w:type="dxa" w:w="3888"/>
            <w:tcMar>
              <w:top w:w="60" w:type="dxa"/>
              <w:left w:w="110" w:type="dxa"/>
              <w:bottom w:w="60" w:type="dxa"/>
              <w:right w:w="110" w:type="dxa"/>
            </w:tcMar>
            <w:shd w:val="clear" w:color="auto" w:fill="F5F7F5"/>
          </w:tcPr>
          <w:p>
            <w:pPr>
              <w:spacing w:after="0"/>
            </w:pPr>
            <w:r>
              <w:rPr>
                <w:b w:val="0"/>
                <w:i w:val="0"/>
                <w:color w:val="16261F"/>
                <w:sz w:val="19"/>
              </w:rPr>
              <w:t>Monetary values are integer minor units end to end. Rounding happens once, at a defined point.</w:t>
            </w:r>
          </w:p>
        </w:tc>
        <w:tc>
          <w:tcPr>
            <w:tcW w:type="dxa" w:w="3600"/>
            <w:tcMar>
              <w:top w:w="60" w:type="dxa"/>
              <w:left w:w="110" w:type="dxa"/>
              <w:bottom w:w="60" w:type="dxa"/>
              <w:right w:w="110" w:type="dxa"/>
            </w:tcMar>
            <w:shd w:val="clear" w:color="auto" w:fill="F5F7F5"/>
          </w:tcPr>
          <w:p>
            <w:pPr>
              <w:spacing w:after="0"/>
            </w:pPr>
            <w:r>
              <w:rPr>
                <w:b w:val="0"/>
                <w:i w:val="0"/>
                <w:color w:val="16261F"/>
                <w:sz w:val="19"/>
              </w:rPr>
              <w:t>No floating point anywhere in the calculation chain, including the client.</w:t>
            </w:r>
          </w:p>
        </w:tc>
      </w:tr>
      <w:tr>
        <w:tc>
          <w:tcPr>
            <w:tcW w:type="dxa" w:w="1872"/>
            <w:tcMar>
              <w:top w:w="60" w:type="dxa"/>
              <w:left w:w="110" w:type="dxa"/>
              <w:bottom w:w="60" w:type="dxa"/>
              <w:right w:w="110" w:type="dxa"/>
            </w:tcMar>
          </w:tcPr>
          <w:p>
            <w:pPr>
              <w:spacing w:after="0"/>
            </w:pPr>
            <w:r>
              <w:rPr>
                <w:b w:val="0"/>
                <w:i w:val="0"/>
                <w:color w:val="16261F"/>
                <w:sz w:val="19"/>
              </w:rPr>
              <w:t>External calls are always asynchronous</w:t>
            </w:r>
          </w:p>
        </w:tc>
        <w:tc>
          <w:tcPr>
            <w:tcW w:type="dxa" w:w="3888"/>
            <w:tcMar>
              <w:top w:w="60" w:type="dxa"/>
              <w:left w:w="110" w:type="dxa"/>
              <w:bottom w:w="60" w:type="dxa"/>
              <w:right w:w="110" w:type="dxa"/>
            </w:tcMar>
          </w:tcPr>
          <w:p>
            <w:pPr>
              <w:spacing w:after="0"/>
            </w:pPr>
            <w:r>
              <w:rPr>
                <w:b w:val="0"/>
                <w:i w:val="0"/>
                <w:color w:val="16261F"/>
                <w:sz w:val="19"/>
              </w:rPr>
              <w:t>No user request blocks on a third-party system.</w:t>
            </w:r>
          </w:p>
        </w:tc>
        <w:tc>
          <w:tcPr>
            <w:tcW w:type="dxa" w:w="3600"/>
            <w:tcMar>
              <w:top w:w="60" w:type="dxa"/>
              <w:left w:w="110" w:type="dxa"/>
              <w:bottom w:w="60" w:type="dxa"/>
              <w:right w:w="110" w:type="dxa"/>
            </w:tcMar>
          </w:tcPr>
          <w:p>
            <w:pPr>
              <w:spacing w:after="0"/>
            </w:pPr>
            <w:r>
              <w:rPr>
                <w:b w:val="0"/>
                <w:i w:val="0"/>
                <w:color w:val="16261F"/>
                <w:sz w:val="19"/>
              </w:rPr>
              <w:t>Every integration goes through a queue. Webhooks acknowledge first and process after.</w:t>
            </w:r>
          </w:p>
        </w:tc>
      </w:tr>
      <w:tr>
        <w:tc>
          <w:tcPr>
            <w:tcW w:type="dxa" w:w="1872"/>
            <w:tcMar>
              <w:top w:w="60" w:type="dxa"/>
              <w:left w:w="110" w:type="dxa"/>
              <w:bottom w:w="60" w:type="dxa"/>
              <w:right w:w="110" w:type="dxa"/>
            </w:tcMar>
            <w:shd w:val="clear" w:color="auto" w:fill="F5F7F5"/>
          </w:tcPr>
          <w:p>
            <w:pPr>
              <w:spacing w:after="0"/>
            </w:pPr>
            <w:r>
              <w:rPr>
                <w:b w:val="0"/>
                <w:i w:val="0"/>
                <w:color w:val="16261F"/>
                <w:sz w:val="19"/>
              </w:rPr>
              <w:t>Providers sit behind interfaces</w:t>
            </w:r>
          </w:p>
        </w:tc>
        <w:tc>
          <w:tcPr>
            <w:tcW w:type="dxa" w:w="3888"/>
            <w:tcMar>
              <w:top w:w="60" w:type="dxa"/>
              <w:left w:w="110" w:type="dxa"/>
              <w:bottom w:w="60" w:type="dxa"/>
              <w:right w:w="110" w:type="dxa"/>
            </w:tcMar>
            <w:shd w:val="clear" w:color="auto" w:fill="F5F7F5"/>
          </w:tcPr>
          <w:p>
            <w:pPr>
              <w:spacing w:after="0"/>
            </w:pPr>
            <w:r>
              <w:rPr>
                <w:b w:val="0"/>
                <w:i w:val="0"/>
                <w:color w:val="16261F"/>
                <w:sz w:val="19"/>
              </w:rPr>
              <w:t>Gateway, accounting, email and storage are accessed through internal ports.</w:t>
            </w:r>
          </w:p>
        </w:tc>
        <w:tc>
          <w:tcPr>
            <w:tcW w:type="dxa" w:w="3600"/>
            <w:tcMar>
              <w:top w:w="60" w:type="dxa"/>
              <w:left w:w="110" w:type="dxa"/>
              <w:bottom w:w="60" w:type="dxa"/>
              <w:right w:w="110" w:type="dxa"/>
            </w:tcMar>
            <w:shd w:val="clear" w:color="auto" w:fill="F5F7F5"/>
          </w:tcPr>
          <w:p>
            <w:pPr>
              <w:spacing w:after="0"/>
            </w:pPr>
            <w:r>
              <w:rPr>
                <w:b w:val="0"/>
                <w:i w:val="0"/>
                <w:color w:val="16261F"/>
                <w:sz w:val="19"/>
              </w:rPr>
              <w:t>Numbers Gateway can be joined or replaced without touching domain logic.</w:t>
            </w:r>
          </w:p>
        </w:tc>
      </w:tr>
      <w:tr>
        <w:tc>
          <w:tcPr>
            <w:tcW w:type="dxa" w:w="1872"/>
            <w:tcMar>
              <w:top w:w="60" w:type="dxa"/>
              <w:left w:w="110" w:type="dxa"/>
              <w:bottom w:w="60" w:type="dxa"/>
              <w:right w:w="110" w:type="dxa"/>
            </w:tcMar>
          </w:tcPr>
          <w:p>
            <w:pPr>
              <w:spacing w:after="0"/>
            </w:pPr>
            <w:r>
              <w:rPr>
                <w:b w:val="0"/>
                <w:i w:val="0"/>
                <w:color w:val="16261F"/>
                <w:sz w:val="19"/>
              </w:rPr>
              <w:t>State transitions are guarded</w:t>
            </w:r>
          </w:p>
        </w:tc>
        <w:tc>
          <w:tcPr>
            <w:tcW w:type="dxa" w:w="3888"/>
            <w:tcMar>
              <w:top w:w="60" w:type="dxa"/>
              <w:left w:w="110" w:type="dxa"/>
              <w:bottom w:w="60" w:type="dxa"/>
              <w:right w:w="110" w:type="dxa"/>
            </w:tcMar>
          </w:tcPr>
          <w:p>
            <w:pPr>
              <w:spacing w:after="0"/>
            </w:pPr>
            <w:r>
              <w:rPr>
                <w:b w:val="0"/>
                <w:i w:val="0"/>
                <w:color w:val="16261F"/>
                <w:sz w:val="19"/>
              </w:rPr>
              <w:t>Invoice and payment state machines reject invalid or out-of-order transitions explicitly.</w:t>
            </w:r>
          </w:p>
        </w:tc>
        <w:tc>
          <w:tcPr>
            <w:tcW w:type="dxa" w:w="3600"/>
            <w:tcMar>
              <w:top w:w="60" w:type="dxa"/>
              <w:left w:w="110" w:type="dxa"/>
              <w:bottom w:w="60" w:type="dxa"/>
              <w:right w:w="110" w:type="dxa"/>
            </w:tcMar>
          </w:tcPr>
          <w:p>
            <w:pPr>
              <w:spacing w:after="0"/>
            </w:pPr>
            <w:r>
              <w:rPr>
                <w:b w:val="0"/>
                <w:i w:val="0"/>
                <w:color w:val="16261F"/>
                <w:sz w:val="19"/>
              </w:rPr>
              <w:t>A replayed or late webhook cannot corrupt an invoice.</w:t>
            </w:r>
          </w:p>
        </w:tc>
      </w:tr>
    </w:tbl>
    <w:p>
      <w:r>
        <w:br w:type="page"/>
      </w:r>
    </w:p>
    <w:p>
      <w:pPr>
        <w:pStyle w:val="Heading1"/>
      </w:pPr>
      <w:r>
        <w:t>2. System context</w:t>
      </w:r>
    </w:p>
    <w:p>
      <w:pPr>
        <w:spacing w:after="140"/>
      </w:pPr>
      <w:r>
        <w:rPr>
          <w:b w:val="0"/>
          <w:i w:val="0"/>
          <w:color w:val="16261F"/>
          <w:sz w:val="21"/>
        </w:rPr>
        <w:t>The platform sits between merchant staff, their customers, and four classes of external system.</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Merchant    │                                    │   Customer   │    </w:t>
            </w:r>
          </w:p>
          <w:p>
            <w:pPr>
              <w:spacing w:after="0" w:line="240" w:lineRule="auto"/>
            </w:pPr>
            <w:r>
              <w:rPr>
                <w:rFonts w:ascii="Consolas" w:hAnsi="Consolas"/>
                <w:color w:val="16261F"/>
                <w:sz w:val="17"/>
              </w:rPr>
              <w:t xml:space="preserve">   │  staff       │                                    │  (payer)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authenticated                        invoice link │ public     </w:t>
            </w:r>
          </w:p>
          <w:p>
            <w:pPr>
              <w:spacing w:after="0" w:line="240" w:lineRule="auto"/>
            </w:pPr>
            <w:r>
              <w:rPr>
                <w:rFonts w:ascii="Consolas" w:hAnsi="Consolas"/>
                <w:color w:val="16261F"/>
                <w:sz w:val="17"/>
              </w:rPr>
              <w:t xml:space="preserve">          │ web app                              (unguessable)│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MULTI-BRAND INVOICING &amp; PAYMENT PLATFORM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Admin application          Public payment application          ║   </w:t>
            </w:r>
          </w:p>
          <w:p>
            <w:pPr>
              <w:spacing w:after="0" w:line="240" w:lineRule="auto"/>
            </w:pPr>
            <w:r>
              <w:rPr>
                <w:rFonts w:ascii="Consolas" w:hAnsi="Consolas"/>
                <w:color w:val="16261F"/>
                <w:sz w:val="17"/>
              </w:rPr>
              <w:t xml:space="preserve">   ║   Domain services            Integration adapters                ║   </w:t>
            </w:r>
          </w:p>
          <w:p>
            <w:pPr>
              <w:spacing w:after="0" w:line="240" w:lineRule="auto"/>
            </w:pPr>
            <w:r>
              <w:rPr>
                <w:rFonts w:ascii="Consolas" w:hAnsi="Consolas"/>
                <w:color w:val="16261F"/>
                <w:sz w:val="17"/>
              </w:rPr>
              <w:t xml:space="preserve">   ║   Async workers              Document generation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Numbers │ │  Zoho   │    │  Email   │   │  Shopify    │              </w:t>
            </w:r>
          </w:p>
          <w:p>
            <w:pPr>
              <w:spacing w:after="0" w:line="240" w:lineRule="auto"/>
            </w:pPr>
            <w:r>
              <w:rPr>
                <w:rFonts w:ascii="Consolas" w:hAnsi="Consolas"/>
                <w:color w:val="16261F"/>
                <w:sz w:val="17"/>
              </w:rPr>
              <w:t xml:space="preserve">  │ Gateway │ │  Books  │    │ provider │   │  B2B  (P2)  │              </w:t>
            </w:r>
          </w:p>
          <w:p>
            <w:pPr>
              <w:spacing w:after="0" w:line="240" w:lineRule="auto"/>
            </w:pPr>
            <w:r>
              <w:rPr>
                <w:rFonts w:ascii="Consolas" w:hAnsi="Consolas"/>
                <w:color w:val="16261F"/>
                <w:sz w:val="17"/>
              </w:rPr>
              <w:t xml:space="preserve">  │ (cards) │ │(ledger) │    │(delivery)│   │ (wholesale)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w:t>
            </w:r>
          </w:p>
        </w:tc>
      </w:tr>
    </w:tbl>
    <w:p>
      <w:pPr>
        <w:spacing w:after="40"/>
      </w:pPr>
    </w:p>
    <w:p>
      <w:pPr>
        <w:pStyle w:val="Heading2"/>
      </w:pPr>
      <w:r>
        <w:t>2.1 External systems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6"/>
              </w:rPr>
              <w:t>System</w:t>
            </w:r>
          </w:p>
        </w:tc>
        <w:tc>
          <w:tcPr>
            <w:tcW w:type="dxa" w:w="1512"/>
            <w:shd w:val="clear" w:color="auto" w:fill="16261F"/>
            <w:tcMar>
              <w:top w:w="70" w:type="dxa"/>
              <w:left w:w="110" w:type="dxa"/>
              <w:bottom w:w="70" w:type="dxa"/>
              <w:right w:w="110" w:type="dxa"/>
            </w:tcMar>
          </w:tcPr>
          <w:p>
            <w:pPr>
              <w:spacing w:after="0"/>
            </w:pPr>
            <w:r>
              <w:rPr>
                <w:rFonts w:ascii="Calibri" w:hAnsi="Calibri"/>
                <w:b/>
                <w:color w:val="FFFFFF"/>
                <w:sz w:val="16"/>
              </w:rPr>
              <w:t>Direction</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6"/>
              </w:rPr>
              <w:t>Purpose</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6"/>
              </w:rPr>
              <w:t>Failure impact</w:t>
            </w:r>
          </w:p>
        </w:tc>
        <w:tc>
          <w:tcPr>
            <w:tcW w:type="dxa" w:w="936"/>
            <w:shd w:val="clear" w:color="auto" w:fill="16261F"/>
            <w:tcMar>
              <w:top w:w="70" w:type="dxa"/>
              <w:left w:w="110" w:type="dxa"/>
              <w:bottom w:w="70" w:type="dxa"/>
              <w:right w:w="110" w:type="dxa"/>
            </w:tcMar>
          </w:tcPr>
          <w:p>
            <w:pPr>
              <w:spacing w:after="0"/>
            </w:pPr>
            <w:r>
              <w:rPr>
                <w:rFonts w:ascii="Calibri" w:hAnsi="Calibri"/>
                <w:b/>
                <w:color w:val="FFFFFF"/>
                <w:sz w:val="16"/>
              </w:rPr>
              <w:t>Phase</w:t>
            </w:r>
          </w:p>
        </w:tc>
      </w:tr>
      <w:tr>
        <w:tc>
          <w:tcPr>
            <w:tcW w:type="dxa" w:w="1656"/>
            <w:tcMar>
              <w:top w:w="60" w:type="dxa"/>
              <w:left w:w="110" w:type="dxa"/>
              <w:bottom w:w="60" w:type="dxa"/>
              <w:right w:w="110" w:type="dxa"/>
            </w:tcMar>
          </w:tcPr>
          <w:p>
            <w:pPr>
              <w:spacing w:after="0"/>
            </w:pPr>
            <w:r>
              <w:rPr>
                <w:b w:val="0"/>
                <w:i w:val="0"/>
                <w:color w:val="16261F"/>
                <w:sz w:val="17"/>
              </w:rPr>
              <w:t>Numbers Gateway</w:t>
            </w:r>
          </w:p>
        </w:tc>
        <w:tc>
          <w:tcPr>
            <w:tcW w:type="dxa" w:w="1512"/>
            <w:tcMar>
              <w:top w:w="60" w:type="dxa"/>
              <w:left w:w="110" w:type="dxa"/>
              <w:bottom w:w="60" w:type="dxa"/>
              <w:right w:w="110" w:type="dxa"/>
            </w:tcMar>
          </w:tcPr>
          <w:p>
            <w:pPr>
              <w:spacing w:after="0"/>
            </w:pPr>
            <w:r>
              <w:rPr>
                <w:b w:val="0"/>
                <w:i w:val="0"/>
                <w:color w:val="16261F"/>
                <w:sz w:val="17"/>
              </w:rPr>
              <w:t>Outbound + webhook</w:t>
            </w:r>
          </w:p>
        </w:tc>
        <w:tc>
          <w:tcPr>
            <w:tcW w:type="dxa" w:w="2592"/>
            <w:tcMar>
              <w:top w:w="60" w:type="dxa"/>
              <w:left w:w="110" w:type="dxa"/>
              <w:bottom w:w="60" w:type="dxa"/>
              <w:right w:w="110" w:type="dxa"/>
            </w:tcMar>
          </w:tcPr>
          <w:p>
            <w:pPr>
              <w:spacing w:after="0"/>
            </w:pPr>
            <w:r>
              <w:rPr>
                <w:b w:val="0"/>
                <w:i w:val="0"/>
                <w:color w:val="16261F"/>
                <w:sz w:val="17"/>
              </w:rPr>
              <w:t>Card authorisation, capture, refund; settlement notification</w:t>
            </w:r>
          </w:p>
        </w:tc>
        <w:tc>
          <w:tcPr>
            <w:tcW w:type="dxa" w:w="2376"/>
            <w:tcMar>
              <w:top w:w="60" w:type="dxa"/>
              <w:left w:w="110" w:type="dxa"/>
              <w:bottom w:w="60" w:type="dxa"/>
              <w:right w:w="110" w:type="dxa"/>
            </w:tcMar>
          </w:tcPr>
          <w:p>
            <w:pPr>
              <w:spacing w:after="0"/>
            </w:pPr>
            <w:r>
              <w:rPr>
                <w:b w:val="0"/>
                <w:i w:val="0"/>
                <w:color w:val="16261F"/>
                <w:sz w:val="17"/>
              </w:rPr>
              <w:t>Card payment unavailable; invoicing unaffected</w:t>
            </w:r>
          </w:p>
        </w:tc>
        <w:tc>
          <w:tcPr>
            <w:tcW w:type="dxa" w:w="936"/>
            <w:tcMar>
              <w:top w:w="60" w:type="dxa"/>
              <w:left w:w="110" w:type="dxa"/>
              <w:bottom w:w="60" w:type="dxa"/>
              <w:right w:w="110" w:type="dxa"/>
            </w:tcMar>
          </w:tcPr>
          <w:p>
            <w:pPr>
              <w:spacing w:after="0"/>
            </w:pPr>
            <w:r>
              <w:rPr>
                <w:b/>
                <w:i w:val="0"/>
                <w:color w:val="2D6A6A"/>
                <w:sz w:val="17"/>
              </w:rPr>
              <w:t>MVP</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Zoho Books</w:t>
            </w:r>
          </w:p>
        </w:tc>
        <w:tc>
          <w:tcPr>
            <w:tcW w:type="dxa" w:w="1512"/>
            <w:tcMar>
              <w:top w:w="60" w:type="dxa"/>
              <w:left w:w="110" w:type="dxa"/>
              <w:bottom w:w="60" w:type="dxa"/>
              <w:right w:w="110" w:type="dxa"/>
            </w:tcMar>
            <w:shd w:val="clear" w:color="auto" w:fill="F5F7F5"/>
          </w:tcPr>
          <w:p>
            <w:pPr>
              <w:spacing w:after="0"/>
            </w:pPr>
            <w:r>
              <w:rPr>
                <w:b w:val="0"/>
                <w:i w:val="0"/>
                <w:color w:val="16261F"/>
                <w:sz w:val="17"/>
              </w:rPr>
              <w:t>Bidirectional</w:t>
            </w:r>
          </w:p>
        </w:tc>
        <w:tc>
          <w:tcPr>
            <w:tcW w:type="dxa" w:w="2592"/>
            <w:tcMar>
              <w:top w:w="60" w:type="dxa"/>
              <w:left w:w="110" w:type="dxa"/>
              <w:bottom w:w="60" w:type="dxa"/>
              <w:right w:w="110" w:type="dxa"/>
            </w:tcMar>
            <w:shd w:val="clear" w:color="auto" w:fill="F5F7F5"/>
          </w:tcPr>
          <w:p>
            <w:pPr>
              <w:spacing w:after="0"/>
            </w:pPr>
            <w:r>
              <w:rPr>
                <w:b w:val="0"/>
                <w:i w:val="0"/>
                <w:color w:val="16261F"/>
                <w:sz w:val="17"/>
              </w:rPr>
              <w:t>Customers, invoices, payments, tax and item reference data</w:t>
            </w:r>
          </w:p>
        </w:tc>
        <w:tc>
          <w:tcPr>
            <w:tcW w:type="dxa" w:w="2376"/>
            <w:tcMar>
              <w:top w:w="60" w:type="dxa"/>
              <w:left w:w="110" w:type="dxa"/>
              <w:bottom w:w="60" w:type="dxa"/>
              <w:right w:w="110" w:type="dxa"/>
            </w:tcMar>
            <w:shd w:val="clear" w:color="auto" w:fill="F5F7F5"/>
          </w:tcPr>
          <w:p>
            <w:pPr>
              <w:spacing w:after="0"/>
            </w:pPr>
            <w:r>
              <w:rPr>
                <w:b w:val="0"/>
                <w:i w:val="0"/>
                <w:color w:val="16261F"/>
                <w:sz w:val="17"/>
              </w:rPr>
              <w:t>Accounting sync queues; collection unaffected</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r>
      <w:tr>
        <w:tc>
          <w:tcPr>
            <w:tcW w:type="dxa" w:w="1656"/>
            <w:tcMar>
              <w:top w:w="60" w:type="dxa"/>
              <w:left w:w="110" w:type="dxa"/>
              <w:bottom w:w="60" w:type="dxa"/>
              <w:right w:w="110" w:type="dxa"/>
            </w:tcMar>
          </w:tcPr>
          <w:p>
            <w:pPr>
              <w:spacing w:after="0"/>
            </w:pPr>
            <w:r>
              <w:rPr>
                <w:b w:val="0"/>
                <w:i w:val="0"/>
                <w:color w:val="16261F"/>
                <w:sz w:val="17"/>
              </w:rPr>
              <w:t>Email provider</w:t>
            </w:r>
          </w:p>
        </w:tc>
        <w:tc>
          <w:tcPr>
            <w:tcW w:type="dxa" w:w="1512"/>
            <w:tcMar>
              <w:top w:w="60" w:type="dxa"/>
              <w:left w:w="110" w:type="dxa"/>
              <w:bottom w:w="60" w:type="dxa"/>
              <w:right w:w="110" w:type="dxa"/>
            </w:tcMar>
          </w:tcPr>
          <w:p>
            <w:pPr>
              <w:spacing w:after="0"/>
            </w:pPr>
            <w:r>
              <w:rPr>
                <w:b w:val="0"/>
                <w:i w:val="0"/>
                <w:color w:val="16261F"/>
                <w:sz w:val="17"/>
              </w:rPr>
              <w:t>Outbound + webhook</w:t>
            </w:r>
          </w:p>
        </w:tc>
        <w:tc>
          <w:tcPr>
            <w:tcW w:type="dxa" w:w="2592"/>
            <w:tcMar>
              <w:top w:w="60" w:type="dxa"/>
              <w:left w:w="110" w:type="dxa"/>
              <w:bottom w:w="60" w:type="dxa"/>
              <w:right w:w="110" w:type="dxa"/>
            </w:tcMar>
          </w:tcPr>
          <w:p>
            <w:pPr>
              <w:spacing w:after="0"/>
            </w:pPr>
            <w:r>
              <w:rPr>
                <w:b w:val="0"/>
                <w:i w:val="0"/>
                <w:color w:val="16261F"/>
                <w:sz w:val="17"/>
              </w:rPr>
              <w:t>Invoice, reminder and receipt delivery; bounce and open events</w:t>
            </w:r>
          </w:p>
        </w:tc>
        <w:tc>
          <w:tcPr>
            <w:tcW w:type="dxa" w:w="2376"/>
            <w:tcMar>
              <w:top w:w="60" w:type="dxa"/>
              <w:left w:w="110" w:type="dxa"/>
              <w:bottom w:w="60" w:type="dxa"/>
              <w:right w:w="110" w:type="dxa"/>
            </w:tcMar>
          </w:tcPr>
          <w:p>
            <w:pPr>
              <w:spacing w:after="0"/>
            </w:pPr>
            <w:r>
              <w:rPr>
                <w:b w:val="0"/>
                <w:i w:val="0"/>
                <w:color w:val="16261F"/>
                <w:sz w:val="17"/>
              </w:rPr>
              <w:t>Delivery delayed; queued and retried</w:t>
            </w:r>
          </w:p>
        </w:tc>
        <w:tc>
          <w:tcPr>
            <w:tcW w:type="dxa" w:w="936"/>
            <w:tcMar>
              <w:top w:w="60" w:type="dxa"/>
              <w:left w:w="110" w:type="dxa"/>
              <w:bottom w:w="60" w:type="dxa"/>
              <w:right w:w="110" w:type="dxa"/>
            </w:tcMar>
          </w:tcPr>
          <w:p>
            <w:pPr>
              <w:spacing w:after="0"/>
            </w:pPr>
            <w:r>
              <w:rPr>
                <w:b/>
                <w:i w:val="0"/>
                <w:color w:val="2D6A6A"/>
                <w:sz w:val="17"/>
              </w:rPr>
              <w:t>MVP</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Object storage</w:t>
            </w:r>
          </w:p>
        </w:tc>
        <w:tc>
          <w:tcPr>
            <w:tcW w:type="dxa" w:w="1512"/>
            <w:tcMar>
              <w:top w:w="60" w:type="dxa"/>
              <w:left w:w="110" w:type="dxa"/>
              <w:bottom w:w="60" w:type="dxa"/>
              <w:right w:w="110" w:type="dxa"/>
            </w:tcMar>
            <w:shd w:val="clear" w:color="auto" w:fill="F5F7F5"/>
          </w:tcPr>
          <w:p>
            <w:pPr>
              <w:spacing w:after="0"/>
            </w:pPr>
            <w:r>
              <w:rPr>
                <w:b w:val="0"/>
                <w:i w:val="0"/>
                <w:color w:val="16261F"/>
                <w:sz w:val="17"/>
              </w:rPr>
              <w:t>Outbound</w:t>
            </w:r>
          </w:p>
        </w:tc>
        <w:tc>
          <w:tcPr>
            <w:tcW w:type="dxa" w:w="2592"/>
            <w:tcMar>
              <w:top w:w="60" w:type="dxa"/>
              <w:left w:w="110" w:type="dxa"/>
              <w:bottom w:w="60" w:type="dxa"/>
              <w:right w:w="110" w:type="dxa"/>
            </w:tcMar>
            <w:shd w:val="clear" w:color="auto" w:fill="F5F7F5"/>
          </w:tcPr>
          <w:p>
            <w:pPr>
              <w:spacing w:after="0"/>
            </w:pPr>
            <w:r>
              <w:rPr>
                <w:b w:val="0"/>
                <w:i w:val="0"/>
                <w:color w:val="16261F"/>
                <w:sz w:val="17"/>
              </w:rPr>
              <w:t>Generated PDFs, brand logos, check images</w:t>
            </w:r>
          </w:p>
        </w:tc>
        <w:tc>
          <w:tcPr>
            <w:tcW w:type="dxa" w:w="2376"/>
            <w:tcMar>
              <w:top w:w="60" w:type="dxa"/>
              <w:left w:w="110" w:type="dxa"/>
              <w:bottom w:w="60" w:type="dxa"/>
              <w:right w:w="110" w:type="dxa"/>
            </w:tcMar>
            <w:shd w:val="clear" w:color="auto" w:fill="F5F7F5"/>
          </w:tcPr>
          <w:p>
            <w:pPr>
              <w:spacing w:after="0"/>
            </w:pPr>
            <w:r>
              <w:rPr>
                <w:b w:val="0"/>
                <w:i w:val="0"/>
                <w:color w:val="16261F"/>
                <w:sz w:val="17"/>
              </w:rPr>
              <w:t>Document download unavailable; payment unaffected</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r>
      <w:tr>
        <w:tc>
          <w:tcPr>
            <w:tcW w:type="dxa" w:w="1656"/>
            <w:tcMar>
              <w:top w:w="60" w:type="dxa"/>
              <w:left w:w="110" w:type="dxa"/>
              <w:bottom w:w="60" w:type="dxa"/>
              <w:right w:w="110" w:type="dxa"/>
            </w:tcMar>
          </w:tcPr>
          <w:p>
            <w:pPr>
              <w:spacing w:after="0"/>
            </w:pPr>
            <w:r>
              <w:rPr>
                <w:b w:val="0"/>
                <w:i w:val="0"/>
                <w:color w:val="16261F"/>
                <w:sz w:val="17"/>
              </w:rPr>
              <w:t>DNS and certificate authority</w:t>
            </w:r>
          </w:p>
        </w:tc>
        <w:tc>
          <w:tcPr>
            <w:tcW w:type="dxa" w:w="1512"/>
            <w:tcMar>
              <w:top w:w="60" w:type="dxa"/>
              <w:left w:w="110" w:type="dxa"/>
              <w:bottom w:w="60" w:type="dxa"/>
              <w:right w:w="110" w:type="dxa"/>
            </w:tcMar>
          </w:tcPr>
          <w:p>
            <w:pPr>
              <w:spacing w:after="0"/>
            </w:pPr>
            <w:r>
              <w:rPr>
                <w:b w:val="0"/>
                <w:i w:val="0"/>
                <w:color w:val="16261F"/>
                <w:sz w:val="17"/>
              </w:rPr>
              <w:t>Outbound</w:t>
            </w:r>
          </w:p>
        </w:tc>
        <w:tc>
          <w:tcPr>
            <w:tcW w:type="dxa" w:w="2592"/>
            <w:tcMar>
              <w:top w:w="60" w:type="dxa"/>
              <w:left w:w="110" w:type="dxa"/>
              <w:bottom w:w="60" w:type="dxa"/>
              <w:right w:w="110" w:type="dxa"/>
            </w:tcMar>
          </w:tcPr>
          <w:p>
            <w:pPr>
              <w:spacing w:after="0"/>
            </w:pPr>
            <w:r>
              <w:rPr>
                <w:b w:val="0"/>
                <w:i w:val="0"/>
                <w:color w:val="16261F"/>
                <w:sz w:val="17"/>
              </w:rPr>
              <w:t>Custom domain verification and TLS issuance</w:t>
            </w:r>
          </w:p>
        </w:tc>
        <w:tc>
          <w:tcPr>
            <w:tcW w:type="dxa" w:w="2376"/>
            <w:tcMar>
              <w:top w:w="60" w:type="dxa"/>
              <w:left w:w="110" w:type="dxa"/>
              <w:bottom w:w="60" w:type="dxa"/>
              <w:right w:w="110" w:type="dxa"/>
            </w:tcMar>
          </w:tcPr>
          <w:p>
            <w:pPr>
              <w:spacing w:after="0"/>
            </w:pPr>
            <w:r>
              <w:rPr>
                <w:b w:val="0"/>
                <w:i w:val="0"/>
                <w:color w:val="16261F"/>
                <w:sz w:val="17"/>
              </w:rPr>
              <w:t>Brand domains unavailable; platform URLs still serve</w:t>
            </w:r>
          </w:p>
        </w:tc>
        <w:tc>
          <w:tcPr>
            <w:tcW w:type="dxa" w:w="936"/>
            <w:tcMar>
              <w:top w:w="60" w:type="dxa"/>
              <w:left w:w="110" w:type="dxa"/>
              <w:bottom w:w="60" w:type="dxa"/>
              <w:right w:w="110" w:type="dxa"/>
            </w:tcMar>
          </w:tcPr>
          <w:p>
            <w:pPr>
              <w:spacing w:after="0"/>
            </w:pPr>
            <w:r>
              <w:rPr>
                <w:b/>
                <w:i w:val="0"/>
                <w:color w:val="3A6FA8"/>
                <w:sz w:val="17"/>
              </w:rPr>
              <w:t>Phase 2</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Bank verification provider</w:t>
            </w:r>
          </w:p>
        </w:tc>
        <w:tc>
          <w:tcPr>
            <w:tcW w:type="dxa" w:w="1512"/>
            <w:tcMar>
              <w:top w:w="60" w:type="dxa"/>
              <w:left w:w="110" w:type="dxa"/>
              <w:bottom w:w="60" w:type="dxa"/>
              <w:right w:w="110" w:type="dxa"/>
            </w:tcMar>
            <w:shd w:val="clear" w:color="auto" w:fill="F5F7F5"/>
          </w:tcPr>
          <w:p>
            <w:pPr>
              <w:spacing w:after="0"/>
            </w:pPr>
            <w:r>
              <w:rPr>
                <w:b w:val="0"/>
                <w:i w:val="0"/>
                <w:color w:val="16261F"/>
                <w:sz w:val="17"/>
              </w:rPr>
              <w:t>Outbound</w:t>
            </w:r>
          </w:p>
        </w:tc>
        <w:tc>
          <w:tcPr>
            <w:tcW w:type="dxa" w:w="2592"/>
            <w:tcMar>
              <w:top w:w="60" w:type="dxa"/>
              <w:left w:w="110" w:type="dxa"/>
              <w:bottom w:w="60" w:type="dxa"/>
              <w:right w:w="110" w:type="dxa"/>
            </w:tcMar>
            <w:shd w:val="clear" w:color="auto" w:fill="F5F7F5"/>
          </w:tcPr>
          <w:p>
            <w:pPr>
              <w:spacing w:after="0"/>
            </w:pPr>
            <w:r>
              <w:rPr>
                <w:b w:val="0"/>
                <w:i w:val="0"/>
                <w:color w:val="16261F"/>
                <w:sz w:val="17"/>
              </w:rPr>
              <w:t>ACH account linking and verification</w:t>
            </w:r>
          </w:p>
        </w:tc>
        <w:tc>
          <w:tcPr>
            <w:tcW w:type="dxa" w:w="2376"/>
            <w:tcMar>
              <w:top w:w="60" w:type="dxa"/>
              <w:left w:w="110" w:type="dxa"/>
              <w:bottom w:w="60" w:type="dxa"/>
              <w:right w:w="110" w:type="dxa"/>
            </w:tcMar>
            <w:shd w:val="clear" w:color="auto" w:fill="F5F7F5"/>
          </w:tcPr>
          <w:p>
            <w:pPr>
              <w:spacing w:after="0"/>
            </w:pPr>
            <w:r>
              <w:rPr>
                <w:b w:val="0"/>
                <w:i w:val="0"/>
                <w:color w:val="16261F"/>
                <w:sz w:val="17"/>
              </w:rPr>
              <w:t>ACH unavailable; other methods unaffected</w:t>
            </w:r>
          </w:p>
        </w:tc>
        <w:tc>
          <w:tcPr>
            <w:tcW w:type="dxa" w:w="936"/>
            <w:tcMar>
              <w:top w:w="60" w:type="dxa"/>
              <w:left w:w="110" w:type="dxa"/>
              <w:bottom w:w="60" w:type="dxa"/>
              <w:right w:w="110" w:type="dxa"/>
            </w:tcMar>
            <w:shd w:val="clear" w:color="auto" w:fill="F5F7F5"/>
          </w:tcPr>
          <w:p>
            <w:pPr>
              <w:spacing w:after="0"/>
            </w:pPr>
            <w:r>
              <w:rPr>
                <w:b/>
                <w:i w:val="0"/>
                <w:color w:val="3A6FA8"/>
                <w:sz w:val="17"/>
              </w:rPr>
              <w:t>Phase 2</w:t>
            </w:r>
          </w:p>
        </w:tc>
      </w:tr>
      <w:tr>
        <w:tc>
          <w:tcPr>
            <w:tcW w:type="dxa" w:w="1656"/>
            <w:tcMar>
              <w:top w:w="60" w:type="dxa"/>
              <w:left w:w="110" w:type="dxa"/>
              <w:bottom w:w="60" w:type="dxa"/>
              <w:right w:w="110" w:type="dxa"/>
            </w:tcMar>
          </w:tcPr>
          <w:p>
            <w:pPr>
              <w:spacing w:after="0"/>
            </w:pPr>
            <w:r>
              <w:rPr>
                <w:b w:val="0"/>
                <w:i w:val="0"/>
                <w:color w:val="16261F"/>
                <w:sz w:val="17"/>
              </w:rPr>
              <w:t>AI model provider</w:t>
            </w:r>
          </w:p>
        </w:tc>
        <w:tc>
          <w:tcPr>
            <w:tcW w:type="dxa" w:w="1512"/>
            <w:tcMar>
              <w:top w:w="60" w:type="dxa"/>
              <w:left w:w="110" w:type="dxa"/>
              <w:bottom w:w="60" w:type="dxa"/>
              <w:right w:w="110" w:type="dxa"/>
            </w:tcMar>
          </w:tcPr>
          <w:p>
            <w:pPr>
              <w:spacing w:after="0"/>
            </w:pPr>
            <w:r>
              <w:rPr>
                <w:b w:val="0"/>
                <w:i w:val="0"/>
                <w:color w:val="16261F"/>
                <w:sz w:val="17"/>
              </w:rPr>
              <w:t>Outbound</w:t>
            </w:r>
          </w:p>
        </w:tc>
        <w:tc>
          <w:tcPr>
            <w:tcW w:type="dxa" w:w="2592"/>
            <w:tcMar>
              <w:top w:w="60" w:type="dxa"/>
              <w:left w:w="110" w:type="dxa"/>
              <w:bottom w:w="60" w:type="dxa"/>
              <w:right w:w="110" w:type="dxa"/>
            </w:tcMar>
          </w:tcPr>
          <w:p>
            <w:pPr>
              <w:spacing w:after="0"/>
            </w:pPr>
            <w:r>
              <w:rPr>
                <w:b w:val="0"/>
                <w:i w:val="0"/>
                <w:color w:val="16261F"/>
                <w:sz w:val="17"/>
              </w:rPr>
              <w:t>Insight narrative, page design generation</w:t>
            </w:r>
          </w:p>
        </w:tc>
        <w:tc>
          <w:tcPr>
            <w:tcW w:type="dxa" w:w="2376"/>
            <w:tcMar>
              <w:top w:w="60" w:type="dxa"/>
              <w:left w:w="110" w:type="dxa"/>
              <w:bottom w:w="60" w:type="dxa"/>
              <w:right w:w="110" w:type="dxa"/>
            </w:tcMar>
          </w:tcPr>
          <w:p>
            <w:pPr>
              <w:spacing w:after="0"/>
            </w:pPr>
            <w:r>
              <w:rPr>
                <w:b w:val="0"/>
                <w:i w:val="0"/>
                <w:color w:val="16261F"/>
                <w:sz w:val="17"/>
              </w:rPr>
              <w:t>Insight panels degrade; nothing else affected</w:t>
            </w:r>
          </w:p>
        </w:tc>
        <w:tc>
          <w:tcPr>
            <w:tcW w:type="dxa" w:w="936"/>
            <w:tcMar>
              <w:top w:w="60" w:type="dxa"/>
              <w:left w:w="110" w:type="dxa"/>
              <w:bottom w:w="60" w:type="dxa"/>
              <w:right w:w="110" w:type="dxa"/>
            </w:tcMar>
          </w:tcPr>
          <w:p>
            <w:pPr>
              <w:spacing w:after="0"/>
            </w:pPr>
            <w:r>
              <w:rPr>
                <w:b/>
                <w:i w:val="0"/>
                <w:color w:val="3A6FA8"/>
                <w:sz w:val="17"/>
              </w:rPr>
              <w:t>Phase 2</w:t>
            </w:r>
          </w:p>
        </w:tc>
      </w:tr>
      <w:tr>
        <w:tc>
          <w:tcPr>
            <w:tcW w:type="dxa" w:w="1656"/>
            <w:tcMar>
              <w:top w:w="60" w:type="dxa"/>
              <w:left w:w="110" w:type="dxa"/>
              <w:bottom w:w="60" w:type="dxa"/>
              <w:right w:w="110" w:type="dxa"/>
            </w:tcMar>
            <w:shd w:val="clear" w:color="auto" w:fill="F5F7F5"/>
          </w:tcPr>
          <w:p>
            <w:pPr>
              <w:spacing w:after="0"/>
            </w:pPr>
            <w:r>
              <w:rPr>
                <w:b w:val="0"/>
                <w:i w:val="0"/>
                <w:color w:val="16261F"/>
                <w:sz w:val="17"/>
              </w:rPr>
              <w:t>Shopify</w:t>
            </w:r>
          </w:p>
        </w:tc>
        <w:tc>
          <w:tcPr>
            <w:tcW w:type="dxa" w:w="1512"/>
            <w:tcMar>
              <w:top w:w="60" w:type="dxa"/>
              <w:left w:w="110" w:type="dxa"/>
              <w:bottom w:w="60" w:type="dxa"/>
              <w:right w:w="110" w:type="dxa"/>
            </w:tcMar>
            <w:shd w:val="clear" w:color="auto" w:fill="F5F7F5"/>
          </w:tcPr>
          <w:p>
            <w:pPr>
              <w:spacing w:after="0"/>
            </w:pPr>
            <w:r>
              <w:rPr>
                <w:b w:val="0"/>
                <w:i w:val="0"/>
                <w:color w:val="16261F"/>
                <w:sz w:val="17"/>
              </w:rPr>
              <w:t>Bidirectional</w:t>
            </w:r>
          </w:p>
        </w:tc>
        <w:tc>
          <w:tcPr>
            <w:tcW w:type="dxa" w:w="2592"/>
            <w:tcMar>
              <w:top w:w="60" w:type="dxa"/>
              <w:left w:w="110" w:type="dxa"/>
              <w:bottom w:w="60" w:type="dxa"/>
              <w:right w:w="110" w:type="dxa"/>
            </w:tcMar>
            <w:shd w:val="clear" w:color="auto" w:fill="F5F7F5"/>
          </w:tcPr>
          <w:p>
            <w:pPr>
              <w:spacing w:after="0"/>
            </w:pPr>
            <w:r>
              <w:rPr>
                <w:b w:val="0"/>
                <w:i w:val="0"/>
                <w:color w:val="16261F"/>
                <w:sz w:val="17"/>
              </w:rPr>
              <w:t>B2B draft orders and quotes</w:t>
            </w:r>
          </w:p>
        </w:tc>
        <w:tc>
          <w:tcPr>
            <w:tcW w:type="dxa" w:w="2376"/>
            <w:tcMar>
              <w:top w:w="60" w:type="dxa"/>
              <w:left w:w="110" w:type="dxa"/>
              <w:bottom w:w="60" w:type="dxa"/>
              <w:right w:w="110" w:type="dxa"/>
            </w:tcMar>
            <w:shd w:val="clear" w:color="auto" w:fill="F5F7F5"/>
          </w:tcPr>
          <w:p>
            <w:pPr>
              <w:spacing w:after="0"/>
            </w:pPr>
            <w:r>
              <w:rPr>
                <w:b w:val="0"/>
                <w:i w:val="0"/>
                <w:color w:val="16261F"/>
                <w:sz w:val="17"/>
              </w:rPr>
              <w:t>Wholesale import unavailable</w:t>
            </w:r>
          </w:p>
        </w:tc>
        <w:tc>
          <w:tcPr>
            <w:tcW w:type="dxa" w:w="936"/>
            <w:tcMar>
              <w:top w:w="60" w:type="dxa"/>
              <w:left w:w="110" w:type="dxa"/>
              <w:bottom w:w="60" w:type="dxa"/>
              <w:right w:w="110" w:type="dxa"/>
            </w:tcMar>
            <w:shd w:val="clear" w:color="auto" w:fill="F5F7F5"/>
          </w:tcPr>
          <w:p>
            <w:pPr>
              <w:spacing w:after="0"/>
            </w:pPr>
            <w:r>
              <w:rPr>
                <w:b/>
                <w:i w:val="0"/>
                <w:color w:val="3A6FA8"/>
                <w:sz w:val="17"/>
              </w:rPr>
              <w:t>Phase 2</w:t>
            </w:r>
          </w:p>
        </w:tc>
      </w:tr>
    </w:tbl>
    <w:p>
      <w:r>
        <w:br w:type="page"/>
      </w:r>
    </w:p>
    <w:p>
      <w:pPr>
        <w:pStyle w:val="Heading1"/>
      </w:pPr>
      <w:r>
        <w:t>3. Architecture overview</w:t>
      </w:r>
    </w:p>
    <w:p>
      <w:pPr>
        <w:pStyle w:val="Heading2"/>
      </w:pPr>
      <w:r>
        <w:t>3.1 Style</w:t>
      </w:r>
    </w:p>
    <w:p>
      <w:pPr>
        <w:spacing w:after="140"/>
      </w:pPr>
      <w:r>
        <w:rPr>
          <w:b w:val="0"/>
          <w:i w:val="0"/>
          <w:color w:val="16261F"/>
          <w:sz w:val="21"/>
        </w:rPr>
        <w:t>A modular monolith with separately deployable asynchronous workers, fronted by two distinct web entry points. This is deliberate: the domain is small enough that microservice boundaries would cost more in operational complexity than they return, but the payment path has different availability, security and scaling characteristics from the admin application and is therefore separated at the deployment boundary.</w:t>
      </w:r>
    </w:p>
    <w:p>
      <w:pPr>
        <w:pBdr>
          <w:left w:val="single" w:sz="18" w:space="10" w:color="2D6A6A"/>
        </w:pBdr>
        <w:shd w:val="clear" w:color="auto" w:fill="EDF1EE"/>
        <w:spacing w:before="160" w:after="180"/>
        <w:ind w:left="173"/>
      </w:pPr>
      <w:r>
        <w:rPr>
          <w:b/>
          <w:color w:val="2D6A6A"/>
          <w:sz w:val="17"/>
        </w:rPr>
        <w:t xml:space="preserve">WHY NOT MICROSERVICES  </w:t>
      </w:r>
      <w:r>
        <w:rPr>
          <w:color w:val="16261F"/>
          <w:sz w:val="20"/>
        </w:rPr>
        <w:t>At the Month-12 load model — 5,000 invoices and 4,500 transactions per month — a distributed architecture would introduce network partitions, distributed transactions and operational overhead in exchange for scaling headroom the system will not need for years. Modules are kept internally separated so that extraction remains possible if volume ever justifies it. See ADR-001.</w:t>
      </w:r>
    </w:p>
    <w:p>
      <w:pPr>
        <w:pStyle w:val="Heading2"/>
      </w:pPr>
      <w:r>
        <w:t>3.2 Layered view</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ENTRY POINTS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Admin application    │      │ Public payment application    │  │  </w:t>
            </w:r>
          </w:p>
          <w:p>
            <w:pPr>
              <w:spacing w:after="0" w:line="240" w:lineRule="auto"/>
            </w:pPr>
            <w:r>
              <w:rPr>
                <w:rFonts w:ascii="Consolas" w:hAnsi="Consolas"/>
                <w:color w:val="16261F"/>
                <w:sz w:val="17"/>
              </w:rPr>
              <w:t xml:space="preserve">  │  │ authenticated, RBAC  │      │ anonymous, signed links       │  │  </w:t>
            </w:r>
          </w:p>
          <w:p>
            <w:pPr>
              <w:spacing w:after="0" w:line="240" w:lineRule="auto"/>
            </w:pPr>
            <w:r>
              <w:rPr>
                <w:rFonts w:ascii="Consolas" w:hAnsi="Consolas"/>
                <w:color w:val="16261F"/>
                <w:sz w:val="17"/>
              </w:rPr>
              <w:t xml:space="preserve">  │  │ merchant staff       │      │ hardened, minimal, CSP-locked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APPLICATION SERVICES        (use cases, transaction boundaries)   │  </w:t>
            </w:r>
          </w:p>
          <w:p>
            <w:pPr>
              <w:spacing w:after="0" w:line="240" w:lineRule="auto"/>
            </w:pPr>
            <w:r>
              <w:rPr>
                <w:rFonts w:ascii="Consolas" w:hAnsi="Consolas"/>
                <w:color w:val="16261F"/>
                <w:sz w:val="17"/>
              </w:rPr>
              <w:t xml:space="preserve">  │  InvoiceService · PaymentService · CustomerService · BrandService  │  </w:t>
            </w:r>
          </w:p>
          <w:p>
            <w:pPr>
              <w:spacing w:after="0" w:line="240" w:lineRule="auto"/>
            </w:pPr>
            <w:r>
              <w:rPr>
                <w:rFonts w:ascii="Consolas" w:hAnsi="Consolas"/>
                <w:color w:val="16261F"/>
                <w:sz w:val="17"/>
              </w:rPr>
              <w:t xml:space="preserve">  │  TemplateService · SyncService · ReportService · AuthService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DOMAIN            (entities, state machines, money arithmetic)    │  </w:t>
            </w:r>
          </w:p>
          <w:p>
            <w:pPr>
              <w:spacing w:after="0" w:line="240" w:lineRule="auto"/>
            </w:pPr>
            <w:r>
              <w:rPr>
                <w:rFonts w:ascii="Consolas" w:hAnsi="Consolas"/>
                <w:color w:val="16261F"/>
                <w:sz w:val="17"/>
              </w:rPr>
              <w:t xml:space="preserve">  │  Invoice · LineItem · Payment · Customer · Brand · Money · TaxCalc │  </w:t>
            </w:r>
          </w:p>
          <w:p>
            <w:pPr>
              <w:spacing w:after="0" w:line="240" w:lineRule="auto"/>
            </w:pPr>
            <w:r>
              <w:rPr>
                <w:rFonts w:ascii="Consolas" w:hAnsi="Consolas"/>
                <w:color w:val="16261F"/>
                <w:sz w:val="17"/>
              </w:rPr>
              <w:t xml:space="preserve">  │  No framework, no I/O, no external types. Pure and unit-testable.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PORTS  (interfaces the domain depends on, implementations do not) │  </w:t>
            </w:r>
          </w:p>
          <w:p>
            <w:pPr>
              <w:spacing w:after="0" w:line="240" w:lineRule="auto"/>
            </w:pPr>
            <w:r>
              <w:rPr>
                <w:rFonts w:ascii="Consolas" w:hAnsi="Consolas"/>
                <w:color w:val="16261F"/>
                <w:sz w:val="17"/>
              </w:rPr>
              <w:t xml:space="preserve">  │  PaymentGatewayPort · AccountingPort · MailPort · StoragePort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ADAPTERS &amp; INFRASTRUCTURE                                         │  </w:t>
            </w:r>
          </w:p>
          <w:p>
            <w:pPr>
              <w:spacing w:after="0" w:line="240" w:lineRule="auto"/>
            </w:pPr>
            <w:r>
              <w:rPr>
                <w:rFonts w:ascii="Consolas" w:hAnsi="Consolas"/>
                <w:color w:val="16261F"/>
                <w:sz w:val="17"/>
              </w:rPr>
              <w:t xml:space="preserve">  │  NumbersGatewayAdapter · ZohoAdapter · MailAdapter · S3Adapter     │  </w:t>
            </w:r>
          </w:p>
          <w:p>
            <w:pPr>
              <w:spacing w:after="0" w:line="240" w:lineRule="auto"/>
            </w:pPr>
            <w:r>
              <w:rPr>
                <w:rFonts w:ascii="Consolas" w:hAnsi="Consolas"/>
                <w:color w:val="16261F"/>
                <w:sz w:val="17"/>
              </w:rPr>
              <w:t xml:space="preserve">  │  Repositories · Queue · Cache · Scheduler                          │  </w:t>
            </w:r>
          </w:p>
          <w:p>
            <w:pPr>
              <w:spacing w:after="0" w:line="240" w:lineRule="auto"/>
            </w:pPr>
            <w:r>
              <w:rPr>
                <w:rFonts w:ascii="Consolas" w:hAnsi="Consolas"/>
                <w:color w:val="16261F"/>
                <w:sz w:val="17"/>
              </w:rPr>
              <w:t xml:space="preserve">  └────────────────────────────────────────────────────────────────────┘  </w:t>
            </w:r>
          </w:p>
        </w:tc>
      </w:tr>
    </w:tbl>
    <w:p>
      <w:pPr>
        <w:spacing w:after="40"/>
      </w:pPr>
    </w:p>
    <w:p>
      <w:pPr>
        <w:spacing w:after="140"/>
      </w:pPr>
      <w:r>
        <w:rPr>
          <w:b w:val="0"/>
          <w:i w:val="0"/>
          <w:color w:val="16261F"/>
          <w:sz w:val="21"/>
        </w:rPr>
        <w:t>The dependency rule is one-directional: entry points depend on application services, which depend on the domain, which depends only on ports. Adapters implement ports and are wired at composition time. Nothing in the domain layer imports a framework type, a database type or an HTTP type.</w:t>
      </w:r>
    </w:p>
    <w:p>
      <w:pPr>
        <w:pStyle w:val="Heading2"/>
      </w:pPr>
      <w:r>
        <w:t>3.3 Why two web applications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Characteristic</w:t>
            </w:r>
          </w:p>
        </w:tc>
        <w:tc>
          <w:tcPr>
            <w:tcW w:type="dxa" w:w="3456"/>
            <w:shd w:val="clear" w:color="auto" w:fill="16261F"/>
            <w:tcMar>
              <w:top w:w="70" w:type="dxa"/>
              <w:left w:w="110" w:type="dxa"/>
              <w:bottom w:w="70" w:type="dxa"/>
              <w:right w:w="110" w:type="dxa"/>
            </w:tcMar>
          </w:tcPr>
          <w:p>
            <w:pPr>
              <w:spacing w:after="0"/>
            </w:pPr>
            <w:r>
              <w:rPr>
                <w:rFonts w:ascii="Calibri" w:hAnsi="Calibri"/>
                <w:b/>
                <w:color w:val="FFFFFF"/>
                <w:sz w:val="18"/>
              </w:rPr>
              <w:t>Admin application</w:t>
            </w:r>
          </w:p>
        </w:tc>
        <w:tc>
          <w:tcPr>
            <w:tcW w:type="dxa" w:w="3744"/>
            <w:shd w:val="clear" w:color="auto" w:fill="16261F"/>
            <w:tcMar>
              <w:top w:w="70" w:type="dxa"/>
              <w:left w:w="110" w:type="dxa"/>
              <w:bottom w:w="70" w:type="dxa"/>
              <w:right w:w="110" w:type="dxa"/>
            </w:tcMar>
          </w:tcPr>
          <w:p>
            <w:pPr>
              <w:spacing w:after="0"/>
            </w:pPr>
            <w:r>
              <w:rPr>
                <w:rFonts w:ascii="Calibri" w:hAnsi="Calibri"/>
                <w:b/>
                <w:color w:val="FFFFFF"/>
                <w:sz w:val="18"/>
              </w:rPr>
              <w:t>Public payment application</w:t>
            </w:r>
          </w:p>
        </w:tc>
      </w:tr>
      <w:tr>
        <w:tc>
          <w:tcPr>
            <w:tcW w:type="dxa" w:w="2160"/>
            <w:tcMar>
              <w:top w:w="60" w:type="dxa"/>
              <w:left w:w="110" w:type="dxa"/>
              <w:bottom w:w="60" w:type="dxa"/>
              <w:right w:w="110" w:type="dxa"/>
            </w:tcMar>
          </w:tcPr>
          <w:p>
            <w:pPr>
              <w:spacing w:after="0"/>
            </w:pPr>
            <w:r>
              <w:rPr>
                <w:b w:val="0"/>
                <w:i w:val="0"/>
                <w:color w:val="16261F"/>
                <w:sz w:val="19"/>
              </w:rPr>
              <w:t>Audience</w:t>
            </w:r>
          </w:p>
        </w:tc>
        <w:tc>
          <w:tcPr>
            <w:tcW w:type="dxa" w:w="3456"/>
            <w:tcMar>
              <w:top w:w="60" w:type="dxa"/>
              <w:left w:w="110" w:type="dxa"/>
              <w:bottom w:w="60" w:type="dxa"/>
              <w:right w:w="110" w:type="dxa"/>
            </w:tcMar>
          </w:tcPr>
          <w:p>
            <w:pPr>
              <w:spacing w:after="0"/>
            </w:pPr>
            <w:r>
              <w:rPr>
                <w:b w:val="0"/>
                <w:i w:val="0"/>
                <w:color w:val="16261F"/>
                <w:sz w:val="19"/>
              </w:rPr>
              <w:t>Authenticated merchant staff</w:t>
            </w:r>
          </w:p>
        </w:tc>
        <w:tc>
          <w:tcPr>
            <w:tcW w:type="dxa" w:w="3744"/>
            <w:tcMar>
              <w:top w:w="60" w:type="dxa"/>
              <w:left w:w="110" w:type="dxa"/>
              <w:bottom w:w="60" w:type="dxa"/>
              <w:right w:w="110" w:type="dxa"/>
            </w:tcMar>
          </w:tcPr>
          <w:p>
            <w:pPr>
              <w:spacing w:after="0"/>
            </w:pPr>
            <w:r>
              <w:rPr>
                <w:b w:val="0"/>
                <w:i w:val="0"/>
                <w:color w:val="16261F"/>
                <w:sz w:val="19"/>
              </w:rPr>
              <w:t>Anonymous customers</w:t>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Availability target</w:t>
            </w:r>
          </w:p>
        </w:tc>
        <w:tc>
          <w:tcPr>
            <w:tcW w:type="dxa" w:w="3456"/>
            <w:tcMar>
              <w:top w:w="60" w:type="dxa"/>
              <w:left w:w="110" w:type="dxa"/>
              <w:bottom w:w="60" w:type="dxa"/>
              <w:right w:w="110" w:type="dxa"/>
            </w:tcMar>
            <w:shd w:val="clear" w:color="auto" w:fill="F5F7F5"/>
          </w:tcPr>
          <w:p>
            <w:pPr>
              <w:spacing w:after="0"/>
            </w:pPr>
            <w:r>
              <w:rPr>
                <w:b w:val="0"/>
                <w:i w:val="0"/>
                <w:color w:val="16261F"/>
                <w:sz w:val="19"/>
              </w:rPr>
              <w:t>99.5% (NFR-AVL-002)</w:t>
            </w:r>
          </w:p>
        </w:tc>
        <w:tc>
          <w:tcPr>
            <w:tcW w:type="dxa" w:w="3744"/>
            <w:tcMar>
              <w:top w:w="60" w:type="dxa"/>
              <w:left w:w="110" w:type="dxa"/>
              <w:bottom w:w="60" w:type="dxa"/>
              <w:right w:w="110" w:type="dxa"/>
            </w:tcMar>
            <w:shd w:val="clear" w:color="auto" w:fill="F5F7F5"/>
          </w:tcPr>
          <w:p>
            <w:pPr>
              <w:spacing w:after="0"/>
            </w:pPr>
            <w:r>
              <w:rPr>
                <w:b w:val="0"/>
                <w:i w:val="0"/>
                <w:color w:val="16261F"/>
                <w:sz w:val="19"/>
              </w:rPr>
              <w:t>99.9% (NFR-AVL-001)</w:t>
            </w:r>
          </w:p>
        </w:tc>
      </w:tr>
      <w:tr>
        <w:tc>
          <w:tcPr>
            <w:tcW w:type="dxa" w:w="2160"/>
            <w:tcMar>
              <w:top w:w="60" w:type="dxa"/>
              <w:left w:w="110" w:type="dxa"/>
              <w:bottom w:w="60" w:type="dxa"/>
              <w:right w:w="110" w:type="dxa"/>
            </w:tcMar>
          </w:tcPr>
          <w:p>
            <w:pPr>
              <w:spacing w:after="0"/>
            </w:pPr>
            <w:r>
              <w:rPr>
                <w:b w:val="0"/>
                <w:i w:val="0"/>
                <w:color w:val="16261F"/>
                <w:sz w:val="19"/>
              </w:rPr>
              <w:t>Attack surface</w:t>
            </w:r>
          </w:p>
        </w:tc>
        <w:tc>
          <w:tcPr>
            <w:tcW w:type="dxa" w:w="3456"/>
            <w:tcMar>
              <w:top w:w="60" w:type="dxa"/>
              <w:left w:w="110" w:type="dxa"/>
              <w:bottom w:w="60" w:type="dxa"/>
              <w:right w:w="110" w:type="dxa"/>
            </w:tcMar>
          </w:tcPr>
          <w:p>
            <w:pPr>
              <w:spacing w:after="0"/>
            </w:pPr>
            <w:r>
              <w:rPr>
                <w:b w:val="0"/>
                <w:i w:val="0"/>
                <w:color w:val="16261F"/>
                <w:sz w:val="19"/>
              </w:rPr>
              <w:t>Behind authentication</w:t>
            </w:r>
          </w:p>
        </w:tc>
        <w:tc>
          <w:tcPr>
            <w:tcW w:type="dxa" w:w="3744"/>
            <w:tcMar>
              <w:top w:w="60" w:type="dxa"/>
              <w:left w:w="110" w:type="dxa"/>
              <w:bottom w:w="60" w:type="dxa"/>
              <w:right w:w="110" w:type="dxa"/>
            </w:tcMar>
          </w:tcPr>
          <w:p>
            <w:pPr>
              <w:spacing w:after="0"/>
            </w:pPr>
            <w:r>
              <w:rPr>
                <w:b w:val="0"/>
                <w:i w:val="0"/>
                <w:color w:val="16261F"/>
                <w:sz w:val="19"/>
              </w:rPr>
              <w:t>Fully public, money-handling</w:t>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Content Security Policy</w:t>
            </w:r>
          </w:p>
        </w:tc>
        <w:tc>
          <w:tcPr>
            <w:tcW w:type="dxa" w:w="3456"/>
            <w:tcMar>
              <w:top w:w="60" w:type="dxa"/>
              <w:left w:w="110" w:type="dxa"/>
              <w:bottom w:w="60" w:type="dxa"/>
              <w:right w:w="110" w:type="dxa"/>
            </w:tcMar>
            <w:shd w:val="clear" w:color="auto" w:fill="F5F7F5"/>
          </w:tcPr>
          <w:p>
            <w:pPr>
              <w:spacing w:after="0"/>
            </w:pPr>
            <w:r>
              <w:rPr>
                <w:b w:val="0"/>
                <w:i w:val="0"/>
                <w:color w:val="16261F"/>
                <w:sz w:val="19"/>
              </w:rPr>
              <w:t>Standard</w:t>
            </w:r>
          </w:p>
        </w:tc>
        <w:tc>
          <w:tcPr>
            <w:tcW w:type="dxa" w:w="3744"/>
            <w:tcMar>
              <w:top w:w="60" w:type="dxa"/>
              <w:left w:w="110" w:type="dxa"/>
              <w:bottom w:w="60" w:type="dxa"/>
              <w:right w:w="110" w:type="dxa"/>
            </w:tcMar>
            <w:shd w:val="clear" w:color="auto" w:fill="F5F7F5"/>
          </w:tcPr>
          <w:p>
            <w:pPr>
              <w:spacing w:after="0"/>
            </w:pPr>
            <w:r>
              <w:rPr>
                <w:b w:val="0"/>
                <w:i w:val="0"/>
                <w:color w:val="16261F"/>
                <w:sz w:val="19"/>
              </w:rPr>
              <w:t>Strict; no inline or third-party script</w:t>
            </w:r>
          </w:p>
        </w:tc>
      </w:tr>
      <w:tr>
        <w:tc>
          <w:tcPr>
            <w:tcW w:type="dxa" w:w="2160"/>
            <w:tcMar>
              <w:top w:w="60" w:type="dxa"/>
              <w:left w:w="110" w:type="dxa"/>
              <w:bottom w:w="60" w:type="dxa"/>
              <w:right w:w="110" w:type="dxa"/>
            </w:tcMar>
          </w:tcPr>
          <w:p>
            <w:pPr>
              <w:spacing w:after="0"/>
            </w:pPr>
            <w:r>
              <w:rPr>
                <w:b w:val="0"/>
                <w:i w:val="0"/>
                <w:color w:val="16261F"/>
                <w:sz w:val="19"/>
              </w:rPr>
              <w:t>Payload budget</w:t>
            </w:r>
          </w:p>
        </w:tc>
        <w:tc>
          <w:tcPr>
            <w:tcW w:type="dxa" w:w="3456"/>
            <w:tcMar>
              <w:top w:w="60" w:type="dxa"/>
              <w:left w:w="110" w:type="dxa"/>
              <w:bottom w:w="60" w:type="dxa"/>
              <w:right w:w="110" w:type="dxa"/>
            </w:tcMar>
          </w:tcPr>
          <w:p>
            <w:pPr>
              <w:spacing w:after="0"/>
            </w:pPr>
            <w:r>
              <w:rPr>
                <w:b w:val="0"/>
                <w:i w:val="0"/>
                <w:color w:val="16261F"/>
                <w:sz w:val="19"/>
              </w:rPr>
              <w:t>Unconstrained</w:t>
            </w:r>
          </w:p>
        </w:tc>
        <w:tc>
          <w:tcPr>
            <w:tcW w:type="dxa" w:w="3744"/>
            <w:tcMar>
              <w:top w:w="60" w:type="dxa"/>
              <w:left w:w="110" w:type="dxa"/>
              <w:bottom w:w="60" w:type="dxa"/>
              <w:right w:w="110" w:type="dxa"/>
            </w:tcMar>
          </w:tcPr>
          <w:p>
            <w:pPr>
              <w:spacing w:after="0"/>
            </w:pPr>
            <w:r>
              <w:rPr>
                <w:b w:val="0"/>
                <w:i w:val="0"/>
                <w:color w:val="16261F"/>
                <w:sz w:val="19"/>
              </w:rPr>
              <w:t>400 KB compressed (NFR-PRF-013)</w:t>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Deploy cadence</w:t>
            </w:r>
          </w:p>
        </w:tc>
        <w:tc>
          <w:tcPr>
            <w:tcW w:type="dxa" w:w="3456"/>
            <w:tcMar>
              <w:top w:w="60" w:type="dxa"/>
              <w:left w:w="110" w:type="dxa"/>
              <w:bottom w:w="60" w:type="dxa"/>
              <w:right w:w="110" w:type="dxa"/>
            </w:tcMar>
            <w:shd w:val="clear" w:color="auto" w:fill="F5F7F5"/>
          </w:tcPr>
          <w:p>
            <w:pPr>
              <w:spacing w:after="0"/>
            </w:pPr>
            <w:r>
              <w:rPr>
                <w:b w:val="0"/>
                <w:i w:val="0"/>
                <w:color w:val="16261F"/>
                <w:sz w:val="19"/>
              </w:rPr>
              <w:t>Frequent</w:t>
            </w:r>
          </w:p>
        </w:tc>
        <w:tc>
          <w:tcPr>
            <w:tcW w:type="dxa" w:w="3744"/>
            <w:tcMar>
              <w:top w:w="60" w:type="dxa"/>
              <w:left w:w="110" w:type="dxa"/>
              <w:bottom w:w="60" w:type="dxa"/>
              <w:right w:w="110" w:type="dxa"/>
            </w:tcMar>
            <w:shd w:val="clear" w:color="auto" w:fill="F5F7F5"/>
          </w:tcPr>
          <w:p>
            <w:pPr>
              <w:spacing w:after="0"/>
            </w:pPr>
            <w:r>
              <w:rPr>
                <w:b w:val="0"/>
                <w:i w:val="0"/>
                <w:color w:val="16261F"/>
                <w:sz w:val="19"/>
              </w:rPr>
              <w:t>Conservative; changes reviewed for PCI impact</w:t>
            </w:r>
          </w:p>
        </w:tc>
      </w:tr>
      <w:tr>
        <w:tc>
          <w:tcPr>
            <w:tcW w:type="dxa" w:w="2160"/>
            <w:tcMar>
              <w:top w:w="60" w:type="dxa"/>
              <w:left w:w="110" w:type="dxa"/>
              <w:bottom w:w="60" w:type="dxa"/>
              <w:right w:w="110" w:type="dxa"/>
            </w:tcMar>
          </w:tcPr>
          <w:p>
            <w:pPr>
              <w:spacing w:after="0"/>
            </w:pPr>
            <w:r>
              <w:rPr>
                <w:b w:val="0"/>
                <w:i w:val="0"/>
                <w:color w:val="16261F"/>
                <w:sz w:val="19"/>
              </w:rPr>
              <w:t>Blast radius of a fault</w:t>
            </w:r>
          </w:p>
        </w:tc>
        <w:tc>
          <w:tcPr>
            <w:tcW w:type="dxa" w:w="3456"/>
            <w:tcMar>
              <w:top w:w="60" w:type="dxa"/>
              <w:left w:w="110" w:type="dxa"/>
              <w:bottom w:w="60" w:type="dxa"/>
              <w:right w:w="110" w:type="dxa"/>
            </w:tcMar>
          </w:tcPr>
          <w:p>
            <w:pPr>
              <w:spacing w:after="0"/>
            </w:pPr>
            <w:r>
              <w:rPr>
                <w:b w:val="0"/>
                <w:i w:val="0"/>
                <w:color w:val="16261F"/>
                <w:sz w:val="19"/>
              </w:rPr>
              <w:t>Staff inconvenience</w:t>
            </w:r>
          </w:p>
        </w:tc>
        <w:tc>
          <w:tcPr>
            <w:tcW w:type="dxa" w:w="3744"/>
            <w:tcMar>
              <w:top w:w="60" w:type="dxa"/>
              <w:left w:w="110" w:type="dxa"/>
              <w:bottom w:w="60" w:type="dxa"/>
              <w:right w:w="110" w:type="dxa"/>
            </w:tcMar>
          </w:tcPr>
          <w:p>
            <w:pPr>
              <w:spacing w:after="0"/>
            </w:pPr>
            <w:r>
              <w:rPr>
                <w:b w:val="0"/>
                <w:i w:val="0"/>
                <w:color w:val="16261F"/>
                <w:sz w:val="19"/>
              </w:rPr>
              <w:t>Uncollected revenue</w:t>
            </w:r>
          </w:p>
        </w:tc>
      </w:tr>
    </w:tbl>
    <w:p>
      <w:pPr>
        <w:pBdr>
          <w:left w:val="single" w:sz="18" w:space="10" w:color="2D6A6A"/>
        </w:pBdr>
        <w:shd w:val="clear" w:color="auto" w:fill="EDF1EE"/>
        <w:spacing w:before="160" w:after="180"/>
        <w:ind w:left="173"/>
      </w:pPr>
      <w:r>
        <w:rPr>
          <w:b/>
          <w:color w:val="2D6A6A"/>
          <w:sz w:val="17"/>
        </w:rPr>
        <w:t xml:space="preserve">CONSEQUENCE  </w:t>
      </w:r>
      <w:r>
        <w:rPr>
          <w:color w:val="16261F"/>
          <w:sz w:val="20"/>
        </w:rPr>
        <w:t>Separating these means an admin deployment cannot take down the payment path, and the payment application's dependency tree stays small enough to keep it inside PCI SAQ A scope. A third-party analytics script added to the admin app is a product decision; on the payment app it is a compliance breach.</w:t>
      </w:r>
    </w:p>
    <w:p>
      <w:r>
        <w:br w:type="page"/>
      </w:r>
    </w:p>
    <w:p>
      <w:pPr>
        <w:pStyle w:val="Heading1"/>
      </w:pPr>
      <w:r>
        <w:t>4. Component design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Component</w:t>
            </w:r>
          </w:p>
        </w:tc>
        <w:tc>
          <w:tcPr>
            <w:tcW w:type="dxa" w:w="4392"/>
            <w:shd w:val="clear" w:color="auto" w:fill="16261F"/>
            <w:tcMar>
              <w:top w:w="70" w:type="dxa"/>
              <w:left w:w="110" w:type="dxa"/>
              <w:bottom w:w="70" w:type="dxa"/>
              <w:right w:w="110" w:type="dxa"/>
            </w:tcMar>
          </w:tcPr>
          <w:p>
            <w:pPr>
              <w:spacing w:after="0"/>
            </w:pPr>
            <w:r>
              <w:rPr>
                <w:rFonts w:ascii="Calibri" w:hAnsi="Calibri"/>
                <w:b/>
                <w:color w:val="FFFFFF"/>
                <w:sz w:val="17"/>
              </w:rPr>
              <w:t>Responsibility</w:t>
            </w:r>
          </w:p>
        </w:tc>
        <w:tc>
          <w:tcPr>
            <w:tcW w:type="dxa" w:w="3024"/>
            <w:shd w:val="clear" w:color="auto" w:fill="16261F"/>
            <w:tcMar>
              <w:top w:w="70" w:type="dxa"/>
              <w:left w:w="110" w:type="dxa"/>
              <w:bottom w:w="70" w:type="dxa"/>
              <w:right w:w="110" w:type="dxa"/>
            </w:tcMar>
          </w:tcPr>
          <w:p>
            <w:pPr>
              <w:spacing w:after="0"/>
            </w:pPr>
            <w:r>
              <w:rPr>
                <w:rFonts w:ascii="Calibri" w:hAnsi="Calibri"/>
                <w:b/>
                <w:color w:val="FFFFFF"/>
                <w:sz w:val="17"/>
              </w:rPr>
              <w:t>Key collaborators</w:t>
            </w:r>
          </w:p>
        </w:tc>
      </w:tr>
      <w:tr>
        <w:tc>
          <w:tcPr>
            <w:tcW w:type="dxa" w:w="1944"/>
            <w:tcMar>
              <w:top w:w="60" w:type="dxa"/>
              <w:left w:w="110" w:type="dxa"/>
              <w:bottom w:w="60" w:type="dxa"/>
              <w:right w:w="110" w:type="dxa"/>
            </w:tcMar>
          </w:tcPr>
          <w:p>
            <w:pPr>
              <w:spacing w:after="0"/>
            </w:pPr>
            <w:r>
              <w:rPr>
                <w:b w:val="0"/>
                <w:i w:val="0"/>
                <w:color w:val="16261F"/>
                <w:sz w:val="18"/>
              </w:rPr>
              <w:t>AuthService</w:t>
            </w:r>
          </w:p>
        </w:tc>
        <w:tc>
          <w:tcPr>
            <w:tcW w:type="dxa" w:w="4392"/>
            <w:tcMar>
              <w:top w:w="60" w:type="dxa"/>
              <w:left w:w="110" w:type="dxa"/>
              <w:bottom w:w="60" w:type="dxa"/>
              <w:right w:w="110" w:type="dxa"/>
            </w:tcMar>
          </w:tcPr>
          <w:p>
            <w:pPr>
              <w:spacing w:after="0"/>
            </w:pPr>
            <w:r>
              <w:rPr>
                <w:b w:val="0"/>
                <w:i w:val="0"/>
                <w:color w:val="16261F"/>
                <w:sz w:val="18"/>
              </w:rPr>
              <w:t>Credential verification, session issue and revocation, password lifecycle, lockout.</w:t>
            </w:r>
          </w:p>
        </w:tc>
        <w:tc>
          <w:tcPr>
            <w:tcW w:type="dxa" w:w="3024"/>
            <w:tcMar>
              <w:top w:w="60" w:type="dxa"/>
              <w:left w:w="110" w:type="dxa"/>
              <w:bottom w:w="60" w:type="dxa"/>
              <w:right w:w="110" w:type="dxa"/>
            </w:tcMar>
          </w:tcPr>
          <w:p>
            <w:pPr>
              <w:spacing w:after="0"/>
            </w:pPr>
            <w:r>
              <w:rPr>
                <w:b w:val="0"/>
                <w:i w:val="0"/>
                <w:color w:val="16261F"/>
                <w:sz w:val="18"/>
              </w:rPr>
              <w:t>UserRepo, MailPort, AuditService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AuthorisationGuard</w:t>
            </w:r>
          </w:p>
        </w:tc>
        <w:tc>
          <w:tcPr>
            <w:tcW w:type="dxa" w:w="4392"/>
            <w:tcMar>
              <w:top w:w="60" w:type="dxa"/>
              <w:left w:w="110" w:type="dxa"/>
              <w:bottom w:w="60" w:type="dxa"/>
              <w:right w:w="110" w:type="dxa"/>
            </w:tcMar>
            <w:shd w:val="clear" w:color="auto" w:fill="F5F7F5"/>
          </w:tcPr>
          <w:p>
            <w:pPr>
              <w:spacing w:after="0"/>
            </w:pPr>
            <w:r>
              <w:rPr>
                <w:b w:val="0"/>
                <w:i w:val="0"/>
                <w:color w:val="16261F"/>
                <w:sz w:val="18"/>
              </w:rPr>
              <w:t>Evaluates role and brand scope on every request before any handler runs.</w:t>
            </w:r>
          </w:p>
        </w:tc>
        <w:tc>
          <w:tcPr>
            <w:tcW w:type="dxa" w:w="3024"/>
            <w:tcMar>
              <w:top w:w="60" w:type="dxa"/>
              <w:left w:w="110" w:type="dxa"/>
              <w:bottom w:w="60" w:type="dxa"/>
              <w:right w:w="110" w:type="dxa"/>
            </w:tcMar>
            <w:shd w:val="clear" w:color="auto" w:fill="F5F7F5"/>
          </w:tcPr>
          <w:p>
            <w:pPr>
              <w:spacing w:after="0"/>
            </w:pPr>
            <w:r>
              <w:rPr>
                <w:b w:val="0"/>
                <w:i w:val="0"/>
                <w:color w:val="16261F"/>
                <w:sz w:val="18"/>
              </w:rPr>
              <w:t>SessionContext, BrandAssignmentRepo</w:t>
            </w:r>
          </w:p>
        </w:tc>
      </w:tr>
      <w:tr>
        <w:tc>
          <w:tcPr>
            <w:tcW w:type="dxa" w:w="1944"/>
            <w:tcMar>
              <w:top w:w="60" w:type="dxa"/>
              <w:left w:w="110" w:type="dxa"/>
              <w:bottom w:w="60" w:type="dxa"/>
              <w:right w:w="110" w:type="dxa"/>
            </w:tcMar>
          </w:tcPr>
          <w:p>
            <w:pPr>
              <w:spacing w:after="0"/>
            </w:pPr>
            <w:r>
              <w:rPr>
                <w:b w:val="0"/>
                <w:i w:val="0"/>
                <w:color w:val="16261F"/>
                <w:sz w:val="18"/>
              </w:rPr>
              <w:t>BrandService</w:t>
            </w:r>
          </w:p>
        </w:tc>
        <w:tc>
          <w:tcPr>
            <w:tcW w:type="dxa" w:w="4392"/>
            <w:tcMar>
              <w:top w:w="60" w:type="dxa"/>
              <w:left w:w="110" w:type="dxa"/>
              <w:bottom w:w="60" w:type="dxa"/>
              <w:right w:w="110" w:type="dxa"/>
            </w:tcMar>
          </w:tcPr>
          <w:p>
            <w:pPr>
              <w:spacing w:after="0"/>
            </w:pPr>
            <w:r>
              <w:rPr>
                <w:b w:val="0"/>
                <w:i w:val="0"/>
                <w:color w:val="16261F"/>
                <w:sz w:val="18"/>
              </w:rPr>
              <w:t>Brand lifecycle, configuration, defaults, invoice number sequence allocation.</w:t>
            </w:r>
          </w:p>
        </w:tc>
        <w:tc>
          <w:tcPr>
            <w:tcW w:type="dxa" w:w="3024"/>
            <w:tcMar>
              <w:top w:w="60" w:type="dxa"/>
              <w:left w:w="110" w:type="dxa"/>
              <w:bottom w:w="60" w:type="dxa"/>
              <w:right w:w="110" w:type="dxa"/>
            </w:tcMar>
          </w:tcPr>
          <w:p>
            <w:pPr>
              <w:spacing w:after="0"/>
            </w:pPr>
            <w:r>
              <w:rPr>
                <w:b w:val="0"/>
                <w:i w:val="0"/>
                <w:color w:val="16261F"/>
                <w:sz w:val="18"/>
              </w:rPr>
              <w:t>BrandRepo, AuditService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CustomerService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Customer lifecycle, search, history aggregation, Zoho identity reconciliation.</w:t>
            </w:r>
          </w:p>
        </w:tc>
        <w:tc>
          <w:tcPr>
            <w:tcW w:type="dxa" w:w="3024"/>
            <w:tcMar>
              <w:top w:w="60" w:type="dxa"/>
              <w:left w:w="110" w:type="dxa"/>
              <w:bottom w:w="60" w:type="dxa"/>
              <w:right w:w="110" w:type="dxa"/>
            </w:tcMar>
            <w:shd w:val="clear" w:color="auto" w:fill="F5F7F5"/>
          </w:tcPr>
          <w:p>
            <w:pPr>
              <w:spacing w:after="0"/>
            </w:pPr>
            <w:r>
              <w:rPr>
                <w:b w:val="0"/>
                <w:i w:val="0"/>
                <w:color w:val="16261F"/>
                <w:sz w:val="18"/>
              </w:rPr>
              <w:t>CustomerRepo, AccountingPort</w:t>
            </w:r>
          </w:p>
        </w:tc>
      </w:tr>
      <w:tr>
        <w:tc>
          <w:tcPr>
            <w:tcW w:type="dxa" w:w="1944"/>
            <w:tcMar>
              <w:top w:w="60" w:type="dxa"/>
              <w:left w:w="110" w:type="dxa"/>
              <w:bottom w:w="60" w:type="dxa"/>
              <w:right w:w="110" w:type="dxa"/>
            </w:tcMar>
          </w:tcPr>
          <w:p>
            <w:pPr>
              <w:spacing w:after="0"/>
            </w:pPr>
            <w:r>
              <w:rPr>
                <w:b w:val="0"/>
                <w:i w:val="0"/>
                <w:color w:val="16261F"/>
                <w:sz w:val="18"/>
              </w:rPr>
              <w:t>InvoiceService</w:t>
            </w:r>
          </w:p>
        </w:tc>
        <w:tc>
          <w:tcPr>
            <w:tcW w:type="dxa" w:w="4392"/>
            <w:tcMar>
              <w:top w:w="60" w:type="dxa"/>
              <w:left w:w="110" w:type="dxa"/>
              <w:bottom w:w="60" w:type="dxa"/>
              <w:right w:w="110" w:type="dxa"/>
            </w:tcMar>
          </w:tcPr>
          <w:p>
            <w:pPr>
              <w:spacing w:after="0"/>
            </w:pPr>
            <w:r>
              <w:rPr>
                <w:b w:val="0"/>
                <w:i w:val="0"/>
                <w:color w:val="16261F"/>
                <w:sz w:val="18"/>
              </w:rPr>
              <w:t>Invoice lifecycle, line item management, status transition, issue and cancel.</w:t>
            </w:r>
          </w:p>
        </w:tc>
        <w:tc>
          <w:tcPr>
            <w:tcW w:type="dxa" w:w="3024"/>
            <w:tcMar>
              <w:top w:w="60" w:type="dxa"/>
              <w:left w:w="110" w:type="dxa"/>
              <w:bottom w:w="60" w:type="dxa"/>
              <w:right w:w="110" w:type="dxa"/>
            </w:tcMar>
          </w:tcPr>
          <w:p>
            <w:pPr>
              <w:spacing w:after="0"/>
            </w:pPr>
            <w:r>
              <w:rPr>
                <w:b w:val="0"/>
                <w:i w:val="0"/>
                <w:color w:val="16261F"/>
                <w:sz w:val="18"/>
              </w:rPr>
              <w:t>InvoiceRepo, CalculationService, MailPort, SyncService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CalculationService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Subtotal, tax, card fee and total computation. Pure; no I/O.</w:t>
            </w:r>
          </w:p>
        </w:tc>
        <w:tc>
          <w:tcPr>
            <w:tcW w:type="dxa" w:w="3024"/>
            <w:tcMar>
              <w:top w:w="60" w:type="dxa"/>
              <w:left w:w="110" w:type="dxa"/>
              <w:bottom w:w="60" w:type="dxa"/>
              <w:right w:w="110" w:type="dxa"/>
            </w:tcMar>
            <w:shd w:val="clear" w:color="auto" w:fill="F5F7F5"/>
          </w:tcPr>
          <w:p>
            <w:pPr>
              <w:spacing w:after="0"/>
            </w:pPr>
            <w:r>
              <w:rPr>
                <w:b w:val="0"/>
                <w:i w:val="0"/>
                <w:color w:val="16261F"/>
                <w:sz w:val="18"/>
              </w:rPr>
              <w:t>Money, TaxPolicy, FeePolicy</w:t>
            </w:r>
          </w:p>
        </w:tc>
      </w:tr>
      <w:tr>
        <w:tc>
          <w:tcPr>
            <w:tcW w:type="dxa" w:w="1944"/>
            <w:tcMar>
              <w:top w:w="60" w:type="dxa"/>
              <w:left w:w="110" w:type="dxa"/>
              <w:bottom w:w="60" w:type="dxa"/>
              <w:right w:w="110" w:type="dxa"/>
            </w:tcMar>
          </w:tcPr>
          <w:p>
            <w:pPr>
              <w:spacing w:after="0"/>
            </w:pPr>
            <w:r>
              <w:rPr>
                <w:b w:val="0"/>
                <w:i w:val="0"/>
                <w:color w:val="16261F"/>
                <w:sz w:val="18"/>
              </w:rPr>
              <w:t>PaymentService</w:t>
            </w:r>
          </w:p>
        </w:tc>
        <w:tc>
          <w:tcPr>
            <w:tcW w:type="dxa" w:w="4392"/>
            <w:tcMar>
              <w:top w:w="60" w:type="dxa"/>
              <w:left w:w="110" w:type="dxa"/>
              <w:bottom w:w="60" w:type="dxa"/>
              <w:right w:w="110" w:type="dxa"/>
            </w:tcMar>
          </w:tcPr>
          <w:p>
            <w:pPr>
              <w:spacing w:after="0"/>
            </w:pPr>
            <w:r>
              <w:rPr>
                <w:b w:val="0"/>
                <w:i w:val="0"/>
                <w:color w:val="16261F"/>
                <w:sz w:val="18"/>
              </w:rPr>
              <w:t>Payment intent creation, settlement recording, refund, idempotency enforcement.</w:t>
            </w:r>
          </w:p>
        </w:tc>
        <w:tc>
          <w:tcPr>
            <w:tcW w:type="dxa" w:w="3024"/>
            <w:tcMar>
              <w:top w:w="60" w:type="dxa"/>
              <w:left w:w="110" w:type="dxa"/>
              <w:bottom w:w="60" w:type="dxa"/>
              <w:right w:w="110" w:type="dxa"/>
            </w:tcMar>
          </w:tcPr>
          <w:p>
            <w:pPr>
              <w:spacing w:after="0"/>
            </w:pPr>
            <w:r>
              <w:rPr>
                <w:b w:val="0"/>
                <w:i w:val="0"/>
                <w:color w:val="16261F"/>
                <w:sz w:val="18"/>
              </w:rPr>
              <w:t>PaymentRepo, PaymentGatewayPort, InvoiceService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CheckService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Check upload intake, review queue, approval and rejection. (Phase 2)</w:t>
            </w:r>
          </w:p>
        </w:tc>
        <w:tc>
          <w:tcPr>
            <w:tcW w:type="dxa" w:w="3024"/>
            <w:tcMar>
              <w:top w:w="60" w:type="dxa"/>
              <w:left w:w="110" w:type="dxa"/>
              <w:bottom w:w="60" w:type="dxa"/>
              <w:right w:w="110" w:type="dxa"/>
            </w:tcMar>
            <w:shd w:val="clear" w:color="auto" w:fill="F5F7F5"/>
          </w:tcPr>
          <w:p>
            <w:pPr>
              <w:spacing w:after="0"/>
            </w:pPr>
            <w:r>
              <w:rPr>
                <w:b w:val="0"/>
                <w:i w:val="0"/>
                <w:color w:val="16261F"/>
                <w:sz w:val="18"/>
              </w:rPr>
              <w:t>StoragePort, PaymentService, MailPort</w:t>
            </w:r>
          </w:p>
        </w:tc>
      </w:tr>
      <w:tr>
        <w:tc>
          <w:tcPr>
            <w:tcW w:type="dxa" w:w="1944"/>
            <w:tcMar>
              <w:top w:w="60" w:type="dxa"/>
              <w:left w:w="110" w:type="dxa"/>
              <w:bottom w:w="60" w:type="dxa"/>
              <w:right w:w="110" w:type="dxa"/>
            </w:tcMar>
          </w:tcPr>
          <w:p>
            <w:pPr>
              <w:spacing w:after="0"/>
            </w:pPr>
            <w:r>
              <w:rPr>
                <w:b w:val="0"/>
                <w:i w:val="0"/>
                <w:color w:val="16261F"/>
                <w:sz w:val="18"/>
              </w:rPr>
              <w:t>TemplateService</w:t>
            </w:r>
          </w:p>
        </w:tc>
        <w:tc>
          <w:tcPr>
            <w:tcW w:type="dxa" w:w="4392"/>
            <w:tcMar>
              <w:top w:w="60" w:type="dxa"/>
              <w:left w:w="110" w:type="dxa"/>
              <w:bottom w:w="60" w:type="dxa"/>
              <w:right w:w="110" w:type="dxa"/>
            </w:tcMar>
          </w:tcPr>
          <w:p>
            <w:pPr>
              <w:spacing w:after="0"/>
            </w:pPr>
            <w:r>
              <w:rPr>
                <w:b w:val="0"/>
                <w:i w:val="0"/>
                <w:color w:val="16261F"/>
                <w:sz w:val="18"/>
              </w:rPr>
              <w:t>Template storage, merge variable resolution, rendering and preview.</w:t>
            </w:r>
          </w:p>
        </w:tc>
        <w:tc>
          <w:tcPr>
            <w:tcW w:type="dxa" w:w="3024"/>
            <w:tcMar>
              <w:top w:w="60" w:type="dxa"/>
              <w:left w:w="110" w:type="dxa"/>
              <w:bottom w:w="60" w:type="dxa"/>
              <w:right w:w="110" w:type="dxa"/>
            </w:tcMar>
          </w:tcPr>
          <w:p>
            <w:pPr>
              <w:spacing w:after="0"/>
            </w:pPr>
            <w:r>
              <w:rPr>
                <w:b w:val="0"/>
                <w:i w:val="0"/>
                <w:color w:val="16261F"/>
                <w:sz w:val="18"/>
              </w:rPr>
              <w:t>TemplateRepo, BrandService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DocumentService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PDF invoice and receipt generation, caching, retrieval.</w:t>
            </w:r>
          </w:p>
        </w:tc>
        <w:tc>
          <w:tcPr>
            <w:tcW w:type="dxa" w:w="3024"/>
            <w:tcMar>
              <w:top w:w="60" w:type="dxa"/>
              <w:left w:w="110" w:type="dxa"/>
              <w:bottom w:w="60" w:type="dxa"/>
              <w:right w:w="110" w:type="dxa"/>
            </w:tcMar>
            <w:shd w:val="clear" w:color="auto" w:fill="F5F7F5"/>
          </w:tcPr>
          <w:p>
            <w:pPr>
              <w:spacing w:after="0"/>
            </w:pPr>
            <w:r>
              <w:rPr>
                <w:b w:val="0"/>
                <w:i w:val="0"/>
                <w:color w:val="16261F"/>
                <w:sz w:val="18"/>
              </w:rPr>
              <w:t>TemplateService, StoragePort</w:t>
            </w:r>
          </w:p>
        </w:tc>
      </w:tr>
      <w:tr>
        <w:tc>
          <w:tcPr>
            <w:tcW w:type="dxa" w:w="1944"/>
            <w:tcMar>
              <w:top w:w="60" w:type="dxa"/>
              <w:left w:w="110" w:type="dxa"/>
              <w:bottom w:w="60" w:type="dxa"/>
              <w:right w:w="110" w:type="dxa"/>
            </w:tcMar>
          </w:tcPr>
          <w:p>
            <w:pPr>
              <w:spacing w:after="0"/>
            </w:pPr>
            <w:r>
              <w:rPr>
                <w:b w:val="0"/>
                <w:i w:val="0"/>
                <w:color w:val="16261F"/>
                <w:sz w:val="18"/>
              </w:rPr>
              <w:t>SyncService</w:t>
            </w:r>
          </w:p>
        </w:tc>
        <w:tc>
          <w:tcPr>
            <w:tcW w:type="dxa" w:w="4392"/>
            <w:tcMar>
              <w:top w:w="60" w:type="dxa"/>
              <w:left w:w="110" w:type="dxa"/>
              <w:bottom w:w="60" w:type="dxa"/>
              <w:right w:w="110" w:type="dxa"/>
            </w:tcMar>
          </w:tcPr>
          <w:p>
            <w:pPr>
              <w:spacing w:after="0"/>
            </w:pPr>
            <w:r>
              <w:rPr>
                <w:b w:val="0"/>
                <w:i w:val="0"/>
                <w:color w:val="16261F"/>
                <w:sz w:val="18"/>
              </w:rPr>
              <w:t>Job enqueueing, conflict detection, error log, retry orchestration.</w:t>
            </w:r>
          </w:p>
        </w:tc>
        <w:tc>
          <w:tcPr>
            <w:tcW w:type="dxa" w:w="3024"/>
            <w:tcMar>
              <w:top w:w="60" w:type="dxa"/>
              <w:left w:w="110" w:type="dxa"/>
              <w:bottom w:w="60" w:type="dxa"/>
              <w:right w:w="110" w:type="dxa"/>
            </w:tcMar>
          </w:tcPr>
          <w:p>
            <w:pPr>
              <w:spacing w:after="0"/>
            </w:pPr>
            <w:r>
              <w:rPr>
                <w:b w:val="0"/>
                <w:i w:val="0"/>
                <w:color w:val="16261F"/>
                <w:sz w:val="18"/>
              </w:rPr>
              <w:t>Queue, AccountingPort, SyncLogRepo</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NotificationService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Event fan-out to in-app feed and email. (Phase 2)</w:t>
            </w:r>
          </w:p>
        </w:tc>
        <w:tc>
          <w:tcPr>
            <w:tcW w:type="dxa" w:w="3024"/>
            <w:tcMar>
              <w:top w:w="60" w:type="dxa"/>
              <w:left w:w="110" w:type="dxa"/>
              <w:bottom w:w="60" w:type="dxa"/>
              <w:right w:w="110" w:type="dxa"/>
            </w:tcMar>
            <w:shd w:val="clear" w:color="auto" w:fill="F5F7F5"/>
          </w:tcPr>
          <w:p>
            <w:pPr>
              <w:spacing w:after="0"/>
            </w:pPr>
            <w:r>
              <w:rPr>
                <w:b w:val="0"/>
                <w:i w:val="0"/>
                <w:color w:val="16261F"/>
                <w:sz w:val="18"/>
              </w:rPr>
              <w:t>Queue, MailPort, NotificationRepo</w:t>
            </w:r>
          </w:p>
        </w:tc>
      </w:tr>
      <w:tr>
        <w:tc>
          <w:tcPr>
            <w:tcW w:type="dxa" w:w="1944"/>
            <w:tcMar>
              <w:top w:w="60" w:type="dxa"/>
              <w:left w:w="110" w:type="dxa"/>
              <w:bottom w:w="60" w:type="dxa"/>
              <w:right w:w="110" w:type="dxa"/>
            </w:tcMar>
          </w:tcPr>
          <w:p>
            <w:pPr>
              <w:spacing w:after="0"/>
            </w:pPr>
            <w:r>
              <w:rPr>
                <w:b w:val="0"/>
                <w:i w:val="0"/>
                <w:color w:val="16261F"/>
                <w:sz w:val="18"/>
              </w:rPr>
              <w:t>ReportService</w:t>
            </w:r>
          </w:p>
        </w:tc>
        <w:tc>
          <w:tcPr>
            <w:tcW w:type="dxa" w:w="4392"/>
            <w:tcMar>
              <w:top w:w="60" w:type="dxa"/>
              <w:left w:w="110" w:type="dxa"/>
              <w:bottom w:w="60" w:type="dxa"/>
              <w:right w:w="110" w:type="dxa"/>
            </w:tcMar>
          </w:tcPr>
          <w:p>
            <w:pPr>
              <w:spacing w:after="0"/>
            </w:pPr>
            <w:r>
              <w:rPr>
                <w:b w:val="0"/>
                <w:i w:val="0"/>
                <w:color w:val="16261F"/>
                <w:sz w:val="18"/>
              </w:rPr>
              <w:t>Dashboard aggregation, ageing, exports. Read-optimised paths.</w:t>
            </w:r>
          </w:p>
        </w:tc>
        <w:tc>
          <w:tcPr>
            <w:tcW w:type="dxa" w:w="3024"/>
            <w:tcMar>
              <w:top w:w="60" w:type="dxa"/>
              <w:left w:w="110" w:type="dxa"/>
              <w:bottom w:w="60" w:type="dxa"/>
              <w:right w:w="110" w:type="dxa"/>
            </w:tcMar>
          </w:tcPr>
          <w:p>
            <w:pPr>
              <w:spacing w:after="0"/>
            </w:pPr>
            <w:r>
              <w:rPr>
                <w:b w:val="0"/>
                <w:i w:val="0"/>
                <w:color w:val="16261F"/>
                <w:sz w:val="18"/>
              </w:rPr>
              <w:t>Read replica, InvoiceRepo</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AuditService</w:t>
            </w:r>
          </w:p>
        </w:tc>
        <w:tc>
          <w:tcPr>
            <w:tcW w:type="dxa" w:w="4392"/>
            <w:tcMar>
              <w:top w:w="60" w:type="dxa"/>
              <w:left w:w="110" w:type="dxa"/>
              <w:bottom w:w="60" w:type="dxa"/>
              <w:right w:w="110" w:type="dxa"/>
            </w:tcMar>
            <w:shd w:val="clear" w:color="auto" w:fill="F5F7F5"/>
          </w:tcPr>
          <w:p>
            <w:pPr>
              <w:spacing w:after="0"/>
            </w:pPr>
            <w:r>
              <w:rPr>
                <w:b w:val="0"/>
                <w:i w:val="0"/>
                <w:color w:val="16261F"/>
                <w:sz w:val="18"/>
              </w:rPr>
              <w:t>Immutable append of every state-changing operation.</w:t>
            </w:r>
          </w:p>
        </w:tc>
        <w:tc>
          <w:tcPr>
            <w:tcW w:type="dxa" w:w="3024"/>
            <w:tcMar>
              <w:top w:w="60" w:type="dxa"/>
              <w:left w:w="110" w:type="dxa"/>
              <w:bottom w:w="60" w:type="dxa"/>
              <w:right w:w="110" w:type="dxa"/>
            </w:tcMar>
            <w:shd w:val="clear" w:color="auto" w:fill="F5F7F5"/>
          </w:tcPr>
          <w:p>
            <w:pPr>
              <w:spacing w:after="0"/>
            </w:pPr>
            <w:r>
              <w:rPr>
                <w:b w:val="0"/>
                <w:i w:val="0"/>
                <w:color w:val="16261F"/>
                <w:sz w:val="18"/>
              </w:rPr>
              <w:t>AuditRepo (append-only)</w:t>
            </w:r>
          </w:p>
        </w:tc>
      </w:tr>
      <w:tr>
        <w:tc>
          <w:tcPr>
            <w:tcW w:type="dxa" w:w="1944"/>
            <w:tcMar>
              <w:top w:w="60" w:type="dxa"/>
              <w:left w:w="110" w:type="dxa"/>
              <w:bottom w:w="60" w:type="dxa"/>
              <w:right w:w="110" w:type="dxa"/>
            </w:tcMar>
          </w:tcPr>
          <w:p>
            <w:pPr>
              <w:spacing w:after="0"/>
            </w:pPr>
            <w:r>
              <w:rPr>
                <w:b w:val="0"/>
                <w:i w:val="0"/>
                <w:color w:val="16261F"/>
                <w:sz w:val="18"/>
              </w:rPr>
              <w:t>DomainService</w:t>
            </w:r>
          </w:p>
        </w:tc>
        <w:tc>
          <w:tcPr>
            <w:tcW w:type="dxa" w:w="4392"/>
            <w:tcMar>
              <w:top w:w="60" w:type="dxa"/>
              <w:left w:w="110" w:type="dxa"/>
              <w:bottom w:w="60" w:type="dxa"/>
              <w:right w:w="110" w:type="dxa"/>
            </w:tcMar>
          </w:tcPr>
          <w:p>
            <w:pPr>
              <w:spacing w:after="0"/>
            </w:pPr>
            <w:r>
              <w:rPr>
                <w:b w:val="0"/>
                <w:i w:val="0"/>
                <w:color w:val="16261F"/>
                <w:sz w:val="18"/>
              </w:rPr>
              <w:t>Custom domain registration, DNS verification, certificate lifecycle. (Phase 2)</w:t>
            </w:r>
          </w:p>
        </w:tc>
        <w:tc>
          <w:tcPr>
            <w:tcW w:type="dxa" w:w="3024"/>
            <w:tcMar>
              <w:top w:w="60" w:type="dxa"/>
              <w:left w:w="110" w:type="dxa"/>
              <w:bottom w:w="60" w:type="dxa"/>
              <w:right w:w="110" w:type="dxa"/>
            </w:tcMar>
          </w:tcPr>
          <w:p>
            <w:pPr>
              <w:spacing w:after="0"/>
            </w:pPr>
            <w:r>
              <w:rPr>
                <w:b w:val="0"/>
                <w:i w:val="0"/>
                <w:color w:val="16261F"/>
                <w:sz w:val="18"/>
              </w:rPr>
              <w:t>DNS provider, CertificateAuthority</w:t>
            </w:r>
          </w:p>
        </w:tc>
      </w:tr>
    </w:tbl>
    <w:p>
      <w:r>
        <w:br w:type="page"/>
      </w:r>
    </w:p>
    <w:p>
      <w:pPr>
        <w:pStyle w:val="Heading1"/>
      </w:pPr>
      <w:r>
        <w:t>5. Data model</w:t>
      </w:r>
    </w:p>
    <w:p>
      <w:pPr>
        <w:pStyle w:val="Heading2"/>
      </w:pPr>
      <w:r>
        <w:t>5.1 Entity relationships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merchant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user   │  │  brand   │  │ audit_log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│user_brand_   │   ▼           ▼            ▼              ▼         </w:t>
            </w:r>
          </w:p>
          <w:p>
            <w:pPr>
              <w:spacing w:after="0" w:line="240" w:lineRule="auto"/>
            </w:pPr>
            <w:r>
              <w:rPr>
                <w:rFonts w:ascii="Consolas" w:hAnsi="Consolas"/>
                <w:color w:val="16261F"/>
                <w:sz w:val="17"/>
              </w:rPr>
              <w:t xml:space="preserve">  │  assignment  │ ┌──────────┐ ┌──────────┐ ┌───────────┐ ┌─────────┐ </w:t>
            </w:r>
          </w:p>
          <w:p>
            <w:pPr>
              <w:spacing w:after="0" w:line="240" w:lineRule="auto"/>
            </w:pPr>
            <w:r>
              <w:rPr>
                <w:rFonts w:ascii="Consolas" w:hAnsi="Consolas"/>
                <w:color w:val="16261F"/>
                <w:sz w:val="17"/>
              </w:rPr>
              <w:t xml:space="preserve">  └──────────────┘ │ customer │ │ template │ │integration│ │ domain  │ </w:t>
            </w:r>
          </w:p>
          <w:p>
            <w:pPr>
              <w:spacing w:after="0" w:line="240" w:lineRule="auto"/>
            </w:pPr>
            <w:r>
              <w:rPr>
                <w:rFonts w:ascii="Consolas" w:hAnsi="Consolas"/>
                <w:color w:val="16261F"/>
                <w:sz w:val="17"/>
              </w:rPr>
              <w:t xml:space="preserve">                   └────┬─────┘ └──────────┘ │_connection│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invoice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line_item  │ │payment │ │invoice_  │                            </w:t>
            </w:r>
          </w:p>
          <w:p>
            <w:pPr>
              <w:spacing w:after="0" w:line="240" w:lineRule="auto"/>
            </w:pPr>
            <w:r>
              <w:rPr>
                <w:rFonts w:ascii="Consolas" w:hAnsi="Consolas"/>
                <w:color w:val="16261F"/>
                <w:sz w:val="17"/>
              </w:rPr>
              <w:t xml:space="preserve">     └────────────┘ └───┬────┘ │  event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check   │  (Phase 2)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Phase 3 (accounts payable), mirroring the receivable side:           </w:t>
            </w:r>
          </w:p>
          <w:p>
            <w:pPr>
              <w:spacing w:after="0" w:line="240" w:lineRule="auto"/>
            </w:pPr>
            <w:r>
              <w:rPr>
                <w:rFonts w:ascii="Consolas" w:hAnsi="Consolas"/>
                <w:color w:val="16261F"/>
                <w:sz w:val="17"/>
              </w:rPr>
              <w:t xml:space="preserve">        brand ──► vendor ──► bill ──► bill_payment                      </w:t>
            </w:r>
          </w:p>
        </w:tc>
      </w:tr>
    </w:tbl>
    <w:p>
      <w:pPr>
        <w:spacing w:after="40"/>
      </w:pPr>
    </w:p>
    <w:p>
      <w:pPr>
        <w:pStyle w:val="Heading2"/>
      </w:pPr>
      <w:r>
        <w:t>5.2 Core tables</w:t>
      </w:r>
    </w:p>
    <w:p>
      <w:pPr>
        <w:spacing w:after="140"/>
      </w:pPr>
      <w:r>
        <w:rPr>
          <w:b w:val="0"/>
          <w:i w:val="0"/>
          <w:color w:val="16261F"/>
          <w:sz w:val="21"/>
        </w:rPr>
        <w:t>Abbreviated. Every table additionally carries created_at, updated_at and, where mutable by a user, created_by and updated_by.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800"/>
            <w:shd w:val="clear" w:color="auto" w:fill="16261F"/>
            <w:tcMar>
              <w:top w:w="70" w:type="dxa"/>
              <w:left w:w="110" w:type="dxa"/>
              <w:bottom w:w="70" w:type="dxa"/>
              <w:right w:w="110" w:type="dxa"/>
            </w:tcMar>
          </w:tcPr>
          <w:p>
            <w:pPr>
              <w:spacing w:after="0"/>
            </w:pPr>
            <w:r>
              <w:rPr>
                <w:rFonts w:ascii="Calibri" w:hAnsi="Calibri"/>
                <w:b/>
                <w:color w:val="FFFFFF"/>
                <w:sz w:val="16"/>
              </w:rPr>
              <w:t>Table</w:t>
            </w:r>
          </w:p>
        </w:tc>
        <w:tc>
          <w:tcPr>
            <w:tcW w:type="dxa" w:w="3816"/>
            <w:shd w:val="clear" w:color="auto" w:fill="16261F"/>
            <w:tcMar>
              <w:top w:w="70" w:type="dxa"/>
              <w:left w:w="110" w:type="dxa"/>
              <w:bottom w:w="70" w:type="dxa"/>
              <w:right w:w="110" w:type="dxa"/>
            </w:tcMar>
          </w:tcPr>
          <w:p>
            <w:pPr>
              <w:spacing w:after="0"/>
            </w:pPr>
            <w:r>
              <w:rPr>
                <w:rFonts w:ascii="Calibri" w:hAnsi="Calibri"/>
                <w:b/>
                <w:color w:val="FFFFFF"/>
                <w:sz w:val="16"/>
              </w:rPr>
              <w:t>Key columns</w:t>
            </w:r>
          </w:p>
        </w:tc>
        <w:tc>
          <w:tcPr>
            <w:tcW w:type="dxa" w:w="3744"/>
            <w:shd w:val="clear" w:color="auto" w:fill="16261F"/>
            <w:tcMar>
              <w:top w:w="70" w:type="dxa"/>
              <w:left w:w="110" w:type="dxa"/>
              <w:bottom w:w="70" w:type="dxa"/>
              <w:right w:w="110" w:type="dxa"/>
            </w:tcMar>
          </w:tcPr>
          <w:p>
            <w:pPr>
              <w:spacing w:after="0"/>
            </w:pPr>
            <w:r>
              <w:rPr>
                <w:rFonts w:ascii="Calibri" w:hAnsi="Calibri"/>
                <w:b/>
                <w:color w:val="FFFFFF"/>
                <w:sz w:val="16"/>
              </w:rPr>
              <w:t>Notes</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merchant</w:t>
            </w:r>
          </w:p>
        </w:tc>
        <w:tc>
          <w:tcPr>
            <w:tcW w:type="dxa" w:w="3816"/>
            <w:tcMar>
              <w:top w:w="60" w:type="dxa"/>
              <w:left w:w="110" w:type="dxa"/>
              <w:bottom w:w="60" w:type="dxa"/>
              <w:right w:w="110" w:type="dxa"/>
            </w:tcMar>
          </w:tcPr>
          <w:p>
            <w:pPr>
              <w:spacing w:after="0"/>
            </w:pPr>
            <w:r>
              <w:rPr>
                <w:b w:val="0"/>
                <w:i w:val="0"/>
                <w:color w:val="16261F"/>
                <w:sz w:val="17"/>
              </w:rPr>
              <w:t>id, name, contact_email, address, plan, status</w:t>
            </w:r>
          </w:p>
        </w:tc>
        <w:tc>
          <w:tcPr>
            <w:tcW w:type="dxa" w:w="3744"/>
            <w:tcMar>
              <w:top w:w="60" w:type="dxa"/>
              <w:left w:w="110" w:type="dxa"/>
              <w:bottom w:w="60" w:type="dxa"/>
              <w:right w:w="110" w:type="dxa"/>
            </w:tcMar>
          </w:tcPr>
          <w:p>
            <w:pPr>
              <w:spacing w:after="0"/>
            </w:pPr>
            <w:r>
              <w:rPr>
                <w:b w:val="0"/>
                <w:i w:val="0"/>
                <w:color w:val="16261F"/>
                <w:sz w:val="17"/>
              </w:rPr>
              <w:t>Tenant root. Never referenced directly by operational queries; reached via brand.</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user</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merchant_id, email, password_hash, role, status, last_login_at</w:t>
            </w:r>
          </w:p>
        </w:tc>
        <w:tc>
          <w:tcPr>
            <w:tcW w:type="dxa" w:w="3744"/>
            <w:tcMar>
              <w:top w:w="60" w:type="dxa"/>
              <w:left w:w="110" w:type="dxa"/>
              <w:bottom w:w="60" w:type="dxa"/>
              <w:right w:w="110" w:type="dxa"/>
            </w:tcMar>
            <w:shd w:val="clear" w:color="auto" w:fill="F5F7F5"/>
          </w:tcPr>
          <w:p>
            <w:pPr>
              <w:spacing w:after="0"/>
            </w:pPr>
            <w:r>
              <w:rPr>
                <w:b w:val="0"/>
                <w:i w:val="0"/>
                <w:color w:val="16261F"/>
                <w:sz w:val="17"/>
              </w:rPr>
              <w:t>Email unique within merchant. Role is an enumerated value, not free text.</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user_brand_assignment</w:t>
            </w:r>
          </w:p>
        </w:tc>
        <w:tc>
          <w:tcPr>
            <w:tcW w:type="dxa" w:w="3816"/>
            <w:tcMar>
              <w:top w:w="60" w:type="dxa"/>
              <w:left w:w="110" w:type="dxa"/>
              <w:bottom w:w="60" w:type="dxa"/>
              <w:right w:w="110" w:type="dxa"/>
            </w:tcMar>
          </w:tcPr>
          <w:p>
            <w:pPr>
              <w:spacing w:after="0"/>
            </w:pPr>
            <w:r>
              <w:rPr>
                <w:b w:val="0"/>
                <w:i w:val="0"/>
                <w:color w:val="16261F"/>
                <w:sz w:val="17"/>
              </w:rPr>
              <w:t>user_id, brand_id</w:t>
            </w:r>
          </w:p>
        </w:tc>
        <w:tc>
          <w:tcPr>
            <w:tcW w:type="dxa" w:w="3744"/>
            <w:tcMar>
              <w:top w:w="60" w:type="dxa"/>
              <w:left w:w="110" w:type="dxa"/>
              <w:bottom w:w="60" w:type="dxa"/>
              <w:right w:w="110" w:type="dxa"/>
            </w:tcMar>
          </w:tcPr>
          <w:p>
            <w:pPr>
              <w:spacing w:after="0"/>
            </w:pPr>
            <w:r>
              <w:rPr>
                <w:b w:val="0"/>
                <w:i w:val="0"/>
                <w:color w:val="16261F"/>
                <w:sz w:val="17"/>
              </w:rPr>
              <w:t>Composite primary key. Absent row means no access. Drives every scoped query.</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brand</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merchant_id, legal_name, display_name, sales_person, phone, email, mailing_address, billing_address, tax_id, currency, timezone, theme_color, logo_key, status</w:t>
            </w:r>
          </w:p>
        </w:tc>
        <w:tc>
          <w:tcPr>
            <w:tcW w:type="dxa" w:w="3744"/>
            <w:tcMar>
              <w:top w:w="60" w:type="dxa"/>
              <w:left w:w="110" w:type="dxa"/>
              <w:bottom w:w="60" w:type="dxa"/>
              <w:right w:w="110" w:type="dxa"/>
            </w:tcMar>
            <w:shd w:val="clear" w:color="auto" w:fill="F5F7F5"/>
          </w:tcPr>
          <w:p>
            <w:pPr>
              <w:spacing w:after="0"/>
            </w:pPr>
            <w:r>
              <w:rPr>
                <w:b w:val="0"/>
                <w:i w:val="0"/>
                <w:color w:val="16261F"/>
                <w:sz w:val="17"/>
              </w:rPr>
              <w:t>Carries the MVP-required fields absent from the prototype (GAP-004).</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brand_settings</w:t>
            </w:r>
          </w:p>
        </w:tc>
        <w:tc>
          <w:tcPr>
            <w:tcW w:type="dxa" w:w="3816"/>
            <w:tcMar>
              <w:top w:w="60" w:type="dxa"/>
              <w:left w:w="110" w:type="dxa"/>
              <w:bottom w:w="60" w:type="dxa"/>
              <w:right w:w="110" w:type="dxa"/>
            </w:tcMar>
          </w:tcPr>
          <w:p>
            <w:pPr>
              <w:spacing w:after="0"/>
            </w:pPr>
            <w:r>
              <w:rPr>
                <w:b w:val="0"/>
                <w:i w:val="0"/>
                <w:color w:val="16261F"/>
                <w:sz w:val="17"/>
              </w:rPr>
              <w:t>brand_id, invoice_prefix, next_sequence, payment_terms_days, late_fee_rate, default_tax_rate_id, card_fee_rate, reminder_schedule</w:t>
            </w:r>
          </w:p>
        </w:tc>
        <w:tc>
          <w:tcPr>
            <w:tcW w:type="dxa" w:w="3744"/>
            <w:tcMar>
              <w:top w:w="60" w:type="dxa"/>
              <w:left w:w="110" w:type="dxa"/>
              <w:bottom w:w="60" w:type="dxa"/>
              <w:right w:w="110" w:type="dxa"/>
            </w:tcMar>
          </w:tcPr>
          <w:p>
            <w:pPr>
              <w:spacing w:after="0"/>
            </w:pPr>
            <w:r>
              <w:rPr>
                <w:b w:val="0"/>
                <w:i w:val="0"/>
                <w:color w:val="16261F"/>
                <w:sz w:val="17"/>
              </w:rPr>
              <w:t>Separated from brand so that sequence allocation can lock a narrow row.</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tax_rate</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brand_id, label, rate_bp, zoho_tax_id, active</w:t>
            </w:r>
          </w:p>
        </w:tc>
        <w:tc>
          <w:tcPr>
            <w:tcW w:type="dxa" w:w="3744"/>
            <w:tcMar>
              <w:top w:w="60" w:type="dxa"/>
              <w:left w:w="110" w:type="dxa"/>
              <w:bottom w:w="60" w:type="dxa"/>
              <w:right w:w="110" w:type="dxa"/>
            </w:tcMar>
            <w:shd w:val="clear" w:color="auto" w:fill="F5F7F5"/>
          </w:tcPr>
          <w:p>
            <w:pPr>
              <w:spacing w:after="0"/>
            </w:pPr>
            <w:r>
              <w:rPr>
                <w:b w:val="0"/>
                <w:i w:val="0"/>
                <w:color w:val="16261F"/>
                <w:sz w:val="17"/>
              </w:rPr>
              <w:t>Rate held in basis points as an integer. Synced from Zoho where connected.</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customer</w:t>
            </w:r>
          </w:p>
        </w:tc>
        <w:tc>
          <w:tcPr>
            <w:tcW w:type="dxa" w:w="3816"/>
            <w:tcMar>
              <w:top w:w="60" w:type="dxa"/>
              <w:left w:w="110" w:type="dxa"/>
              <w:bottom w:w="60" w:type="dxa"/>
              <w:right w:w="110" w:type="dxa"/>
            </w:tcMar>
          </w:tcPr>
          <w:p>
            <w:pPr>
              <w:spacing w:after="0"/>
            </w:pPr>
            <w:r>
              <w:rPr>
                <w:b w:val="0"/>
                <w:i w:val="0"/>
                <w:color w:val="16261F"/>
                <w:sz w:val="17"/>
              </w:rPr>
              <w:t>id, brand_id, type, salutation, first_name, last_name, company_name, display_name, email, phone, billing_address, shipping_address, zoho_contact_id, status</w:t>
            </w:r>
          </w:p>
        </w:tc>
        <w:tc>
          <w:tcPr>
            <w:tcW w:type="dxa" w:w="3744"/>
            <w:tcMar>
              <w:top w:w="60" w:type="dxa"/>
              <w:left w:w="110" w:type="dxa"/>
              <w:bottom w:w="60" w:type="dxa"/>
              <w:right w:w="110" w:type="dxa"/>
            </w:tcMar>
          </w:tcPr>
          <w:p>
            <w:pPr>
              <w:spacing w:after="0"/>
            </w:pPr>
            <w:r>
              <w:rPr>
                <w:b w:val="0"/>
                <w:i w:val="0"/>
                <w:color w:val="16261F"/>
                <w:sz w:val="17"/>
              </w:rPr>
              <w:t>Accounts receivable. type distinguishes business from individual.</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invoice</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brand_id, customer_id, number, status, invoice_date, due_date, currency, subtotal_minor, tax_rate_bp_applied, tax_minor, card_fee_rate_bp_applied, card_fee_minor, total_minor, balance_minor, public_token, notes, internal_notes, zoho_invoice_id</w:t>
            </w:r>
          </w:p>
        </w:tc>
        <w:tc>
          <w:tcPr>
            <w:tcW w:type="dxa" w:w="3744"/>
            <w:tcMar>
              <w:top w:w="60" w:type="dxa"/>
              <w:left w:w="110" w:type="dxa"/>
              <w:bottom w:w="60" w:type="dxa"/>
              <w:right w:w="110" w:type="dxa"/>
            </w:tcMar>
            <w:shd w:val="clear" w:color="auto" w:fill="F5F7F5"/>
          </w:tcPr>
          <w:p>
            <w:pPr>
              <w:spacing w:after="0"/>
            </w:pPr>
            <w:r>
              <w:rPr>
                <w:b w:val="0"/>
                <w:i w:val="0"/>
                <w:color w:val="16261F"/>
                <w:sz w:val="17"/>
              </w:rPr>
              <w:t>Applied rates are frozen at issue per NFR-INT-004. public_token is 128-bit random.</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line_item</w:t>
            </w:r>
          </w:p>
        </w:tc>
        <w:tc>
          <w:tcPr>
            <w:tcW w:type="dxa" w:w="3816"/>
            <w:tcMar>
              <w:top w:w="60" w:type="dxa"/>
              <w:left w:w="110" w:type="dxa"/>
              <w:bottom w:w="60" w:type="dxa"/>
              <w:right w:w="110" w:type="dxa"/>
            </w:tcMar>
          </w:tcPr>
          <w:p>
            <w:pPr>
              <w:spacing w:after="0"/>
            </w:pPr>
            <w:r>
              <w:rPr>
                <w:b w:val="0"/>
                <w:i w:val="0"/>
                <w:color w:val="16261F"/>
                <w:sz w:val="17"/>
              </w:rPr>
              <w:t>id, invoice_id, position, item_name, description, quantity, unit_price_minor, line_total_minor, tax_exempt</w:t>
            </w:r>
          </w:p>
        </w:tc>
        <w:tc>
          <w:tcPr>
            <w:tcW w:type="dxa" w:w="3744"/>
            <w:tcMar>
              <w:top w:w="60" w:type="dxa"/>
              <w:left w:w="110" w:type="dxa"/>
              <w:bottom w:w="60" w:type="dxa"/>
              <w:right w:w="110" w:type="dxa"/>
            </w:tcMar>
          </w:tcPr>
          <w:p>
            <w:pPr>
              <w:spacing w:after="0"/>
            </w:pPr>
            <w:r>
              <w:rPr>
                <w:b w:val="0"/>
                <w:i w:val="0"/>
                <w:color w:val="16261F"/>
                <w:sz w:val="17"/>
              </w:rPr>
              <w:t>quantity is decimal to support fractional units. line_total is stored, not derived at read.</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payment</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invoice_id, brand_id, method, amount_minor, status, gateway_reference, idempotency_key, settled_at, zoho_payment_id</w:t>
            </w:r>
          </w:p>
        </w:tc>
        <w:tc>
          <w:tcPr>
            <w:tcW w:type="dxa" w:w="3744"/>
            <w:tcMar>
              <w:top w:w="60" w:type="dxa"/>
              <w:left w:w="110" w:type="dxa"/>
              <w:bottom w:w="60" w:type="dxa"/>
              <w:right w:w="110" w:type="dxa"/>
            </w:tcMar>
            <w:shd w:val="clear" w:color="auto" w:fill="F5F7F5"/>
          </w:tcPr>
          <w:p>
            <w:pPr>
              <w:spacing w:after="0"/>
            </w:pPr>
            <w:r>
              <w:rPr>
                <w:b w:val="0"/>
                <w:i w:val="0"/>
                <w:color w:val="16261F"/>
                <w:sz w:val="17"/>
              </w:rPr>
              <w:t>gateway_reference is uniquely indexed — the mechanism behind NFR-INT-010.</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invoice_event</w:t>
            </w:r>
          </w:p>
        </w:tc>
        <w:tc>
          <w:tcPr>
            <w:tcW w:type="dxa" w:w="3816"/>
            <w:tcMar>
              <w:top w:w="60" w:type="dxa"/>
              <w:left w:w="110" w:type="dxa"/>
              <w:bottom w:w="60" w:type="dxa"/>
              <w:right w:w="110" w:type="dxa"/>
            </w:tcMar>
          </w:tcPr>
          <w:p>
            <w:pPr>
              <w:spacing w:after="0"/>
            </w:pPr>
            <w:r>
              <w:rPr>
                <w:b w:val="0"/>
                <w:i w:val="0"/>
                <w:color w:val="16261F"/>
                <w:sz w:val="17"/>
              </w:rPr>
              <w:t>id, invoice_id, event_type, from_status, to_status, actor, payload, occurred_at</w:t>
            </w:r>
          </w:p>
        </w:tc>
        <w:tc>
          <w:tcPr>
            <w:tcW w:type="dxa" w:w="3744"/>
            <w:tcMar>
              <w:top w:w="60" w:type="dxa"/>
              <w:left w:w="110" w:type="dxa"/>
              <w:bottom w:w="60" w:type="dxa"/>
              <w:right w:w="110" w:type="dxa"/>
            </w:tcMar>
          </w:tcPr>
          <w:p>
            <w:pPr>
              <w:spacing w:after="0"/>
            </w:pPr>
            <w:r>
              <w:rPr>
                <w:b w:val="0"/>
                <w:i w:val="0"/>
                <w:color w:val="16261F"/>
                <w:sz w:val="17"/>
              </w:rPr>
              <w:t>Append-only lifecycle history. Drives the timeline in the invoice detail view.</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check_submission</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invoice_id, brand_id, front_image_key, back_image_key, customer_note, status, reviewed_by, review_note, reviewed_at</w:t>
            </w:r>
          </w:p>
        </w:tc>
        <w:tc>
          <w:tcPr>
            <w:tcW w:type="dxa" w:w="3744"/>
            <w:tcMar>
              <w:top w:w="60" w:type="dxa"/>
              <w:left w:w="110" w:type="dxa"/>
              <w:bottom w:w="60" w:type="dxa"/>
              <w:right w:w="110" w:type="dxa"/>
            </w:tcMar>
            <w:shd w:val="clear" w:color="auto" w:fill="F5F7F5"/>
          </w:tcPr>
          <w:p>
            <w:pPr>
              <w:spacing w:after="0"/>
            </w:pPr>
            <w:r>
              <w:rPr>
                <w:b w:val="0"/>
                <w:i w:val="0"/>
                <w:color w:val="16261F"/>
                <w:sz w:val="17"/>
              </w:rPr>
              <w:t>Phase 2. Images are storage keys, never binary in the database.</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integration_connection</w:t>
            </w:r>
          </w:p>
        </w:tc>
        <w:tc>
          <w:tcPr>
            <w:tcW w:type="dxa" w:w="3816"/>
            <w:tcMar>
              <w:top w:w="60" w:type="dxa"/>
              <w:left w:w="110" w:type="dxa"/>
              <w:bottom w:w="60" w:type="dxa"/>
              <w:right w:w="110" w:type="dxa"/>
            </w:tcMar>
          </w:tcPr>
          <w:p>
            <w:pPr>
              <w:spacing w:after="0"/>
            </w:pPr>
            <w:r>
              <w:rPr>
                <w:b w:val="0"/>
                <w:i w:val="0"/>
                <w:color w:val="16261F"/>
                <w:sz w:val="17"/>
              </w:rPr>
              <w:t>id, brand_id, provider, status, encrypted_credentials, config, last_sync_at, health</w:t>
            </w:r>
          </w:p>
        </w:tc>
        <w:tc>
          <w:tcPr>
            <w:tcW w:type="dxa" w:w="3744"/>
            <w:tcMar>
              <w:top w:w="60" w:type="dxa"/>
              <w:left w:w="110" w:type="dxa"/>
              <w:bottom w:w="60" w:type="dxa"/>
              <w:right w:w="110" w:type="dxa"/>
            </w:tcMar>
          </w:tcPr>
          <w:p>
            <w:pPr>
              <w:spacing w:after="0"/>
            </w:pPr>
            <w:r>
              <w:rPr>
                <w:b w:val="0"/>
                <w:i w:val="0"/>
                <w:color w:val="16261F"/>
                <w:sz w:val="17"/>
              </w:rPr>
              <w:t>One row per brand per provider. Credentials encrypted with a KMS-held key.</w:t>
            </w:r>
          </w:p>
        </w:tc>
      </w:tr>
      <w:tr>
        <w:tc>
          <w:tcPr>
            <w:tcW w:type="dxa" w:w="1800"/>
            <w:tcMar>
              <w:top w:w="60" w:type="dxa"/>
              <w:left w:w="110" w:type="dxa"/>
              <w:bottom w:w="60" w:type="dxa"/>
              <w:right w:w="110" w:type="dxa"/>
            </w:tcMar>
            <w:shd w:val="clear" w:color="auto" w:fill="F5F7F5"/>
          </w:tcPr>
          <w:p>
            <w:pPr>
              <w:spacing w:after="0"/>
            </w:pPr>
            <w:r>
              <w:rPr>
                <w:rFonts w:ascii="Consolas" w:hAnsi="Consolas"/>
                <w:b/>
                <w:i w:val="0"/>
                <w:color w:val="16261F"/>
                <w:sz w:val="16"/>
              </w:rPr>
              <w:t>sync_job</w:t>
            </w:r>
          </w:p>
        </w:tc>
        <w:tc>
          <w:tcPr>
            <w:tcW w:type="dxa" w:w="3816"/>
            <w:tcMar>
              <w:top w:w="60" w:type="dxa"/>
              <w:left w:w="110" w:type="dxa"/>
              <w:bottom w:w="60" w:type="dxa"/>
              <w:right w:w="110" w:type="dxa"/>
            </w:tcMar>
            <w:shd w:val="clear" w:color="auto" w:fill="F5F7F5"/>
          </w:tcPr>
          <w:p>
            <w:pPr>
              <w:spacing w:after="0"/>
            </w:pPr>
            <w:r>
              <w:rPr>
                <w:b w:val="0"/>
                <w:i w:val="0"/>
                <w:color w:val="16261F"/>
                <w:sz w:val="17"/>
              </w:rPr>
              <w:t>id, brand_id, provider, direction, object_type, object_id, status, attempt_count, last_error, next_attempt_at</w:t>
            </w:r>
          </w:p>
        </w:tc>
        <w:tc>
          <w:tcPr>
            <w:tcW w:type="dxa" w:w="3744"/>
            <w:tcMar>
              <w:top w:w="60" w:type="dxa"/>
              <w:left w:w="110" w:type="dxa"/>
              <w:bottom w:w="60" w:type="dxa"/>
              <w:right w:w="110" w:type="dxa"/>
            </w:tcMar>
            <w:shd w:val="clear" w:color="auto" w:fill="F5F7F5"/>
          </w:tcPr>
          <w:p>
            <w:pPr>
              <w:spacing w:after="0"/>
            </w:pPr>
            <w:r>
              <w:rPr>
                <w:b w:val="0"/>
                <w:i w:val="0"/>
                <w:color w:val="16261F"/>
                <w:sz w:val="17"/>
              </w:rPr>
              <w:t>The retry and error log surface for FR-ZHO-021.</w:t>
            </w:r>
          </w:p>
        </w:tc>
      </w:tr>
      <w:tr>
        <w:tc>
          <w:tcPr>
            <w:tcW w:type="dxa" w:w="1800"/>
            <w:tcMar>
              <w:top w:w="60" w:type="dxa"/>
              <w:left w:w="110" w:type="dxa"/>
              <w:bottom w:w="60" w:type="dxa"/>
              <w:right w:w="110" w:type="dxa"/>
            </w:tcMar>
          </w:tcPr>
          <w:p>
            <w:pPr>
              <w:spacing w:after="0"/>
            </w:pPr>
            <w:r>
              <w:rPr>
                <w:rFonts w:ascii="Consolas" w:hAnsi="Consolas"/>
                <w:b/>
                <w:i w:val="0"/>
                <w:color w:val="16261F"/>
                <w:sz w:val="16"/>
              </w:rPr>
              <w:t>audit_log</w:t>
            </w:r>
          </w:p>
        </w:tc>
        <w:tc>
          <w:tcPr>
            <w:tcW w:type="dxa" w:w="3816"/>
            <w:tcMar>
              <w:top w:w="60" w:type="dxa"/>
              <w:left w:w="110" w:type="dxa"/>
              <w:bottom w:w="60" w:type="dxa"/>
              <w:right w:w="110" w:type="dxa"/>
            </w:tcMar>
          </w:tcPr>
          <w:p>
            <w:pPr>
              <w:spacing w:after="0"/>
            </w:pPr>
            <w:r>
              <w:rPr>
                <w:b w:val="0"/>
                <w:i w:val="0"/>
                <w:color w:val="16261F"/>
                <w:sz w:val="17"/>
              </w:rPr>
              <w:t>id, merchant_id, brand_id, actor_type, actor_id, action, object_type, object_id, source_ip, outcome, metadata, occurred_at</w:t>
            </w:r>
          </w:p>
        </w:tc>
        <w:tc>
          <w:tcPr>
            <w:tcW w:type="dxa" w:w="3744"/>
            <w:tcMar>
              <w:top w:w="60" w:type="dxa"/>
              <w:left w:w="110" w:type="dxa"/>
              <w:bottom w:w="60" w:type="dxa"/>
              <w:right w:w="110" w:type="dxa"/>
            </w:tcMar>
          </w:tcPr>
          <w:p>
            <w:pPr>
              <w:spacing w:after="0"/>
            </w:pPr>
            <w:r>
              <w:rPr>
                <w:b w:val="0"/>
                <w:i w:val="0"/>
                <w:color w:val="16261F"/>
                <w:sz w:val="17"/>
              </w:rPr>
              <w:t>Append-only. No update or delete grant issued to the application role.</w:t>
            </w:r>
          </w:p>
        </w:tc>
      </w:tr>
    </w:tbl>
    <w:p>
      <w:pPr>
        <w:pStyle w:val="Heading2"/>
      </w:pPr>
      <w:r>
        <w:t>5.3 Notable modelling decisions</w:t>
      </w:r>
    </w:p>
    <w:p>
      <w:pPr>
        <w:pStyle w:val="ListBullet"/>
        <w:spacing w:after="60"/>
        <w:ind w:left="360"/>
      </w:pPr>
      <w:r>
        <w:rPr>
          <w:color w:val="16261F"/>
          <w:sz w:val="21"/>
        </w:rPr>
        <w:t>All money as integer minor units</w:t>
      </w:r>
      <w:r>
        <w:rPr>
          <w:color w:val="5B6B63"/>
          <w:sz w:val="21"/>
        </w:rPr>
        <w:t xml:space="preserve"> — columns suffixed _minor hold cents. No decimal or float type is used for money anywhere, satisfying NFR-INT-001</w:t>
      </w:r>
    </w:p>
    <w:p>
      <w:pPr>
        <w:pStyle w:val="ListBullet"/>
        <w:spacing w:after="60"/>
        <w:ind w:left="360"/>
      </w:pPr>
      <w:r>
        <w:rPr>
          <w:color w:val="16261F"/>
          <w:sz w:val="21"/>
        </w:rPr>
        <w:t>All rates as basis points</w:t>
      </w:r>
      <w:r>
        <w:rPr>
          <w:color w:val="5B6B63"/>
          <w:sz w:val="21"/>
        </w:rPr>
        <w:t xml:space="preserve"> — a 6% tax is stored as 600. Integer arithmetic throughout removes an entire class of rounding defect</w:t>
      </w:r>
    </w:p>
    <w:p>
      <w:pPr>
        <w:pStyle w:val="ListBullet"/>
        <w:spacing w:after="60"/>
        <w:ind w:left="360"/>
      </w:pPr>
      <w:r>
        <w:rPr>
          <w:color w:val="16261F"/>
          <w:sz w:val="21"/>
        </w:rPr>
        <w:t>Applied rates frozen on the invoice</w:t>
      </w:r>
      <w:r>
        <w:rPr>
          <w:color w:val="5B6B63"/>
          <w:sz w:val="21"/>
        </w:rPr>
        <w:t xml:space="preserve"> — tax_rate_bp_applied and card_fee_rate_bp_applied are copied at issue, so later configuration changes cannot alter history</w:t>
      </w:r>
    </w:p>
    <w:p>
      <w:pPr>
        <w:pStyle w:val="ListBullet"/>
        <w:spacing w:after="60"/>
        <w:ind w:left="360"/>
      </w:pPr>
      <w:r>
        <w:rPr>
          <w:color w:val="16261F"/>
          <w:sz w:val="21"/>
        </w:rPr>
        <w:t>balance_minor stored, not computed</w:t>
      </w:r>
      <w:r>
        <w:rPr>
          <w:color w:val="5B6B63"/>
          <w:sz w:val="21"/>
        </w:rPr>
        <w:t xml:space="preserve"> — derived on payment within the same transaction. Avoids an aggregate scan on every list query, and a reconciliation job verifies it</w:t>
      </w:r>
    </w:p>
    <w:p>
      <w:pPr>
        <w:pStyle w:val="ListBullet"/>
        <w:spacing w:after="60"/>
        <w:ind w:left="360"/>
      </w:pPr>
      <w:r>
        <w:rPr>
          <w:color w:val="16261F"/>
          <w:sz w:val="21"/>
        </w:rPr>
        <w:t>public_token separate from invoice number</w:t>
      </w:r>
      <w:r>
        <w:rPr>
          <w:color w:val="5B6B63"/>
          <w:sz w:val="21"/>
        </w:rPr>
        <w:t xml:space="preserve"> — invoice numbers are sequential and guessable; the public token is not. Satisfies NFR-SEC-014</w:t>
      </w:r>
    </w:p>
    <w:p>
      <w:pPr>
        <w:pStyle w:val="ListBullet"/>
        <w:spacing w:after="60"/>
        <w:ind w:left="360"/>
      </w:pPr>
      <w:r>
        <w:rPr>
          <w:color w:val="16261F"/>
          <w:sz w:val="21"/>
        </w:rPr>
        <w:t>Addresses as structured columns, not free text</w:t>
      </w:r>
      <w:r>
        <w:rPr>
          <w:color w:val="5B6B63"/>
          <w:sz w:val="21"/>
        </w:rPr>
        <w:t xml:space="preserve"> — required for PDF rendering, Zoho mapping and future tax determination</w:t>
      </w:r>
    </w:p>
    <w:p>
      <w:pPr>
        <w:pStyle w:val="ListBullet"/>
        <w:spacing w:after="60"/>
        <w:ind w:left="360"/>
      </w:pPr>
      <w:r>
        <w:rPr>
          <w:color w:val="16261F"/>
          <w:sz w:val="21"/>
        </w:rPr>
        <w:t>Soft status over hard delete</w:t>
      </w:r>
      <w:r>
        <w:rPr>
          <w:color w:val="5B6B63"/>
          <w:sz w:val="21"/>
        </w:rPr>
        <w:t xml:space="preserve"> — financial records are never removed, satisfying NFR-INT-023</w:t>
      </w:r>
    </w:p>
    <w:p>
      <w:r>
        <w:br w:type="page"/>
      </w:r>
    </w:p>
    <w:p>
      <w:pPr>
        <w:pStyle w:val="Heading1"/>
      </w:pPr>
      <w:r>
        <w:t>6. Multi-tenancy and data isolation</w:t>
      </w:r>
    </w:p>
    <w:p>
      <w:pPr>
        <w:spacing w:after="140"/>
      </w:pPr>
      <w:r>
        <w:rPr>
          <w:b w:val="0"/>
          <w:i w:val="0"/>
          <w:color w:val="16261F"/>
          <w:sz w:val="21"/>
        </w:rPr>
        <w:t>Brand isolation is the single most consequential correctness property in the system, and the prototype implements none of it (GAP-001). The design therefore makes isolation structural rather than a matter of developer discipline.</w:t>
      </w:r>
    </w:p>
    <w:p>
      <w:pPr>
        <w:pStyle w:val="Heading2"/>
      </w:pPr>
      <w:r>
        <w:t>6.1 Three enforced layers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728"/>
            <w:shd w:val="clear" w:color="auto" w:fill="16261F"/>
            <w:tcMar>
              <w:top w:w="70" w:type="dxa"/>
              <w:left w:w="110" w:type="dxa"/>
              <w:bottom w:w="70" w:type="dxa"/>
              <w:right w:w="110" w:type="dxa"/>
            </w:tcMar>
          </w:tcPr>
          <w:p>
            <w:pPr>
              <w:spacing w:after="0"/>
            </w:pPr>
            <w:r>
              <w:rPr>
                <w:rFonts w:ascii="Calibri" w:hAnsi="Calibri"/>
                <w:b/>
                <w:color w:val="FFFFFF"/>
                <w:sz w:val="18"/>
              </w:rPr>
              <w:t>Layer</w:t>
            </w:r>
          </w:p>
        </w:tc>
        <w:tc>
          <w:tcPr>
            <w:tcW w:type="dxa" w:w="4320"/>
            <w:shd w:val="clear" w:color="auto" w:fill="16261F"/>
            <w:tcMar>
              <w:top w:w="70" w:type="dxa"/>
              <w:left w:w="110" w:type="dxa"/>
              <w:bottom w:w="70" w:type="dxa"/>
              <w:right w:w="110" w:type="dxa"/>
            </w:tcMar>
          </w:tcPr>
          <w:p>
            <w:pPr>
              <w:spacing w:after="0"/>
            </w:pPr>
            <w:r>
              <w:rPr>
                <w:rFonts w:ascii="Calibri" w:hAnsi="Calibri"/>
                <w:b/>
                <w:color w:val="FFFFFF"/>
                <w:sz w:val="18"/>
              </w:rPr>
              <w:t>Mechanism</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8"/>
              </w:rPr>
              <w:t>Catches</w:t>
            </w:r>
          </w:p>
        </w:tc>
      </w:tr>
      <w:tr>
        <w:tc>
          <w:tcPr>
            <w:tcW w:type="dxa" w:w="1728"/>
            <w:tcMar>
              <w:top w:w="60" w:type="dxa"/>
              <w:left w:w="110" w:type="dxa"/>
              <w:bottom w:w="60" w:type="dxa"/>
              <w:right w:w="110" w:type="dxa"/>
            </w:tcMar>
          </w:tcPr>
          <w:p>
            <w:pPr>
              <w:spacing w:after="0"/>
            </w:pPr>
            <w:r>
              <w:rPr>
                <w:b w:val="0"/>
                <w:i w:val="0"/>
                <w:color w:val="16261F"/>
                <w:sz w:val="19"/>
              </w:rPr>
              <w:t>1. Request guard</w:t>
            </w:r>
          </w:p>
        </w:tc>
        <w:tc>
          <w:tcPr>
            <w:tcW w:type="dxa" w:w="4320"/>
            <w:tcMar>
              <w:top w:w="60" w:type="dxa"/>
              <w:left w:w="110" w:type="dxa"/>
              <w:bottom w:w="60" w:type="dxa"/>
              <w:right w:w="110" w:type="dxa"/>
            </w:tcMar>
          </w:tcPr>
          <w:p>
            <w:pPr>
              <w:spacing w:after="0"/>
            </w:pPr>
            <w:r>
              <w:rPr>
                <w:b w:val="0"/>
                <w:i w:val="0"/>
                <w:color w:val="16261F"/>
                <w:sz w:val="19"/>
              </w:rPr>
              <w:t>Middleware resolves the session, loads role and brand assignments, and populates an immutable request scope before any handler executes.</w:t>
            </w:r>
          </w:p>
        </w:tc>
        <w:tc>
          <w:tcPr>
            <w:tcW w:type="dxa" w:w="3312"/>
            <w:tcMar>
              <w:top w:w="60" w:type="dxa"/>
              <w:left w:w="110" w:type="dxa"/>
              <w:bottom w:w="60" w:type="dxa"/>
              <w:right w:w="110" w:type="dxa"/>
            </w:tcMar>
          </w:tcPr>
          <w:p>
            <w:pPr>
              <w:spacing w:after="0"/>
            </w:pPr>
            <w:r>
              <w:rPr>
                <w:b w:val="0"/>
                <w:i w:val="0"/>
                <w:color w:val="16261F"/>
                <w:sz w:val="19"/>
              </w:rPr>
              <w:t>Unauthenticated access; access to an entirely unassigned brand.</w:t>
            </w:r>
          </w:p>
        </w:tc>
      </w:tr>
      <w:tr>
        <w:tc>
          <w:tcPr>
            <w:tcW w:type="dxa" w:w="1728"/>
            <w:tcMar>
              <w:top w:w="60" w:type="dxa"/>
              <w:left w:w="110" w:type="dxa"/>
              <w:bottom w:w="60" w:type="dxa"/>
              <w:right w:w="110" w:type="dxa"/>
            </w:tcMar>
            <w:shd w:val="clear" w:color="auto" w:fill="F5F7F5"/>
          </w:tcPr>
          <w:p>
            <w:pPr>
              <w:spacing w:after="0"/>
            </w:pPr>
            <w:r>
              <w:rPr>
                <w:b w:val="0"/>
                <w:i w:val="0"/>
                <w:color w:val="16261F"/>
                <w:sz w:val="19"/>
              </w:rPr>
              <w:t>2. Repository scoping</w:t>
            </w:r>
          </w:p>
        </w:tc>
        <w:tc>
          <w:tcPr>
            <w:tcW w:type="dxa" w:w="4320"/>
            <w:tcMar>
              <w:top w:w="60" w:type="dxa"/>
              <w:left w:w="110" w:type="dxa"/>
              <w:bottom w:w="60" w:type="dxa"/>
              <w:right w:w="110" w:type="dxa"/>
            </w:tcMar>
            <w:shd w:val="clear" w:color="auto" w:fill="F5F7F5"/>
          </w:tcPr>
          <w:p>
            <w:pPr>
              <w:spacing w:after="0"/>
            </w:pPr>
            <w:r>
              <w:rPr>
                <w:b w:val="0"/>
                <w:i w:val="0"/>
                <w:color w:val="16261F"/>
                <w:sz w:val="19"/>
              </w:rPr>
              <w:t>Every repository method requires a brand scope parameter. There is no method that queries an operational table without one.</w:t>
            </w:r>
          </w:p>
        </w:tc>
        <w:tc>
          <w:tcPr>
            <w:tcW w:type="dxa" w:w="3312"/>
            <w:tcMar>
              <w:top w:w="60" w:type="dxa"/>
              <w:left w:w="110" w:type="dxa"/>
              <w:bottom w:w="60" w:type="dxa"/>
              <w:right w:w="110" w:type="dxa"/>
            </w:tcMar>
            <w:shd w:val="clear" w:color="auto" w:fill="F5F7F5"/>
          </w:tcPr>
          <w:p>
            <w:pPr>
              <w:spacing w:after="0"/>
            </w:pPr>
            <w:r>
              <w:rPr>
                <w:b w:val="0"/>
                <w:i w:val="0"/>
                <w:color w:val="16261F"/>
                <w:sz w:val="19"/>
              </w:rPr>
              <w:t>A developer forgetting a WHERE clause — the query will not compile without the scope.</w:t>
            </w:r>
          </w:p>
        </w:tc>
      </w:tr>
      <w:tr>
        <w:tc>
          <w:tcPr>
            <w:tcW w:type="dxa" w:w="1728"/>
            <w:tcMar>
              <w:top w:w="60" w:type="dxa"/>
              <w:left w:w="110" w:type="dxa"/>
              <w:bottom w:w="60" w:type="dxa"/>
              <w:right w:w="110" w:type="dxa"/>
            </w:tcMar>
          </w:tcPr>
          <w:p>
            <w:pPr>
              <w:spacing w:after="0"/>
            </w:pPr>
            <w:r>
              <w:rPr>
                <w:b w:val="0"/>
                <w:i w:val="0"/>
                <w:color w:val="16261F"/>
                <w:sz w:val="19"/>
              </w:rPr>
              <w:t>3. Database row-level security</w:t>
            </w:r>
          </w:p>
        </w:tc>
        <w:tc>
          <w:tcPr>
            <w:tcW w:type="dxa" w:w="4320"/>
            <w:tcMar>
              <w:top w:w="60" w:type="dxa"/>
              <w:left w:w="110" w:type="dxa"/>
              <w:bottom w:w="60" w:type="dxa"/>
              <w:right w:w="110" w:type="dxa"/>
            </w:tcMar>
          </w:tcPr>
          <w:p>
            <w:pPr>
              <w:spacing w:after="0"/>
            </w:pPr>
            <w:r>
              <w:rPr>
                <w:b w:val="0"/>
                <w:i w:val="0"/>
                <w:color w:val="16261F"/>
                <w:sz w:val="19"/>
              </w:rPr>
              <w:t>PostgreSQL RLS policies on every brand-scoped table, keyed to a session variable set per transaction.</w:t>
            </w:r>
          </w:p>
        </w:tc>
        <w:tc>
          <w:tcPr>
            <w:tcW w:type="dxa" w:w="3312"/>
            <w:tcMar>
              <w:top w:w="60" w:type="dxa"/>
              <w:left w:w="110" w:type="dxa"/>
              <w:bottom w:w="60" w:type="dxa"/>
              <w:right w:w="110" w:type="dxa"/>
            </w:tcMar>
          </w:tcPr>
          <w:p>
            <w:pPr>
              <w:spacing w:after="0"/>
            </w:pPr>
            <w:r>
              <w:rPr>
                <w:b w:val="0"/>
                <w:i w:val="0"/>
                <w:color w:val="16261F"/>
                <w:sz w:val="19"/>
              </w:rPr>
              <w:t>A raw query, a reporting tool, or a bug that bypasses the repository layer entirely.</w:t>
            </w:r>
          </w:p>
        </w:tc>
      </w:tr>
    </w:tbl>
    <w:p>
      <w:pPr>
        <w:pBdr>
          <w:left w:val="single" w:sz="18" w:space="10" w:color="2D6A6A"/>
        </w:pBdr>
        <w:shd w:val="clear" w:color="auto" w:fill="EDF1EE"/>
        <w:spacing w:before="160" w:after="180"/>
        <w:ind w:left="173"/>
      </w:pPr>
      <w:r>
        <w:rPr>
          <w:b/>
          <w:color w:val="2D6A6A"/>
          <w:sz w:val="17"/>
        </w:rPr>
        <w:t xml:space="preserve">DEFENCE IN DEPTH, DELIBERATELY  </w:t>
      </w:r>
      <w:r>
        <w:rPr>
          <w:color w:val="16261F"/>
          <w:sz w:val="20"/>
        </w:rPr>
        <w:t>Layer 3 is redundant if layers 1 and 2 are perfect. They will not be perfect. Row-level security means the worst outcome of a missing filter is an empty result set rather than another brand's invoices. Requirement NFR-SEC-011 mandates enforcement at the query layer for exactly this reason.</w:t>
      </w:r>
    </w:p>
    <w:p>
      <w:pPr>
        <w:pStyle w:val="Heading2"/>
      </w:pPr>
      <w:r>
        <w:t>6.2 Scope resolution</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Request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 Resolve session ──► invalid ──► 401                              </w:t>
            </w:r>
          </w:p>
          <w:p>
            <w:pPr>
              <w:spacing w:after="0" w:line="240" w:lineRule="auto"/>
            </w:pPr>
            <w:r>
              <w:rPr>
                <w:rFonts w:ascii="Consolas" w:hAnsi="Consolas"/>
                <w:color w:val="16261F"/>
                <w:sz w:val="17"/>
              </w:rPr>
              <w:t xml:space="preserve">     │ valid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Load user: merchant_id, role, assigned brand_ids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Determine target brand from route or active-brand header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role covers all brands?  ──no──► brand in assigned set?          </w:t>
            </w:r>
          </w:p>
          <w:p>
            <w:pPr>
              <w:spacing w:after="0" w:line="240" w:lineRule="auto"/>
            </w:pPr>
            <w:r>
              <w:rPr>
                <w:rFonts w:ascii="Consolas" w:hAnsi="Consolas"/>
                <w:color w:val="16261F"/>
                <w:sz w:val="17"/>
              </w:rPr>
              <w:t xml:space="preserve">     │ yes                                    │ no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403 + audit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Permission matrix: does role allow this action on this resource? </w:t>
            </w:r>
          </w:p>
          <w:p>
            <w:pPr>
              <w:spacing w:after="0" w:line="240" w:lineRule="auto"/>
            </w:pPr>
            <w:r>
              <w:rPr>
                <w:rFonts w:ascii="Consolas" w:hAnsi="Consolas"/>
                <w:color w:val="16261F"/>
                <w:sz w:val="17"/>
              </w:rPr>
              <w:t xml:space="preserve">     │ no ──► 403 + audit                                              </w:t>
            </w:r>
          </w:p>
          <w:p>
            <w:pPr>
              <w:spacing w:after="0" w:line="240" w:lineRule="auto"/>
            </w:pPr>
            <w:r>
              <w:rPr>
                <w:rFonts w:ascii="Consolas" w:hAnsi="Consolas"/>
                <w:color w:val="16261F"/>
                <w:sz w:val="17"/>
              </w:rPr>
              <w:t xml:space="preserve">     │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SET LOCAL app.brand_id = &lt;brand&gt;  (activates RLS for the txn)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Handler executes — repositories physically cannot see other      </w:t>
            </w:r>
          </w:p>
          <w:p>
            <w:pPr>
              <w:spacing w:after="0" w:line="240" w:lineRule="auto"/>
            </w:pPr>
            <w:r>
              <w:rPr>
                <w:rFonts w:ascii="Consolas" w:hAnsi="Consolas"/>
                <w:color w:val="16261F"/>
                <w:sz w:val="17"/>
              </w:rPr>
              <w:t xml:space="preserve">      brands' rows for the duration of this transaction                </w:t>
            </w:r>
          </w:p>
        </w:tc>
      </w:tr>
    </w:tbl>
    <w:p>
      <w:pPr>
        <w:spacing w:after="40"/>
      </w:pPr>
    </w:p>
    <w:p>
      <w:pPr>
        <w:pStyle w:val="Heading2"/>
      </w:pPr>
      <w:r>
        <w:t>6.3 Public payment path</w:t>
      </w:r>
    </w:p>
    <w:p>
      <w:pPr>
        <w:spacing w:after="140"/>
      </w:pPr>
      <w:r>
        <w:rPr>
          <w:b w:val="0"/>
          <w:i w:val="0"/>
          <w:color w:val="16261F"/>
          <w:sz w:val="21"/>
        </w:rPr>
        <w:t>The payment application has no session. Scope is derived from the signed invoice token instead:</w:t>
      </w:r>
    </w:p>
    <w:p>
      <w:pPr>
        <w:pStyle w:val="ListNumber"/>
        <w:spacing w:after="60"/>
        <w:ind w:left="360"/>
      </w:pPr>
      <w:r>
        <w:rPr>
          <w:color w:val="16261F"/>
          <w:sz w:val="21"/>
        </w:rPr>
        <w:t>The public token is looked up against a dedicated index, returning at most one invoice.</w:t>
      </w:r>
    </w:p>
    <w:p>
      <w:pPr>
        <w:pStyle w:val="ListNumber"/>
        <w:spacing w:after="60"/>
        <w:ind w:left="360"/>
      </w:pPr>
      <w:r>
        <w:rPr>
          <w:color w:val="16261F"/>
          <w:sz w:val="21"/>
        </w:rPr>
        <w:t>The brand scope is derived from that invoice, never from a client-supplied parameter.</w:t>
      </w:r>
    </w:p>
    <w:p>
      <w:pPr>
        <w:pStyle w:val="ListNumber"/>
        <w:spacing w:after="60"/>
        <w:ind w:left="360"/>
      </w:pPr>
      <w:r>
        <w:rPr>
          <w:color w:val="16261F"/>
          <w:sz w:val="21"/>
        </w:rPr>
        <w:t>Row-level security is activated with the derived brand for the remainder of the transaction.</w:t>
      </w:r>
    </w:p>
    <w:p>
      <w:pPr>
        <w:pStyle w:val="ListNumber"/>
        <w:spacing w:after="60"/>
        <w:ind w:left="360"/>
      </w:pPr>
      <w:r>
        <w:rPr>
          <w:color w:val="16261F"/>
          <w:sz w:val="21"/>
        </w:rPr>
        <w:t>Only the fields required to render and pay the invoice are projected — the payment application never receives the full invoice record, customer notes or internal fields.</w:t>
      </w:r>
    </w:p>
    <w:p>
      <w:r>
        <w:br w:type="page"/>
      </w:r>
    </w:p>
    <w:p>
      <w:pPr>
        <w:pStyle w:val="Heading1"/>
      </w:pPr>
      <w:r>
        <w:t>7. Authentication and authorisation design</w:t>
      </w:r>
    </w:p>
    <w:p>
      <w:pPr>
        <w:pStyle w:val="Heading2"/>
      </w:pPr>
      <w:r>
        <w:t>7.1 Session model</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728"/>
            <w:shd w:val="clear" w:color="auto" w:fill="16261F"/>
            <w:tcMar>
              <w:top w:w="70" w:type="dxa"/>
              <w:left w:w="110" w:type="dxa"/>
              <w:bottom w:w="70" w:type="dxa"/>
              <w:right w:w="110" w:type="dxa"/>
            </w:tcMar>
          </w:tcPr>
          <w:p>
            <w:pPr>
              <w:spacing w:after="0"/>
            </w:pPr>
            <w:r>
              <w:rPr>
                <w:rFonts w:ascii="Calibri" w:hAnsi="Calibri"/>
                <w:b/>
                <w:color w:val="FFFFFF"/>
                <w:sz w:val="18"/>
              </w:rPr>
              <w:t>Aspect</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8"/>
              </w:rPr>
              <w:t>Design</w:t>
            </w:r>
          </w:p>
        </w:tc>
        <w:tc>
          <w:tcPr>
            <w:tcW w:type="dxa" w:w="4032"/>
            <w:shd w:val="clear" w:color="auto" w:fill="16261F"/>
            <w:tcMar>
              <w:top w:w="70" w:type="dxa"/>
              <w:left w:w="110" w:type="dxa"/>
              <w:bottom w:w="70" w:type="dxa"/>
              <w:right w:w="110" w:type="dxa"/>
            </w:tcMar>
          </w:tcPr>
          <w:p>
            <w:pPr>
              <w:spacing w:after="0"/>
            </w:pPr>
            <w:r>
              <w:rPr>
                <w:rFonts w:ascii="Calibri" w:hAnsi="Calibri"/>
                <w:b/>
                <w:color w:val="FFFFFF"/>
                <w:sz w:val="18"/>
              </w:rPr>
              <w:t>Rationale</w:t>
            </w:r>
          </w:p>
        </w:tc>
      </w:tr>
      <w:tr>
        <w:tc>
          <w:tcPr>
            <w:tcW w:type="dxa" w:w="1728"/>
            <w:tcMar>
              <w:top w:w="60" w:type="dxa"/>
              <w:left w:w="110" w:type="dxa"/>
              <w:bottom w:w="60" w:type="dxa"/>
              <w:right w:w="110" w:type="dxa"/>
            </w:tcMar>
          </w:tcPr>
          <w:p>
            <w:pPr>
              <w:spacing w:after="0"/>
            </w:pPr>
            <w:r>
              <w:rPr>
                <w:b w:val="0"/>
                <w:i w:val="0"/>
                <w:color w:val="16261F"/>
                <w:sz w:val="19"/>
              </w:rPr>
              <w:t>Session transport</w:t>
            </w:r>
          </w:p>
        </w:tc>
        <w:tc>
          <w:tcPr>
            <w:tcW w:type="dxa" w:w="3600"/>
            <w:tcMar>
              <w:top w:w="60" w:type="dxa"/>
              <w:left w:w="110" w:type="dxa"/>
              <w:bottom w:w="60" w:type="dxa"/>
              <w:right w:w="110" w:type="dxa"/>
            </w:tcMar>
          </w:tcPr>
          <w:p>
            <w:pPr>
              <w:spacing w:after="0"/>
            </w:pPr>
            <w:r>
              <w:rPr>
                <w:b w:val="0"/>
                <w:i w:val="0"/>
                <w:color w:val="16261F"/>
                <w:sz w:val="19"/>
              </w:rPr>
              <w:t>Opaque token in an HttpOnly, Secure, SameSite=Lax cookie.</w:t>
            </w:r>
          </w:p>
        </w:tc>
        <w:tc>
          <w:tcPr>
            <w:tcW w:type="dxa" w:w="4032"/>
            <w:tcMar>
              <w:top w:w="60" w:type="dxa"/>
              <w:left w:w="110" w:type="dxa"/>
              <w:bottom w:w="60" w:type="dxa"/>
              <w:right w:w="110" w:type="dxa"/>
            </w:tcMar>
          </w:tcPr>
          <w:p>
            <w:pPr>
              <w:spacing w:after="0"/>
            </w:pPr>
            <w:r>
              <w:rPr>
                <w:b w:val="0"/>
                <w:i w:val="0"/>
                <w:color w:val="16261F"/>
                <w:sz w:val="19"/>
              </w:rPr>
              <w:t>Not readable by script; immune to token theft via XSS.</w:t>
            </w:r>
          </w:p>
        </w:tc>
      </w:tr>
      <w:tr>
        <w:tc>
          <w:tcPr>
            <w:tcW w:type="dxa" w:w="1728"/>
            <w:tcMar>
              <w:top w:w="60" w:type="dxa"/>
              <w:left w:w="110" w:type="dxa"/>
              <w:bottom w:w="60" w:type="dxa"/>
              <w:right w:w="110" w:type="dxa"/>
            </w:tcMar>
            <w:shd w:val="clear" w:color="auto" w:fill="F5F7F5"/>
          </w:tcPr>
          <w:p>
            <w:pPr>
              <w:spacing w:after="0"/>
            </w:pPr>
            <w:r>
              <w:rPr>
                <w:b w:val="0"/>
                <w:i w:val="0"/>
                <w:color w:val="16261F"/>
                <w:sz w:val="19"/>
              </w:rPr>
              <w:t>Session storage</w:t>
            </w:r>
          </w:p>
        </w:tc>
        <w:tc>
          <w:tcPr>
            <w:tcW w:type="dxa" w:w="3600"/>
            <w:tcMar>
              <w:top w:w="60" w:type="dxa"/>
              <w:left w:w="110" w:type="dxa"/>
              <w:bottom w:w="60" w:type="dxa"/>
              <w:right w:w="110" w:type="dxa"/>
            </w:tcMar>
            <w:shd w:val="clear" w:color="auto" w:fill="F5F7F5"/>
          </w:tcPr>
          <w:p>
            <w:pPr>
              <w:spacing w:after="0"/>
            </w:pPr>
            <w:r>
              <w:rPr>
                <w:b w:val="0"/>
                <w:i w:val="0"/>
                <w:color w:val="16261F"/>
                <w:sz w:val="19"/>
              </w:rPr>
              <w:t>Server-side record with expiry, keyed by token hash.</w:t>
            </w:r>
          </w:p>
        </w:tc>
        <w:tc>
          <w:tcPr>
            <w:tcW w:type="dxa" w:w="4032"/>
            <w:tcMar>
              <w:top w:w="60" w:type="dxa"/>
              <w:left w:w="110" w:type="dxa"/>
              <w:bottom w:w="60" w:type="dxa"/>
              <w:right w:w="110" w:type="dxa"/>
            </w:tcMar>
            <w:shd w:val="clear" w:color="auto" w:fill="F5F7F5"/>
          </w:tcPr>
          <w:p>
            <w:pPr>
              <w:spacing w:after="0"/>
            </w:pPr>
            <w:r>
              <w:rPr>
                <w:b w:val="0"/>
                <w:i w:val="0"/>
                <w:color w:val="16261F"/>
                <w:sz w:val="19"/>
              </w:rPr>
              <w:t>Enables true server-side revocation, which a self-contained JWT cannot provide (NFR-SEC-013).</w:t>
            </w:r>
          </w:p>
        </w:tc>
      </w:tr>
      <w:tr>
        <w:tc>
          <w:tcPr>
            <w:tcW w:type="dxa" w:w="1728"/>
            <w:tcMar>
              <w:top w:w="60" w:type="dxa"/>
              <w:left w:w="110" w:type="dxa"/>
              <w:bottom w:w="60" w:type="dxa"/>
              <w:right w:w="110" w:type="dxa"/>
            </w:tcMar>
          </w:tcPr>
          <w:p>
            <w:pPr>
              <w:spacing w:after="0"/>
            </w:pPr>
            <w:r>
              <w:rPr>
                <w:b w:val="0"/>
                <w:i w:val="0"/>
                <w:color w:val="16261F"/>
                <w:sz w:val="19"/>
              </w:rPr>
              <w:t>Why not stateless JWT</w:t>
            </w:r>
          </w:p>
        </w:tc>
        <w:tc>
          <w:tcPr>
            <w:tcW w:type="dxa" w:w="3600"/>
            <w:tcMar>
              <w:top w:w="60" w:type="dxa"/>
              <w:left w:w="110" w:type="dxa"/>
              <w:bottom w:w="60" w:type="dxa"/>
              <w:right w:w="110" w:type="dxa"/>
            </w:tcMar>
          </w:tcPr>
          <w:p>
            <w:pPr>
              <w:spacing w:after="0"/>
            </w:pPr>
            <w:r>
              <w:rPr>
                <w:b w:val="0"/>
                <w:i w:val="0"/>
                <w:color w:val="16261F"/>
                <w:sz w:val="19"/>
              </w:rPr>
              <w:t>Rejected. A signed token cannot be revoked before expiry.</w:t>
            </w:r>
          </w:p>
        </w:tc>
        <w:tc>
          <w:tcPr>
            <w:tcW w:type="dxa" w:w="4032"/>
            <w:tcMar>
              <w:top w:w="60" w:type="dxa"/>
              <w:left w:w="110" w:type="dxa"/>
              <w:bottom w:w="60" w:type="dxa"/>
              <w:right w:w="110" w:type="dxa"/>
            </w:tcMar>
          </w:tcPr>
          <w:p>
            <w:pPr>
              <w:spacing w:after="0"/>
            </w:pPr>
            <w:r>
              <w:rPr>
                <w:b w:val="0"/>
                <w:i w:val="0"/>
                <w:color w:val="16261F"/>
                <w:sz w:val="19"/>
              </w:rPr>
              <w:t>FR-AUTH-010 and FR-ORG-014 require immediate termination. See ADR-004.</w:t>
            </w:r>
          </w:p>
        </w:tc>
      </w:tr>
      <w:tr>
        <w:tc>
          <w:tcPr>
            <w:tcW w:type="dxa" w:w="1728"/>
            <w:tcMar>
              <w:top w:w="60" w:type="dxa"/>
              <w:left w:w="110" w:type="dxa"/>
              <w:bottom w:w="60" w:type="dxa"/>
              <w:right w:w="110" w:type="dxa"/>
            </w:tcMar>
            <w:shd w:val="clear" w:color="auto" w:fill="F5F7F5"/>
          </w:tcPr>
          <w:p>
            <w:pPr>
              <w:spacing w:after="0"/>
            </w:pPr>
            <w:r>
              <w:rPr>
                <w:b w:val="0"/>
                <w:i w:val="0"/>
                <w:color w:val="16261F"/>
                <w:sz w:val="19"/>
              </w:rPr>
              <w:t>Idle expiry</w:t>
            </w:r>
          </w:p>
        </w:tc>
        <w:tc>
          <w:tcPr>
            <w:tcW w:type="dxa" w:w="3600"/>
            <w:tcMar>
              <w:top w:w="60" w:type="dxa"/>
              <w:left w:w="110" w:type="dxa"/>
              <w:bottom w:w="60" w:type="dxa"/>
              <w:right w:w="110" w:type="dxa"/>
            </w:tcMar>
            <w:shd w:val="clear" w:color="auto" w:fill="F5F7F5"/>
          </w:tcPr>
          <w:p>
            <w:pPr>
              <w:spacing w:after="0"/>
            </w:pPr>
            <w:r>
              <w:rPr>
                <w:b w:val="0"/>
                <w:i w:val="0"/>
                <w:color w:val="16261F"/>
                <w:sz w:val="19"/>
              </w:rPr>
              <w:t>Sliding window, default 30 minutes, configurable per merchant.</w:t>
            </w:r>
          </w:p>
        </w:tc>
        <w:tc>
          <w:tcPr>
            <w:tcW w:type="dxa" w:w="4032"/>
            <w:tcMar>
              <w:top w:w="60" w:type="dxa"/>
              <w:left w:w="110" w:type="dxa"/>
              <w:bottom w:w="60" w:type="dxa"/>
              <w:right w:w="110" w:type="dxa"/>
            </w:tcMar>
            <w:shd w:val="clear" w:color="auto" w:fill="F5F7F5"/>
          </w:tcPr>
          <w:p>
            <w:pPr>
              <w:spacing w:after="0"/>
            </w:pPr>
            <w:r>
              <w:rPr>
                <w:b w:val="0"/>
                <w:i w:val="0"/>
                <w:color w:val="16261F"/>
                <w:sz w:val="19"/>
              </w:rPr>
              <w:t>FR-AUTH-009.</w:t>
            </w:r>
          </w:p>
        </w:tc>
      </w:tr>
      <w:tr>
        <w:tc>
          <w:tcPr>
            <w:tcW w:type="dxa" w:w="1728"/>
            <w:tcMar>
              <w:top w:w="60" w:type="dxa"/>
              <w:left w:w="110" w:type="dxa"/>
              <w:bottom w:w="60" w:type="dxa"/>
              <w:right w:w="110" w:type="dxa"/>
            </w:tcMar>
          </w:tcPr>
          <w:p>
            <w:pPr>
              <w:spacing w:after="0"/>
            </w:pPr>
            <w:r>
              <w:rPr>
                <w:b w:val="0"/>
                <w:i w:val="0"/>
                <w:color w:val="16261F"/>
                <w:sz w:val="19"/>
              </w:rPr>
              <w:t>Absolute expiry</w:t>
            </w:r>
          </w:p>
        </w:tc>
        <w:tc>
          <w:tcPr>
            <w:tcW w:type="dxa" w:w="3600"/>
            <w:tcMar>
              <w:top w:w="60" w:type="dxa"/>
              <w:left w:w="110" w:type="dxa"/>
              <w:bottom w:w="60" w:type="dxa"/>
              <w:right w:w="110" w:type="dxa"/>
            </w:tcMar>
          </w:tcPr>
          <w:p>
            <w:pPr>
              <w:spacing w:after="0"/>
            </w:pPr>
            <w:r>
              <w:rPr>
                <w:b w:val="0"/>
                <w:i w:val="0"/>
                <w:color w:val="16261F"/>
                <w:sz w:val="19"/>
              </w:rPr>
              <w:t>12 hours regardless of activity.</w:t>
            </w:r>
          </w:p>
        </w:tc>
        <w:tc>
          <w:tcPr>
            <w:tcW w:type="dxa" w:w="4032"/>
            <w:tcMar>
              <w:top w:w="60" w:type="dxa"/>
              <w:left w:w="110" w:type="dxa"/>
              <w:bottom w:w="60" w:type="dxa"/>
              <w:right w:w="110" w:type="dxa"/>
            </w:tcMar>
          </w:tcPr>
          <w:p>
            <w:pPr>
              <w:spacing w:after="0"/>
            </w:pPr>
            <w:r>
              <w:rPr>
                <w:b w:val="0"/>
                <w:i w:val="0"/>
                <w:color w:val="16261F"/>
                <w:sz w:val="19"/>
              </w:rPr>
              <w:t>Limits the value of a stolen session.</w:t>
            </w:r>
          </w:p>
        </w:tc>
      </w:tr>
      <w:tr>
        <w:tc>
          <w:tcPr>
            <w:tcW w:type="dxa" w:w="1728"/>
            <w:tcMar>
              <w:top w:w="60" w:type="dxa"/>
              <w:left w:w="110" w:type="dxa"/>
              <w:bottom w:w="60" w:type="dxa"/>
              <w:right w:w="110" w:type="dxa"/>
            </w:tcMar>
            <w:shd w:val="clear" w:color="auto" w:fill="F5F7F5"/>
          </w:tcPr>
          <w:p>
            <w:pPr>
              <w:spacing w:after="0"/>
            </w:pPr>
            <w:r>
              <w:rPr>
                <w:b w:val="0"/>
                <w:i w:val="0"/>
                <w:color w:val="16261F"/>
                <w:sz w:val="19"/>
              </w:rPr>
              <w:t>Rotation</w:t>
            </w:r>
          </w:p>
        </w:tc>
        <w:tc>
          <w:tcPr>
            <w:tcW w:type="dxa" w:w="3600"/>
            <w:tcMar>
              <w:top w:w="60" w:type="dxa"/>
              <w:left w:w="110" w:type="dxa"/>
              <w:bottom w:w="60" w:type="dxa"/>
              <w:right w:w="110" w:type="dxa"/>
            </w:tcMar>
            <w:shd w:val="clear" w:color="auto" w:fill="F5F7F5"/>
          </w:tcPr>
          <w:p>
            <w:pPr>
              <w:spacing w:after="0"/>
            </w:pPr>
            <w:r>
              <w:rPr>
                <w:b w:val="0"/>
                <w:i w:val="0"/>
                <w:color w:val="16261F"/>
                <w:sz w:val="19"/>
              </w:rPr>
              <w:t>New token issued on sign-in and on any privilege change.</w:t>
            </w:r>
          </w:p>
        </w:tc>
        <w:tc>
          <w:tcPr>
            <w:tcW w:type="dxa" w:w="4032"/>
            <w:tcMar>
              <w:top w:w="60" w:type="dxa"/>
              <w:left w:w="110" w:type="dxa"/>
              <w:bottom w:w="60" w:type="dxa"/>
              <w:right w:w="110" w:type="dxa"/>
            </w:tcMar>
            <w:shd w:val="clear" w:color="auto" w:fill="F5F7F5"/>
          </w:tcPr>
          <w:p>
            <w:pPr>
              <w:spacing w:after="0"/>
            </w:pPr>
            <w:r>
              <w:rPr>
                <w:b w:val="0"/>
                <w:i w:val="0"/>
                <w:color w:val="16261F"/>
                <w:sz w:val="19"/>
              </w:rPr>
              <w:t>Prevents fixation and stale-privilege use.</w:t>
            </w:r>
          </w:p>
        </w:tc>
      </w:tr>
      <w:tr>
        <w:tc>
          <w:tcPr>
            <w:tcW w:type="dxa" w:w="1728"/>
            <w:tcMar>
              <w:top w:w="60" w:type="dxa"/>
              <w:left w:w="110" w:type="dxa"/>
              <w:bottom w:w="60" w:type="dxa"/>
              <w:right w:w="110" w:type="dxa"/>
            </w:tcMar>
          </w:tcPr>
          <w:p>
            <w:pPr>
              <w:spacing w:after="0"/>
            </w:pPr>
            <w:r>
              <w:rPr>
                <w:b w:val="0"/>
                <w:i w:val="0"/>
                <w:color w:val="16261F"/>
                <w:sz w:val="19"/>
              </w:rPr>
              <w:t>Password hashing</w:t>
            </w:r>
          </w:p>
        </w:tc>
        <w:tc>
          <w:tcPr>
            <w:tcW w:type="dxa" w:w="3600"/>
            <w:tcMar>
              <w:top w:w="60" w:type="dxa"/>
              <w:left w:w="110" w:type="dxa"/>
              <w:bottom w:w="60" w:type="dxa"/>
              <w:right w:w="110" w:type="dxa"/>
            </w:tcMar>
          </w:tcPr>
          <w:p>
            <w:pPr>
              <w:spacing w:after="0"/>
            </w:pPr>
            <w:r>
              <w:rPr>
                <w:b w:val="0"/>
                <w:i w:val="0"/>
                <w:color w:val="16261F"/>
                <w:sz w:val="19"/>
              </w:rPr>
              <w:t>Argon2id with tuned memory and time cost.</w:t>
            </w:r>
          </w:p>
        </w:tc>
        <w:tc>
          <w:tcPr>
            <w:tcW w:type="dxa" w:w="4032"/>
            <w:tcMar>
              <w:top w:w="60" w:type="dxa"/>
              <w:left w:w="110" w:type="dxa"/>
              <w:bottom w:w="60" w:type="dxa"/>
              <w:right w:w="110" w:type="dxa"/>
            </w:tcMar>
          </w:tcPr>
          <w:p>
            <w:pPr>
              <w:spacing w:after="0"/>
            </w:pPr>
            <w:r>
              <w:rPr>
                <w:b w:val="0"/>
                <w:i w:val="0"/>
                <w:color w:val="16261F"/>
                <w:sz w:val="19"/>
              </w:rPr>
              <w:t>Memory-hard, resistant to GPU attack (NFR-SEC-005).</w:t>
            </w:r>
          </w:p>
        </w:tc>
      </w:tr>
    </w:tbl>
    <w:p>
      <w:pPr>
        <w:pStyle w:val="Heading2"/>
      </w:pPr>
      <w:r>
        <w:t>7.2 Authorisation model</w:t>
      </w:r>
    </w:p>
    <w:p>
      <w:pPr>
        <w:spacing w:after="140"/>
      </w:pPr>
      <w:r>
        <w:rPr>
          <w:b w:val="0"/>
          <w:i w:val="0"/>
          <w:color w:val="16261F"/>
          <w:sz w:val="21"/>
        </w:rPr>
        <w:t>Permissions are computed, never stored per user. A user holds a role and a set of brand assignments; the effective permission set is derived from the matrix in FRS-001 section 3.3 at request time. This means a matrix change takes effect immediately for every user without a data migration, satisfying FR-AUTH-026.</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can(user, action, resource, brand) =                                 </w:t>
            </w:r>
          </w:p>
          <w:p>
            <w:pPr>
              <w:spacing w:after="0" w:line="240" w:lineRule="auto"/>
            </w:pPr>
            <w:r>
              <w:rPr>
                <w:rFonts w:ascii="Consolas" w:hAnsi="Consolas"/>
                <w:color w:val="16261F"/>
                <w:sz w:val="17"/>
              </w:rPr>
              <w:t xml:space="preserve">        brandInScope(user, brand)                                      </w:t>
            </w:r>
          </w:p>
          <w:p>
            <w:pPr>
              <w:spacing w:after="0" w:line="240" w:lineRule="auto"/>
            </w:pPr>
            <w:r>
              <w:rPr>
                <w:rFonts w:ascii="Consolas" w:hAnsi="Consolas"/>
                <w:color w:val="16261F"/>
                <w:sz w:val="17"/>
              </w:rPr>
              <w:t xml:space="preserve">    AND matrix[user.role][resource] contains action                    </w:t>
            </w:r>
          </w:p>
          <w:p>
            <w:pPr>
              <w:spacing w:after="0" w:line="240" w:lineRule="auto"/>
            </w:pPr>
            <w:r>
              <w:rPr>
                <w:rFonts w:ascii="Consolas" w:hAnsi="Consolas"/>
                <w:color w:val="16261F"/>
                <w:sz w:val="17"/>
              </w:rPr>
              <w:t xml:space="preserve">    AND resourceInvariant(action, resource)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brandInScope(user, brand) =                                          </w:t>
            </w:r>
          </w:p>
          <w:p>
            <w:pPr>
              <w:spacing w:after="0" w:line="240" w:lineRule="auto"/>
            </w:pPr>
            <w:r>
              <w:rPr>
                <w:rFonts w:ascii="Consolas" w:hAnsi="Consolas"/>
                <w:color w:val="16261F"/>
                <w:sz w:val="17"/>
              </w:rPr>
              <w:t xml:space="preserve">        user.role in { MerchantOwner, MerchantAdmin }                  </w:t>
            </w:r>
          </w:p>
          <w:p>
            <w:pPr>
              <w:spacing w:after="0" w:line="240" w:lineRule="auto"/>
            </w:pPr>
            <w:r>
              <w:rPr>
                <w:rFonts w:ascii="Consolas" w:hAnsi="Consolas"/>
                <w:color w:val="16261F"/>
                <w:sz w:val="17"/>
              </w:rPr>
              <w:t xml:space="preserve">     OR brand in user.assignedBrands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resourceInvariant examples:                                          </w:t>
            </w:r>
          </w:p>
          <w:p>
            <w:pPr>
              <w:spacing w:after="0" w:line="240" w:lineRule="auto"/>
            </w:pPr>
            <w:r>
              <w:rPr>
                <w:rFonts w:ascii="Consolas" w:hAnsi="Consolas"/>
                <w:color w:val="16261F"/>
                <w:sz w:val="17"/>
              </w:rPr>
              <w:t xml:space="preserve">     - cancel(invoice)  requires invoice has no settled payment        </w:t>
            </w:r>
          </w:p>
          <w:p>
            <w:pPr>
              <w:spacing w:after="0" w:line="240" w:lineRule="auto"/>
            </w:pPr>
            <w:r>
              <w:rPr>
                <w:rFonts w:ascii="Consolas" w:hAnsi="Consolas"/>
                <w:color w:val="16261F"/>
                <w:sz w:val="17"/>
              </w:rPr>
              <w:t xml:space="preserve">     - edit(invoice)    requires invoice.status == Draft               </w:t>
            </w:r>
          </w:p>
          <w:p>
            <w:pPr>
              <w:spacing w:after="0" w:line="240" w:lineRule="auto"/>
            </w:pPr>
            <w:r>
              <w:rPr>
                <w:rFonts w:ascii="Consolas" w:hAnsi="Consolas"/>
                <w:color w:val="16261F"/>
                <w:sz w:val="17"/>
              </w:rPr>
              <w:t xml:space="preserve">     - changeRole(u)    requires u.id != actor.id      (FR-AUTH-027)   </w:t>
            </w:r>
          </w:p>
          <w:p>
            <w:pPr>
              <w:spacing w:after="0" w:line="240" w:lineRule="auto"/>
            </w:pPr>
            <w:r>
              <w:rPr>
                <w:rFonts w:ascii="Consolas" w:hAnsi="Consolas"/>
                <w:color w:val="16261F"/>
                <w:sz w:val="17"/>
              </w:rPr>
              <w:t xml:space="preserve">     - deactivate(u)    requires not lastRemainingOwner(u)             </w:t>
            </w:r>
          </w:p>
        </w:tc>
      </w:tr>
    </w:tbl>
    <w:p>
      <w:pPr>
        <w:spacing w:after="40"/>
      </w:pPr>
    </w:p>
    <w:p>
      <w:pPr>
        <w:pBdr>
          <w:left w:val="single" w:sz="18" w:space="10" w:color="2D6A6A"/>
        </w:pBdr>
        <w:shd w:val="clear" w:color="auto" w:fill="EDF1EE"/>
        <w:spacing w:before="160" w:after="180"/>
        <w:ind w:left="173"/>
      </w:pPr>
      <w:r>
        <w:rPr>
          <w:b/>
          <w:color w:val="2D6A6A"/>
          <w:sz w:val="17"/>
        </w:rPr>
        <w:t xml:space="preserve">TEST OBLIGATION  </w:t>
      </w:r>
      <w:r>
        <w:rPr>
          <w:color w:val="16261F"/>
          <w:sz w:val="20"/>
        </w:rPr>
        <w:t>NFR-SEC-012 requires an automated test asserting the full cross product of role, endpoint and brand assignment. With six roles and roughly seventy protected endpoints this is generated from the matrix rather than hand-written, so that adding an endpoint without a matrix entry fails the build.</w:t>
      </w:r>
    </w:p>
    <w:p>
      <w:r>
        <w:br w:type="page"/>
      </w:r>
    </w:p>
    <w:p>
      <w:pPr>
        <w:pStyle w:val="Heading1"/>
      </w:pPr>
      <w:r>
        <w:t>8. Invoice and payment domain design</w:t>
      </w:r>
    </w:p>
    <w:p>
      <w:pPr>
        <w:pStyle w:val="Heading2"/>
      </w:pPr>
      <w:r>
        <w:t>8.1 Invoice state machine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create ───►│  DRAFT  │──── cancel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issue│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SENT   │──── cancel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first view│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VIEWED  │──── cancel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payment init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│PENDING PAYMENT│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settle  │       │ fail            │                       </w:t>
            </w:r>
          </w:p>
          <w:p>
            <w:pPr>
              <w:spacing w:after="0" w:line="240" w:lineRule="auto"/>
            </w:pPr>
            <w:r>
              <w:rPr>
                <w:rFonts w:ascii="Consolas" w:hAnsi="Consolas"/>
                <w:color w:val="16261F"/>
                <w:sz w:val="17"/>
              </w:rPr>
              <w:t xml:space="preserve">        │    partial │       └─────────────────┘ (back to prior)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PARTIALLY PAID│──── settle remainder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PAID   │ terminal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OVERDUE is an overlay flag, not a state. Applied by a      </w:t>
            </w:r>
          </w:p>
          <w:p>
            <w:pPr>
              <w:spacing w:after="0" w:line="240" w:lineRule="auto"/>
            </w:pPr>
            <w:r>
              <w:rPr>
                <w:rFonts w:ascii="Consolas" w:hAnsi="Consolas"/>
                <w:color w:val="16261F"/>
                <w:sz w:val="17"/>
              </w:rPr>
              <w:t xml:space="preserve">            scheduled job when due_date passes with balance &gt; 0.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cancel from any pre-payment ──►│ CANCELLED │ terminal          </w:t>
            </w:r>
          </w:p>
          <w:p>
            <w:pPr>
              <w:spacing w:after="0" w:line="240" w:lineRule="auto"/>
            </w:pPr>
            <w:r>
              <w:rPr>
                <w:rFonts w:ascii="Consolas" w:hAnsi="Consolas"/>
                <w:color w:val="16261F"/>
                <w:sz w:val="17"/>
              </w:rPr>
              <w:t xml:space="preserve">                                        └───────────┘                  </w:t>
            </w:r>
          </w:p>
        </w:tc>
      </w:tr>
    </w:tbl>
    <w:p>
      <w:pPr>
        <w:spacing w:after="40"/>
      </w:pPr>
    </w:p>
    <w:p>
      <w:pPr>
        <w:pStyle w:val="Heading2"/>
      </w:pPr>
      <w:r>
        <w:t>8.2 Transition guards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Transition</w:t>
            </w:r>
          </w:p>
        </w:tc>
        <w:tc>
          <w:tcPr>
            <w:tcW w:type="dxa" w:w="3456"/>
            <w:shd w:val="clear" w:color="auto" w:fill="16261F"/>
            <w:tcMar>
              <w:top w:w="70" w:type="dxa"/>
              <w:left w:w="110" w:type="dxa"/>
              <w:bottom w:w="70" w:type="dxa"/>
              <w:right w:w="110" w:type="dxa"/>
            </w:tcMar>
          </w:tcPr>
          <w:p>
            <w:pPr>
              <w:spacing w:after="0"/>
            </w:pPr>
            <w:r>
              <w:rPr>
                <w:rFonts w:ascii="Calibri" w:hAnsi="Calibri"/>
                <w:b/>
                <w:color w:val="FFFFFF"/>
                <w:sz w:val="17"/>
              </w:rPr>
              <w:t>Guard</w:t>
            </w:r>
          </w:p>
        </w:tc>
        <w:tc>
          <w:tcPr>
            <w:tcW w:type="dxa" w:w="3960"/>
            <w:shd w:val="clear" w:color="auto" w:fill="16261F"/>
            <w:tcMar>
              <w:top w:w="70" w:type="dxa"/>
              <w:left w:w="110" w:type="dxa"/>
              <w:bottom w:w="70" w:type="dxa"/>
              <w:right w:w="110" w:type="dxa"/>
            </w:tcMar>
          </w:tcPr>
          <w:p>
            <w:pPr>
              <w:spacing w:after="0"/>
            </w:pPr>
            <w:r>
              <w:rPr>
                <w:rFonts w:ascii="Calibri" w:hAnsi="Calibri"/>
                <w:b/>
                <w:color w:val="FFFFFF"/>
                <w:sz w:val="17"/>
              </w:rPr>
              <w:t>Side effects</w:t>
            </w:r>
          </w:p>
        </w:tc>
      </w:tr>
      <w:tr>
        <w:tc>
          <w:tcPr>
            <w:tcW w:type="dxa" w:w="1944"/>
            <w:tcMar>
              <w:top w:w="60" w:type="dxa"/>
              <w:left w:w="110" w:type="dxa"/>
              <w:bottom w:w="60" w:type="dxa"/>
              <w:right w:w="110" w:type="dxa"/>
            </w:tcMar>
          </w:tcPr>
          <w:p>
            <w:pPr>
              <w:spacing w:after="0"/>
            </w:pPr>
            <w:r>
              <w:rPr>
                <w:b w:val="0"/>
                <w:i w:val="0"/>
                <w:color w:val="16261F"/>
                <w:sz w:val="18"/>
              </w:rPr>
              <w:t>Draft → Sent</w:t>
            </w:r>
          </w:p>
        </w:tc>
        <w:tc>
          <w:tcPr>
            <w:tcW w:type="dxa" w:w="3456"/>
            <w:tcMar>
              <w:top w:w="60" w:type="dxa"/>
              <w:left w:w="110" w:type="dxa"/>
              <w:bottom w:w="60" w:type="dxa"/>
              <w:right w:w="110" w:type="dxa"/>
            </w:tcMar>
          </w:tcPr>
          <w:p>
            <w:pPr>
              <w:spacing w:after="0"/>
            </w:pPr>
            <w:r>
              <w:rPr>
                <w:b w:val="0"/>
                <w:i w:val="0"/>
                <w:color w:val="16261F"/>
                <w:sz w:val="18"/>
              </w:rPr>
              <w:t>Customer has a deliverable email; at least one line item; total is positive.</w:t>
            </w:r>
          </w:p>
        </w:tc>
        <w:tc>
          <w:tcPr>
            <w:tcW w:type="dxa" w:w="3960"/>
            <w:tcMar>
              <w:top w:w="60" w:type="dxa"/>
              <w:left w:w="110" w:type="dxa"/>
              <w:bottom w:w="60" w:type="dxa"/>
              <w:right w:w="110" w:type="dxa"/>
            </w:tcMar>
          </w:tcPr>
          <w:p>
            <w:pPr>
              <w:spacing w:after="0"/>
            </w:pPr>
            <w:r>
              <w:rPr>
                <w:b w:val="0"/>
                <w:i w:val="0"/>
                <w:color w:val="16261F"/>
                <w:sz w:val="18"/>
              </w:rPr>
              <w:t>Freeze applied tax and fee rates; allocate number; generate PDF; enqueue email; enqueue Zoho push; audit.</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Sent → Viewed</w:t>
            </w:r>
          </w:p>
        </w:tc>
        <w:tc>
          <w:tcPr>
            <w:tcW w:type="dxa" w:w="3456"/>
            <w:tcMar>
              <w:top w:w="60" w:type="dxa"/>
              <w:left w:w="110" w:type="dxa"/>
              <w:bottom w:w="60" w:type="dxa"/>
              <w:right w:w="110" w:type="dxa"/>
            </w:tcMar>
            <w:shd w:val="clear" w:color="auto" w:fill="F5F7F5"/>
          </w:tcPr>
          <w:p>
            <w:pPr>
              <w:spacing w:after="0"/>
            </w:pPr>
            <w:r>
              <w:rPr>
                <w:b w:val="0"/>
                <w:i w:val="0"/>
                <w:color w:val="16261F"/>
                <w:sz w:val="18"/>
              </w:rPr>
              <w:t>First retrieval of the public page only; subsequent views do not re-fire.</w:t>
            </w:r>
          </w:p>
        </w:tc>
        <w:tc>
          <w:tcPr>
            <w:tcW w:type="dxa" w:w="3960"/>
            <w:tcMar>
              <w:top w:w="60" w:type="dxa"/>
              <w:left w:w="110" w:type="dxa"/>
              <w:bottom w:w="60" w:type="dxa"/>
              <w:right w:w="110" w:type="dxa"/>
            </w:tcMar>
            <w:shd w:val="clear" w:color="auto" w:fill="F5F7F5"/>
          </w:tcPr>
          <w:p>
            <w:pPr>
              <w:spacing w:after="0"/>
            </w:pPr>
            <w:r>
              <w:rPr>
                <w:b w:val="0"/>
                <w:i w:val="0"/>
                <w:color w:val="16261F"/>
                <w:sz w:val="18"/>
              </w:rPr>
              <w:t>Record invoice_event; optional notification.</w:t>
            </w:r>
          </w:p>
        </w:tc>
      </w:tr>
      <w:tr>
        <w:tc>
          <w:tcPr>
            <w:tcW w:type="dxa" w:w="1944"/>
            <w:tcMar>
              <w:top w:w="60" w:type="dxa"/>
              <w:left w:w="110" w:type="dxa"/>
              <w:bottom w:w="60" w:type="dxa"/>
              <w:right w:w="110" w:type="dxa"/>
            </w:tcMar>
          </w:tcPr>
          <w:p>
            <w:pPr>
              <w:spacing w:after="0"/>
            </w:pPr>
            <w:r>
              <w:rPr>
                <w:b w:val="0"/>
                <w:i w:val="0"/>
                <w:color w:val="16261F"/>
                <w:sz w:val="18"/>
              </w:rPr>
              <w:t>any → Pending Payment</w:t>
            </w:r>
          </w:p>
        </w:tc>
        <w:tc>
          <w:tcPr>
            <w:tcW w:type="dxa" w:w="3456"/>
            <w:tcMar>
              <w:top w:w="60" w:type="dxa"/>
              <w:left w:w="110" w:type="dxa"/>
              <w:bottom w:w="60" w:type="dxa"/>
              <w:right w:w="110" w:type="dxa"/>
            </w:tcMar>
          </w:tcPr>
          <w:p>
            <w:pPr>
              <w:spacing w:after="0"/>
            </w:pPr>
            <w:r>
              <w:rPr>
                <w:b w:val="0"/>
                <w:i w:val="0"/>
                <w:color w:val="16261F"/>
                <w:sz w:val="18"/>
              </w:rPr>
              <w:t>Invoice is payable; no settled payment already clears the balance.</w:t>
            </w:r>
          </w:p>
        </w:tc>
        <w:tc>
          <w:tcPr>
            <w:tcW w:type="dxa" w:w="3960"/>
            <w:tcMar>
              <w:top w:w="60" w:type="dxa"/>
              <w:left w:w="110" w:type="dxa"/>
              <w:bottom w:w="60" w:type="dxa"/>
              <w:right w:w="110" w:type="dxa"/>
            </w:tcMar>
          </w:tcPr>
          <w:p>
            <w:pPr>
              <w:spacing w:after="0"/>
            </w:pPr>
            <w:r>
              <w:rPr>
                <w:b w:val="0"/>
                <w:i w:val="0"/>
                <w:color w:val="16261F"/>
                <w:sz w:val="18"/>
              </w:rPr>
              <w:t>Create payment intent; record idempotency key.</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Pending → Partially Paid</w:t>
            </w:r>
          </w:p>
        </w:tc>
        <w:tc>
          <w:tcPr>
            <w:tcW w:type="dxa" w:w="3456"/>
            <w:tcMar>
              <w:top w:w="60" w:type="dxa"/>
              <w:left w:w="110" w:type="dxa"/>
              <w:bottom w:w="60" w:type="dxa"/>
              <w:right w:w="110" w:type="dxa"/>
            </w:tcMar>
            <w:shd w:val="clear" w:color="auto" w:fill="F5F7F5"/>
          </w:tcPr>
          <w:p>
            <w:pPr>
              <w:spacing w:after="0"/>
            </w:pPr>
            <w:r>
              <w:rPr>
                <w:b w:val="0"/>
                <w:i w:val="0"/>
                <w:color w:val="16261F"/>
                <w:sz w:val="18"/>
              </w:rPr>
              <w:t>Settled amount is positive and less than balance.</w:t>
            </w:r>
          </w:p>
        </w:tc>
        <w:tc>
          <w:tcPr>
            <w:tcW w:type="dxa" w:w="3960"/>
            <w:tcMar>
              <w:top w:w="60" w:type="dxa"/>
              <w:left w:w="110" w:type="dxa"/>
              <w:bottom w:w="60" w:type="dxa"/>
              <w:right w:w="110" w:type="dxa"/>
            </w:tcMar>
            <w:shd w:val="clear" w:color="auto" w:fill="F5F7F5"/>
          </w:tcPr>
          <w:p>
            <w:pPr>
              <w:spacing w:after="0"/>
            </w:pPr>
            <w:r>
              <w:rPr>
                <w:b w:val="0"/>
                <w:i w:val="0"/>
                <w:color w:val="16261F"/>
                <w:sz w:val="18"/>
              </w:rPr>
              <w:t>Insert payment; decrement balance atomically; enqueue Zoho payment push; receipt email.</w:t>
            </w:r>
          </w:p>
        </w:tc>
      </w:tr>
      <w:tr>
        <w:tc>
          <w:tcPr>
            <w:tcW w:type="dxa" w:w="1944"/>
            <w:tcMar>
              <w:top w:w="60" w:type="dxa"/>
              <w:left w:w="110" w:type="dxa"/>
              <w:bottom w:w="60" w:type="dxa"/>
              <w:right w:w="110" w:type="dxa"/>
            </w:tcMar>
          </w:tcPr>
          <w:p>
            <w:pPr>
              <w:spacing w:after="0"/>
            </w:pPr>
            <w:r>
              <w:rPr>
                <w:b w:val="0"/>
                <w:i w:val="0"/>
                <w:color w:val="16261F"/>
                <w:sz w:val="18"/>
              </w:rPr>
              <w:t>Pending → Paid</w:t>
            </w:r>
          </w:p>
        </w:tc>
        <w:tc>
          <w:tcPr>
            <w:tcW w:type="dxa" w:w="3456"/>
            <w:tcMar>
              <w:top w:w="60" w:type="dxa"/>
              <w:left w:w="110" w:type="dxa"/>
              <w:bottom w:w="60" w:type="dxa"/>
              <w:right w:w="110" w:type="dxa"/>
            </w:tcMar>
          </w:tcPr>
          <w:p>
            <w:pPr>
              <w:spacing w:after="0"/>
            </w:pPr>
            <w:r>
              <w:rPr>
                <w:b w:val="0"/>
                <w:i w:val="0"/>
                <w:color w:val="16261F"/>
                <w:sz w:val="18"/>
              </w:rPr>
              <w:t>Cumulative settled equals or exceeds total.</w:t>
            </w:r>
          </w:p>
        </w:tc>
        <w:tc>
          <w:tcPr>
            <w:tcW w:type="dxa" w:w="3960"/>
            <w:tcMar>
              <w:top w:w="60" w:type="dxa"/>
              <w:left w:w="110" w:type="dxa"/>
              <w:bottom w:w="60" w:type="dxa"/>
              <w:right w:w="110" w:type="dxa"/>
            </w:tcMar>
          </w:tcPr>
          <w:p>
            <w:pPr>
              <w:spacing w:after="0"/>
            </w:pPr>
            <w:r>
              <w:rPr>
                <w:b w:val="0"/>
                <w:i w:val="0"/>
                <w:color w:val="16261F"/>
                <w:sz w:val="18"/>
              </w:rPr>
              <w:t>As above, plus close invoice; suppress reminders.</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Pending → prior state</w:t>
            </w:r>
          </w:p>
        </w:tc>
        <w:tc>
          <w:tcPr>
            <w:tcW w:type="dxa" w:w="3456"/>
            <w:tcMar>
              <w:top w:w="60" w:type="dxa"/>
              <w:left w:w="110" w:type="dxa"/>
              <w:bottom w:w="60" w:type="dxa"/>
              <w:right w:w="110" w:type="dxa"/>
            </w:tcMar>
            <w:shd w:val="clear" w:color="auto" w:fill="F5F7F5"/>
          </w:tcPr>
          <w:p>
            <w:pPr>
              <w:spacing w:after="0"/>
            </w:pPr>
            <w:r>
              <w:rPr>
                <w:b w:val="0"/>
                <w:i w:val="0"/>
                <w:color w:val="16261F"/>
                <w:sz w:val="18"/>
              </w:rPr>
              <w:t>Gateway reported definitive failure.</w:t>
            </w:r>
          </w:p>
        </w:tc>
        <w:tc>
          <w:tcPr>
            <w:tcW w:type="dxa" w:w="3960"/>
            <w:tcMar>
              <w:top w:w="60" w:type="dxa"/>
              <w:left w:w="110" w:type="dxa"/>
              <w:bottom w:w="60" w:type="dxa"/>
              <w:right w:w="110" w:type="dxa"/>
            </w:tcMar>
            <w:shd w:val="clear" w:color="auto" w:fill="F5F7F5"/>
          </w:tcPr>
          <w:p>
            <w:pPr>
              <w:spacing w:after="0"/>
            </w:pPr>
            <w:r>
              <w:rPr>
                <w:b w:val="0"/>
                <w:i w:val="0"/>
                <w:color w:val="16261F"/>
                <w:sz w:val="18"/>
              </w:rPr>
              <w:t>Record failure; leave balance untouched; notify per configuration.</w:t>
            </w:r>
          </w:p>
        </w:tc>
      </w:tr>
      <w:tr>
        <w:tc>
          <w:tcPr>
            <w:tcW w:type="dxa" w:w="1944"/>
            <w:tcMar>
              <w:top w:w="60" w:type="dxa"/>
              <w:left w:w="110" w:type="dxa"/>
              <w:bottom w:w="60" w:type="dxa"/>
              <w:right w:w="110" w:type="dxa"/>
            </w:tcMar>
          </w:tcPr>
          <w:p>
            <w:pPr>
              <w:spacing w:after="0"/>
            </w:pPr>
            <w:r>
              <w:rPr>
                <w:b w:val="0"/>
                <w:i w:val="0"/>
                <w:color w:val="16261F"/>
                <w:sz w:val="18"/>
              </w:rPr>
              <w:t>any → Cancelled</w:t>
            </w:r>
          </w:p>
        </w:tc>
        <w:tc>
          <w:tcPr>
            <w:tcW w:type="dxa" w:w="3456"/>
            <w:tcMar>
              <w:top w:w="60" w:type="dxa"/>
              <w:left w:w="110" w:type="dxa"/>
              <w:bottom w:w="60" w:type="dxa"/>
              <w:right w:w="110" w:type="dxa"/>
            </w:tcMar>
          </w:tcPr>
          <w:p>
            <w:pPr>
              <w:spacing w:after="0"/>
            </w:pPr>
            <w:r>
              <w:rPr>
                <w:b w:val="0"/>
                <w:i w:val="0"/>
                <w:color w:val="16261F"/>
                <w:sz w:val="18"/>
              </w:rPr>
              <w:t>No settled payment exists on the invoice.</w:t>
            </w:r>
          </w:p>
        </w:tc>
        <w:tc>
          <w:tcPr>
            <w:tcW w:type="dxa" w:w="3960"/>
            <w:tcMar>
              <w:top w:w="60" w:type="dxa"/>
              <w:left w:w="110" w:type="dxa"/>
              <w:bottom w:w="60" w:type="dxa"/>
              <w:right w:w="110" w:type="dxa"/>
            </w:tcMar>
          </w:tcPr>
          <w:p>
            <w:pPr>
              <w:spacing w:after="0"/>
            </w:pPr>
            <w:r>
              <w:rPr>
                <w:b w:val="0"/>
                <w:i w:val="0"/>
                <w:color w:val="16261F"/>
                <w:sz w:val="18"/>
              </w:rPr>
              <w:t>Deactivate public token; enqueue Zoho void; audit.</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Overdue flag set</w:t>
            </w:r>
          </w:p>
        </w:tc>
        <w:tc>
          <w:tcPr>
            <w:tcW w:type="dxa" w:w="3456"/>
            <w:tcMar>
              <w:top w:w="60" w:type="dxa"/>
              <w:left w:w="110" w:type="dxa"/>
              <w:bottom w:w="60" w:type="dxa"/>
              <w:right w:w="110" w:type="dxa"/>
            </w:tcMar>
            <w:shd w:val="clear" w:color="auto" w:fill="F5F7F5"/>
          </w:tcPr>
          <w:p>
            <w:pPr>
              <w:spacing w:after="0"/>
            </w:pPr>
            <w:r>
              <w:rPr>
                <w:b w:val="0"/>
                <w:i w:val="0"/>
                <w:color w:val="16261F"/>
                <w:sz w:val="18"/>
              </w:rPr>
              <w:t>due_date passed, balance positive, status not Paid or Cancelled.</w:t>
            </w:r>
          </w:p>
        </w:tc>
        <w:tc>
          <w:tcPr>
            <w:tcW w:type="dxa" w:w="3960"/>
            <w:tcMar>
              <w:top w:w="60" w:type="dxa"/>
              <w:left w:w="110" w:type="dxa"/>
              <w:bottom w:w="60" w:type="dxa"/>
              <w:right w:w="110" w:type="dxa"/>
            </w:tcMar>
            <w:shd w:val="clear" w:color="auto" w:fill="F5F7F5"/>
          </w:tcPr>
          <w:p>
            <w:pPr>
              <w:spacing w:after="0"/>
            </w:pPr>
            <w:r>
              <w:rPr>
                <w:b w:val="0"/>
                <w:i w:val="0"/>
                <w:color w:val="16261F"/>
                <w:sz w:val="18"/>
              </w:rPr>
              <w:t>Set flag; enqueue overdue notification per brand configuration.</w:t>
            </w:r>
          </w:p>
        </w:tc>
      </w:tr>
    </w:tbl>
    <w:p>
      <w:pPr>
        <w:pBdr>
          <w:left w:val="single" w:sz="18" w:space="10" w:color="2D6A6A"/>
        </w:pBdr>
        <w:shd w:val="clear" w:color="auto" w:fill="EDF1EE"/>
        <w:spacing w:before="160" w:after="180"/>
        <w:ind w:left="173"/>
      </w:pPr>
      <w:r>
        <w:rPr>
          <w:b/>
          <w:color w:val="2D6A6A"/>
          <w:sz w:val="17"/>
        </w:rPr>
        <w:t xml:space="preserve">OUT-OF-ORDER WEBHOOK PROTECTION  </w:t>
      </w:r>
      <w:r>
        <w:rPr>
          <w:color w:val="16261F"/>
          <w:sz w:val="20"/>
        </w:rPr>
        <w:t>Gateways do not guarantee ordered delivery. Every transition compares the event's gateway timestamp against the last processed event for that payment and discards anything older. Combined with the unique index on gateway_reference, this satisfies NFR-INT-010 and NFR-INT-012. The prototype's client-side setTimeout approach (GAP-007) provides none of this and is not carried forward.</w:t>
      </w:r>
    </w:p>
    <w:p>
      <w:pPr>
        <w:pStyle w:val="Heading2"/>
      </w:pPr>
      <w:r>
        <w:t>8.3 Payment idempotency</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Customer submits payment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Generate idempotency_key = hash(invoice_id, amount, attempt_nonce)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INSERT payment (status=initiated, idempotency_key) ── conflict ──┐   </w:t>
            </w:r>
          </w:p>
          <w:p>
            <w:pPr>
              <w:spacing w:after="0" w:line="240" w:lineRule="auto"/>
            </w:pPr>
            <w:r>
              <w:rPr>
                <w:rFonts w:ascii="Consolas" w:hAnsi="Consolas"/>
                <w:color w:val="16261F"/>
                <w:sz w:val="17"/>
              </w:rPr>
              <w:t xml:space="preserve">        │ inserted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Call gateway with the same key                          Return the   </w:t>
            </w:r>
          </w:p>
          <w:p>
            <w:pPr>
              <w:spacing w:after="0" w:line="240" w:lineRule="auto"/>
            </w:pPr>
            <w:r>
              <w:rPr>
                <w:rFonts w:ascii="Consolas" w:hAnsi="Consolas"/>
                <w:color w:val="16261F"/>
                <w:sz w:val="17"/>
              </w:rPr>
              <w:t xml:space="preserve">        │                                                 existing     </w:t>
            </w:r>
          </w:p>
          <w:p>
            <w:pPr>
              <w:spacing w:after="0" w:line="240" w:lineRule="auto"/>
            </w:pPr>
            <w:r>
              <w:rPr>
                <w:rFonts w:ascii="Consolas" w:hAnsi="Consolas"/>
                <w:color w:val="16261F"/>
                <w:sz w:val="17"/>
              </w:rPr>
              <w:t xml:space="preserve">        ▼                                                 payment —    </w:t>
            </w:r>
          </w:p>
          <w:p>
            <w:pPr>
              <w:spacing w:after="0" w:line="240" w:lineRule="auto"/>
            </w:pPr>
            <w:r>
              <w:rPr>
                <w:rFonts w:ascii="Consolas" w:hAnsi="Consolas"/>
                <w:color w:val="16261F"/>
                <w:sz w:val="17"/>
              </w:rPr>
              <w:t xml:space="preserve">  Gateway responds / webhook arrives                      no second    </w:t>
            </w:r>
          </w:p>
          <w:p>
            <w:pPr>
              <w:spacing w:after="0" w:line="240" w:lineRule="auto"/>
            </w:pPr>
            <w:r>
              <w:rPr>
                <w:rFonts w:ascii="Consolas" w:hAnsi="Consolas"/>
                <w:color w:val="16261F"/>
                <w:sz w:val="17"/>
              </w:rPr>
              <w:t xml:space="preserve">        │                                                 charge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UPDATE payment WHERE gateway_reference IS NULL                       </w:t>
            </w:r>
          </w:p>
          <w:p>
            <w:pPr>
              <w:spacing w:after="0" w:line="240" w:lineRule="auto"/>
            </w:pPr>
            <w:r>
              <w:rPr>
                <w:rFonts w:ascii="Consolas" w:hAnsi="Consolas"/>
                <w:color w:val="16261F"/>
                <w:sz w:val="17"/>
              </w:rPr>
              <w:t xml:space="preserve">        │  (unique index on gateway_reference blocks duplicates)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Recompute balance inside the same transaction as the payment insert  </w:t>
            </w:r>
          </w:p>
        </w:tc>
      </w:tr>
    </w:tbl>
    <w:p>
      <w:pPr>
        <w:spacing w:after="40"/>
      </w:pPr>
    </w:p>
    <w:p>
      <w:r>
        <w:br w:type="page"/>
      </w:r>
    </w:p>
    <w:p>
      <w:pPr>
        <w:pStyle w:val="Heading1"/>
      </w:pPr>
      <w:r>
        <w:t>9. Money, tax and card fee calculation</w:t>
      </w:r>
    </w:p>
    <w:p>
      <w:pPr>
        <w:spacing w:after="140"/>
      </w:pPr>
      <w:r>
        <w:rPr>
          <w:b w:val="0"/>
          <w:i w:val="0"/>
          <w:color w:val="16261F"/>
          <w:sz w:val="21"/>
        </w:rPr>
        <w:t>Card fee and tax are the largest functional gap in the prototype (GAP-003) and the most arithmetically sensitive part of the system. The calculation is specified here precisely enough to be implemented and tested without further interpretation.</w:t>
      </w:r>
    </w:p>
    <w:p>
      <w:pPr>
        <w:pStyle w:val="Heading2"/>
      </w:pPr>
      <w:r>
        <w:t>9.1 Representation</w:t>
      </w:r>
    </w:p>
    <w:p>
      <w:pPr>
        <w:pStyle w:val="ListBullet"/>
        <w:spacing w:after="60"/>
        <w:ind w:left="360"/>
      </w:pPr>
      <w:r>
        <w:rPr>
          <w:color w:val="16261F"/>
          <w:sz w:val="21"/>
        </w:rPr>
        <w:t>Amounts</w:t>
      </w:r>
      <w:r>
        <w:rPr>
          <w:color w:val="5B6B63"/>
          <w:sz w:val="21"/>
        </w:rPr>
        <w:t xml:space="preserve"> — signed 64-bit integers in the currency's minor unit. USD 1,234.56 is stored as 123456</w:t>
      </w:r>
    </w:p>
    <w:p>
      <w:pPr>
        <w:pStyle w:val="ListBullet"/>
        <w:spacing w:after="60"/>
        <w:ind w:left="360"/>
      </w:pPr>
      <w:r>
        <w:rPr>
          <w:color w:val="16261F"/>
          <w:sz w:val="21"/>
        </w:rPr>
        <w:t>Rates</w:t>
      </w:r>
      <w:r>
        <w:rPr>
          <w:color w:val="5B6B63"/>
          <w:sz w:val="21"/>
        </w:rPr>
        <w:t xml:space="preserve"> — integers in basis points. 6% is 600; 2.9% is 290</w:t>
      </w:r>
    </w:p>
    <w:p>
      <w:pPr>
        <w:pStyle w:val="ListBullet"/>
        <w:spacing w:after="60"/>
        <w:ind w:left="360"/>
      </w:pPr>
      <w:r>
        <w:rPr>
          <w:color w:val="16261F"/>
          <w:sz w:val="21"/>
        </w:rPr>
        <w:t>Quantity</w:t>
      </w:r>
      <w:r>
        <w:rPr>
          <w:color w:val="5B6B63"/>
          <w:sz w:val="21"/>
        </w:rPr>
        <w:t xml:space="preserve"> — fixed-point decimal with four places, permitting fractional units without float</w:t>
      </w:r>
    </w:p>
    <w:p>
      <w:pPr>
        <w:pStyle w:val="ListBullet"/>
        <w:spacing w:after="60"/>
        <w:ind w:left="360"/>
      </w:pPr>
      <w:r>
        <w:rPr>
          <w:color w:val="16261F"/>
          <w:sz w:val="21"/>
        </w:rPr>
        <w:t>Rounding</w:t>
      </w:r>
      <w:r>
        <w:rPr>
          <w:color w:val="5B6B63"/>
          <w:sz w:val="21"/>
        </w:rPr>
        <w:t xml:space="preserve"> — half-up, applied only at the points marked below, never intermediately</w:t>
      </w:r>
    </w:p>
    <w:p>
      <w:pPr>
        <w:pStyle w:val="Heading2"/>
      </w:pPr>
      <w:r>
        <w:t>9.2 Calculation order</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For each line item:                                                  </w:t>
            </w:r>
          </w:p>
          <w:p>
            <w:pPr>
              <w:spacing w:after="0" w:line="240" w:lineRule="auto"/>
            </w:pPr>
            <w:r>
              <w:rPr>
                <w:rFonts w:ascii="Consolas" w:hAnsi="Consolas"/>
                <w:color w:val="16261F"/>
                <w:sz w:val="17"/>
              </w:rPr>
              <w:t xml:space="preserve">      line_total = round( quantity × unit_price_minor )      ── round 1</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subtotal        = Σ line_total                                       </w:t>
            </w:r>
          </w:p>
          <w:p>
            <w:pPr>
              <w:spacing w:after="0" w:line="240" w:lineRule="auto"/>
            </w:pPr>
            <w:r>
              <w:rPr>
                <w:rFonts w:ascii="Consolas" w:hAnsi="Consolas"/>
                <w:color w:val="16261F"/>
                <w:sz w:val="17"/>
              </w:rPr>
              <w:t xml:space="preserve">  taxable_base    = Σ line_total  where NOT tax_exempt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tax             = round( taxable_base × tax_rate_bp / 10000 ) ─ round 2</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pre_fee_total   = subtotal + tax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IF method incurs card fee (card or wallet only):                     </w:t>
            </w:r>
          </w:p>
          <w:p>
            <w:pPr>
              <w:spacing w:after="0" w:line="240" w:lineRule="auto"/>
            </w:pPr>
            <w:r>
              <w:rPr>
                <w:rFonts w:ascii="Consolas" w:hAnsi="Consolas"/>
                <w:color w:val="16261F"/>
                <w:sz w:val="17"/>
              </w:rPr>
              <w:t xml:space="preserve">      card_fee    = round( pre_fee_total × fee_rate_bp / 10000 ) ─ round 3</w:t>
            </w:r>
          </w:p>
          <w:p>
            <w:pPr>
              <w:spacing w:after="0" w:line="240" w:lineRule="auto"/>
            </w:pPr>
            <w:r>
              <w:rPr>
                <w:rFonts w:ascii="Consolas" w:hAnsi="Consolas"/>
                <w:color w:val="16261F"/>
                <w:sz w:val="17"/>
              </w:rPr>
              <w:t xml:space="preserve">  ELSE:                                                                </w:t>
            </w:r>
          </w:p>
          <w:p>
            <w:pPr>
              <w:spacing w:after="0" w:line="240" w:lineRule="auto"/>
            </w:pPr>
            <w:r>
              <w:rPr>
                <w:rFonts w:ascii="Consolas" w:hAnsi="Consolas"/>
                <w:color w:val="16261F"/>
                <w:sz w:val="17"/>
              </w:rPr>
              <w:t xml:space="preserve">      card_fee    = 0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total           = pre_fee_total + card_fee                           </w:t>
            </w:r>
          </w:p>
          <w:p>
            <w:pPr>
              <w:spacing w:after="0" w:line="240" w:lineRule="auto"/>
            </w:pPr>
            <w:r>
              <w:rPr>
                <w:rFonts w:ascii="Consolas" w:hAnsi="Consolas"/>
                <w:color w:val="16261F"/>
                <w:sz w:val="17"/>
              </w:rPr>
              <w:t xml:space="preserve">  balance         = total − Σ settled payments                         </w:t>
            </w:r>
          </w:p>
        </w:tc>
      </w:tr>
    </w:tbl>
    <w:p>
      <w:pPr>
        <w:spacing w:after="40"/>
      </w:pPr>
    </w:p>
    <w:p>
      <w:pPr>
        <w:pStyle w:val="Heading2"/>
      </w:pPr>
      <w:r>
        <w:t>9.3 Worked example</w:t>
      </w:r>
    </w:p>
    <w:p>
      <w:pPr>
        <w:spacing w:after="140"/>
      </w:pPr>
      <w:r>
        <w:rPr>
          <w:b w:val="0"/>
          <w:i w:val="0"/>
          <w:color w:val="16261F"/>
          <w:sz w:val="21"/>
        </w:rPr>
        <w:t>Two line items, 6% tax, 2.9% card fee. This example is the basis of the acceptance criteria on FR-TAX and should be implemented as a test fixture verbatim.</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Step</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8"/>
              </w:rPr>
              <w:t>Computation</w:t>
            </w:r>
          </w:p>
        </w:tc>
        <w:tc>
          <w:tcPr>
            <w:tcW w:type="dxa" w:w="2232"/>
            <w:shd w:val="clear" w:color="auto" w:fill="16261F"/>
            <w:tcMar>
              <w:top w:w="70" w:type="dxa"/>
              <w:left w:w="110" w:type="dxa"/>
              <w:bottom w:w="70" w:type="dxa"/>
              <w:right w:w="110" w:type="dxa"/>
            </w:tcMar>
          </w:tcPr>
          <w:p>
            <w:pPr>
              <w:spacing w:after="0"/>
            </w:pPr>
            <w:r>
              <w:rPr>
                <w:rFonts w:ascii="Calibri" w:hAnsi="Calibri"/>
                <w:b/>
                <w:color w:val="FFFFFF"/>
                <w:sz w:val="18"/>
              </w:rPr>
              <w:t>Card payment</w:t>
            </w:r>
          </w:p>
        </w:tc>
        <w:tc>
          <w:tcPr>
            <w:tcW w:type="dxa" w:w="2232"/>
            <w:shd w:val="clear" w:color="auto" w:fill="16261F"/>
            <w:tcMar>
              <w:top w:w="70" w:type="dxa"/>
              <w:left w:w="110" w:type="dxa"/>
              <w:bottom w:w="70" w:type="dxa"/>
              <w:right w:w="110" w:type="dxa"/>
            </w:tcMar>
          </w:tcPr>
          <w:p>
            <w:pPr>
              <w:spacing w:after="0"/>
            </w:pPr>
            <w:r>
              <w:rPr>
                <w:rFonts w:ascii="Calibri" w:hAnsi="Calibri"/>
                <w:b/>
                <w:color w:val="FFFFFF"/>
                <w:sz w:val="18"/>
              </w:rPr>
              <w:t>ACH payment</w:t>
            </w:r>
          </w:p>
        </w:tc>
      </w:tr>
      <w:tr>
        <w:tc>
          <w:tcPr>
            <w:tcW w:type="dxa" w:w="1584"/>
            <w:tcMar>
              <w:top w:w="60" w:type="dxa"/>
              <w:left w:w="110" w:type="dxa"/>
              <w:bottom w:w="60" w:type="dxa"/>
              <w:right w:w="110" w:type="dxa"/>
            </w:tcMar>
          </w:tcPr>
          <w:p>
            <w:pPr>
              <w:spacing w:after="0"/>
            </w:pPr>
            <w:r>
              <w:rPr>
                <w:b w:val="0"/>
                <w:i w:val="0"/>
                <w:color w:val="16261F"/>
                <w:sz w:val="19"/>
              </w:rPr>
              <w:t>Line 1</w:t>
            </w:r>
          </w:p>
        </w:tc>
        <w:tc>
          <w:tcPr>
            <w:tcW w:type="dxa" w:w="3312"/>
            <w:tcMar>
              <w:top w:w="60" w:type="dxa"/>
              <w:left w:w="110" w:type="dxa"/>
              <w:bottom w:w="60" w:type="dxa"/>
              <w:right w:w="110" w:type="dxa"/>
            </w:tcMar>
          </w:tcPr>
          <w:p>
            <w:pPr>
              <w:spacing w:after="0"/>
            </w:pPr>
            <w:r>
              <w:rPr>
                <w:b w:val="0"/>
                <w:i w:val="0"/>
                <w:color w:val="16261F"/>
                <w:sz w:val="19"/>
              </w:rPr>
              <w:t>12 × 200.00</w:t>
            </w:r>
          </w:p>
        </w:tc>
        <w:tc>
          <w:tcPr>
            <w:tcW w:type="dxa" w:w="2232"/>
            <w:tcMar>
              <w:top w:w="60" w:type="dxa"/>
              <w:left w:w="110" w:type="dxa"/>
              <w:bottom w:w="60" w:type="dxa"/>
              <w:right w:w="110" w:type="dxa"/>
            </w:tcMar>
          </w:tcPr>
          <w:p>
            <w:pPr>
              <w:spacing w:after="0"/>
            </w:pPr>
            <w:r>
              <w:rPr>
                <w:b w:val="0"/>
                <w:i w:val="0"/>
                <w:color w:val="16261F"/>
                <w:sz w:val="19"/>
              </w:rPr>
              <w:t>2,400.00</w:t>
            </w:r>
          </w:p>
        </w:tc>
        <w:tc>
          <w:tcPr>
            <w:tcW w:type="dxa" w:w="2232"/>
            <w:tcMar>
              <w:top w:w="60" w:type="dxa"/>
              <w:left w:w="110" w:type="dxa"/>
              <w:bottom w:w="60" w:type="dxa"/>
              <w:right w:w="110" w:type="dxa"/>
            </w:tcMar>
          </w:tcPr>
          <w:p>
            <w:pPr>
              <w:spacing w:after="0"/>
            </w:pPr>
            <w:r>
              <w:rPr>
                <w:b w:val="0"/>
                <w:i w:val="0"/>
                <w:color w:val="16261F"/>
                <w:sz w:val="19"/>
              </w:rPr>
              <w:t>2,400.00</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Line 2</w:t>
            </w:r>
          </w:p>
        </w:tc>
        <w:tc>
          <w:tcPr>
            <w:tcW w:type="dxa" w:w="3312"/>
            <w:tcMar>
              <w:top w:w="60" w:type="dxa"/>
              <w:left w:w="110" w:type="dxa"/>
              <w:bottom w:w="60" w:type="dxa"/>
              <w:right w:w="110" w:type="dxa"/>
            </w:tcMar>
            <w:shd w:val="clear" w:color="auto" w:fill="F5F7F5"/>
          </w:tcPr>
          <w:p>
            <w:pPr>
              <w:spacing w:after="0"/>
            </w:pPr>
            <w:r>
              <w:rPr>
                <w:b w:val="0"/>
                <w:i w:val="0"/>
                <w:color w:val="16261F"/>
                <w:sz w:val="19"/>
              </w:rPr>
              <w:t>6 × 118.375 → round</w:t>
            </w:r>
          </w:p>
        </w:tc>
        <w:tc>
          <w:tcPr>
            <w:tcW w:type="dxa" w:w="2232"/>
            <w:tcMar>
              <w:top w:w="60" w:type="dxa"/>
              <w:left w:w="110" w:type="dxa"/>
              <w:bottom w:w="60" w:type="dxa"/>
              <w:right w:w="110" w:type="dxa"/>
            </w:tcMar>
            <w:shd w:val="clear" w:color="auto" w:fill="F5F7F5"/>
          </w:tcPr>
          <w:p>
            <w:pPr>
              <w:spacing w:after="0"/>
            </w:pPr>
            <w:r>
              <w:rPr>
                <w:b w:val="0"/>
                <w:i w:val="0"/>
                <w:color w:val="16261F"/>
                <w:sz w:val="19"/>
              </w:rPr>
              <w:t>710.25</w:t>
            </w:r>
          </w:p>
        </w:tc>
        <w:tc>
          <w:tcPr>
            <w:tcW w:type="dxa" w:w="2232"/>
            <w:tcMar>
              <w:top w:w="60" w:type="dxa"/>
              <w:left w:w="110" w:type="dxa"/>
              <w:bottom w:w="60" w:type="dxa"/>
              <w:right w:w="110" w:type="dxa"/>
            </w:tcMar>
            <w:shd w:val="clear" w:color="auto" w:fill="F5F7F5"/>
          </w:tcPr>
          <w:p>
            <w:pPr>
              <w:spacing w:after="0"/>
            </w:pPr>
            <w:r>
              <w:rPr>
                <w:b w:val="0"/>
                <w:i w:val="0"/>
                <w:color w:val="16261F"/>
                <w:sz w:val="19"/>
              </w:rPr>
              <w:t>710.25</w:t>
            </w:r>
          </w:p>
        </w:tc>
      </w:tr>
      <w:tr>
        <w:tc>
          <w:tcPr>
            <w:tcW w:type="dxa" w:w="1584"/>
            <w:tcMar>
              <w:top w:w="60" w:type="dxa"/>
              <w:left w:w="110" w:type="dxa"/>
              <w:bottom w:w="60" w:type="dxa"/>
              <w:right w:w="110" w:type="dxa"/>
            </w:tcMar>
          </w:tcPr>
          <w:p>
            <w:pPr>
              <w:spacing w:after="0"/>
            </w:pPr>
            <w:r>
              <w:rPr>
                <w:b w:val="0"/>
                <w:i w:val="0"/>
                <w:color w:val="16261F"/>
                <w:sz w:val="19"/>
              </w:rPr>
              <w:t>Subtotal</w:t>
            </w:r>
          </w:p>
        </w:tc>
        <w:tc>
          <w:tcPr>
            <w:tcW w:type="dxa" w:w="3312"/>
            <w:tcMar>
              <w:top w:w="60" w:type="dxa"/>
              <w:left w:w="110" w:type="dxa"/>
              <w:bottom w:w="60" w:type="dxa"/>
              <w:right w:w="110" w:type="dxa"/>
            </w:tcMar>
          </w:tcPr>
          <w:p>
            <w:pPr>
              <w:spacing w:after="0"/>
            </w:pPr>
            <w:r>
              <w:rPr>
                <w:b w:val="0"/>
                <w:i w:val="0"/>
                <w:color w:val="16261F"/>
                <w:sz w:val="19"/>
              </w:rPr>
              <w:t>sum of line totals</w:t>
            </w:r>
          </w:p>
        </w:tc>
        <w:tc>
          <w:tcPr>
            <w:tcW w:type="dxa" w:w="2232"/>
            <w:tcMar>
              <w:top w:w="60" w:type="dxa"/>
              <w:left w:w="110" w:type="dxa"/>
              <w:bottom w:w="60" w:type="dxa"/>
              <w:right w:w="110" w:type="dxa"/>
            </w:tcMar>
          </w:tcPr>
          <w:p>
            <w:pPr>
              <w:spacing w:after="0"/>
            </w:pPr>
            <w:r>
              <w:rPr>
                <w:b w:val="0"/>
                <w:i w:val="0"/>
                <w:color w:val="16261F"/>
                <w:sz w:val="19"/>
              </w:rPr>
              <w:t>3,110.25</w:t>
            </w:r>
          </w:p>
        </w:tc>
        <w:tc>
          <w:tcPr>
            <w:tcW w:type="dxa" w:w="2232"/>
            <w:tcMar>
              <w:top w:w="60" w:type="dxa"/>
              <w:left w:w="110" w:type="dxa"/>
              <w:bottom w:w="60" w:type="dxa"/>
              <w:right w:w="110" w:type="dxa"/>
            </w:tcMar>
          </w:tcPr>
          <w:p>
            <w:pPr>
              <w:spacing w:after="0"/>
            </w:pPr>
            <w:r>
              <w:rPr>
                <w:b w:val="0"/>
                <w:i w:val="0"/>
                <w:color w:val="16261F"/>
                <w:sz w:val="19"/>
              </w:rPr>
              <w:t>3,110.25</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Tax</w:t>
            </w:r>
          </w:p>
        </w:tc>
        <w:tc>
          <w:tcPr>
            <w:tcW w:type="dxa" w:w="3312"/>
            <w:tcMar>
              <w:top w:w="60" w:type="dxa"/>
              <w:left w:w="110" w:type="dxa"/>
              <w:bottom w:w="60" w:type="dxa"/>
              <w:right w:w="110" w:type="dxa"/>
            </w:tcMar>
            <w:shd w:val="clear" w:color="auto" w:fill="F5F7F5"/>
          </w:tcPr>
          <w:p>
            <w:pPr>
              <w:spacing w:after="0"/>
            </w:pPr>
            <w:r>
              <w:rPr>
                <w:b w:val="0"/>
                <w:i w:val="0"/>
                <w:color w:val="16261F"/>
                <w:sz w:val="19"/>
              </w:rPr>
              <w:t>3,110.25 × 600 / 10000 → round</w:t>
            </w:r>
          </w:p>
        </w:tc>
        <w:tc>
          <w:tcPr>
            <w:tcW w:type="dxa" w:w="2232"/>
            <w:tcMar>
              <w:top w:w="60" w:type="dxa"/>
              <w:left w:w="110" w:type="dxa"/>
              <w:bottom w:w="60" w:type="dxa"/>
              <w:right w:w="110" w:type="dxa"/>
            </w:tcMar>
            <w:shd w:val="clear" w:color="auto" w:fill="F5F7F5"/>
          </w:tcPr>
          <w:p>
            <w:pPr>
              <w:spacing w:after="0"/>
            </w:pPr>
            <w:r>
              <w:rPr>
                <w:b w:val="0"/>
                <w:i w:val="0"/>
                <w:color w:val="16261F"/>
                <w:sz w:val="19"/>
              </w:rPr>
              <w:t>186.62</w:t>
            </w:r>
          </w:p>
        </w:tc>
        <w:tc>
          <w:tcPr>
            <w:tcW w:type="dxa" w:w="2232"/>
            <w:tcMar>
              <w:top w:w="60" w:type="dxa"/>
              <w:left w:w="110" w:type="dxa"/>
              <w:bottom w:w="60" w:type="dxa"/>
              <w:right w:w="110" w:type="dxa"/>
            </w:tcMar>
            <w:shd w:val="clear" w:color="auto" w:fill="F5F7F5"/>
          </w:tcPr>
          <w:p>
            <w:pPr>
              <w:spacing w:after="0"/>
            </w:pPr>
            <w:r>
              <w:rPr>
                <w:b w:val="0"/>
                <w:i w:val="0"/>
                <w:color w:val="16261F"/>
                <w:sz w:val="19"/>
              </w:rPr>
              <w:t>186.62</w:t>
            </w:r>
          </w:p>
        </w:tc>
      </w:tr>
      <w:tr>
        <w:tc>
          <w:tcPr>
            <w:tcW w:type="dxa" w:w="1584"/>
            <w:tcMar>
              <w:top w:w="60" w:type="dxa"/>
              <w:left w:w="110" w:type="dxa"/>
              <w:bottom w:w="60" w:type="dxa"/>
              <w:right w:w="110" w:type="dxa"/>
            </w:tcMar>
          </w:tcPr>
          <w:p>
            <w:pPr>
              <w:spacing w:after="0"/>
            </w:pPr>
            <w:r>
              <w:rPr>
                <w:b w:val="0"/>
                <w:i w:val="0"/>
                <w:color w:val="16261F"/>
                <w:sz w:val="19"/>
              </w:rPr>
              <w:t>Pre-fee total</w:t>
            </w:r>
          </w:p>
        </w:tc>
        <w:tc>
          <w:tcPr>
            <w:tcW w:type="dxa" w:w="3312"/>
            <w:tcMar>
              <w:top w:w="60" w:type="dxa"/>
              <w:left w:w="110" w:type="dxa"/>
              <w:bottom w:w="60" w:type="dxa"/>
              <w:right w:w="110" w:type="dxa"/>
            </w:tcMar>
          </w:tcPr>
          <w:p>
            <w:pPr>
              <w:spacing w:after="0"/>
            </w:pPr>
            <w:r>
              <w:rPr>
                <w:b w:val="0"/>
                <w:i w:val="0"/>
                <w:color w:val="16261F"/>
                <w:sz w:val="19"/>
              </w:rPr>
              <w:t>subtotal + tax</w:t>
            </w:r>
          </w:p>
        </w:tc>
        <w:tc>
          <w:tcPr>
            <w:tcW w:type="dxa" w:w="2232"/>
            <w:tcMar>
              <w:top w:w="60" w:type="dxa"/>
              <w:left w:w="110" w:type="dxa"/>
              <w:bottom w:w="60" w:type="dxa"/>
              <w:right w:w="110" w:type="dxa"/>
            </w:tcMar>
          </w:tcPr>
          <w:p>
            <w:pPr>
              <w:spacing w:after="0"/>
            </w:pPr>
            <w:r>
              <w:rPr>
                <w:b w:val="0"/>
                <w:i w:val="0"/>
                <w:color w:val="16261F"/>
                <w:sz w:val="19"/>
              </w:rPr>
              <w:t>3,296.87</w:t>
            </w:r>
          </w:p>
        </w:tc>
        <w:tc>
          <w:tcPr>
            <w:tcW w:type="dxa" w:w="2232"/>
            <w:tcMar>
              <w:top w:w="60" w:type="dxa"/>
              <w:left w:w="110" w:type="dxa"/>
              <w:bottom w:w="60" w:type="dxa"/>
              <w:right w:w="110" w:type="dxa"/>
            </w:tcMar>
          </w:tcPr>
          <w:p>
            <w:pPr>
              <w:spacing w:after="0"/>
            </w:pPr>
            <w:r>
              <w:rPr>
                <w:b w:val="0"/>
                <w:i w:val="0"/>
                <w:color w:val="16261F"/>
                <w:sz w:val="19"/>
              </w:rPr>
              <w:t>3,296.87</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Card fee</w:t>
            </w:r>
          </w:p>
        </w:tc>
        <w:tc>
          <w:tcPr>
            <w:tcW w:type="dxa" w:w="3312"/>
            <w:tcMar>
              <w:top w:w="60" w:type="dxa"/>
              <w:left w:w="110" w:type="dxa"/>
              <w:bottom w:w="60" w:type="dxa"/>
              <w:right w:w="110" w:type="dxa"/>
            </w:tcMar>
            <w:shd w:val="clear" w:color="auto" w:fill="F5F7F5"/>
          </w:tcPr>
          <w:p>
            <w:pPr>
              <w:spacing w:after="0"/>
            </w:pPr>
            <w:r>
              <w:rPr>
                <w:b w:val="0"/>
                <w:i w:val="0"/>
                <w:color w:val="16261F"/>
                <w:sz w:val="19"/>
              </w:rPr>
              <w:t>3,296.87 × 290 / 10000 → round</w:t>
            </w:r>
          </w:p>
        </w:tc>
        <w:tc>
          <w:tcPr>
            <w:tcW w:type="dxa" w:w="2232"/>
            <w:tcMar>
              <w:top w:w="60" w:type="dxa"/>
              <w:left w:w="110" w:type="dxa"/>
              <w:bottom w:w="60" w:type="dxa"/>
              <w:right w:w="110" w:type="dxa"/>
            </w:tcMar>
            <w:shd w:val="clear" w:color="auto" w:fill="F5F7F5"/>
          </w:tcPr>
          <w:p>
            <w:pPr>
              <w:spacing w:after="0"/>
            </w:pPr>
            <w:r>
              <w:rPr>
                <w:b w:val="0"/>
                <w:i w:val="0"/>
                <w:color w:val="16261F"/>
                <w:sz w:val="19"/>
              </w:rPr>
              <w:t>95.61</w:t>
            </w:r>
          </w:p>
        </w:tc>
        <w:tc>
          <w:tcPr>
            <w:tcW w:type="dxa" w:w="2232"/>
            <w:tcMar>
              <w:top w:w="60" w:type="dxa"/>
              <w:left w:w="110" w:type="dxa"/>
              <w:bottom w:w="60" w:type="dxa"/>
              <w:right w:w="110" w:type="dxa"/>
            </w:tcMar>
            <w:shd w:val="clear" w:color="auto" w:fill="F5F7F5"/>
          </w:tcPr>
          <w:p>
            <w:pPr>
              <w:spacing w:after="0"/>
            </w:pPr>
            <w:r>
              <w:rPr>
                <w:b w:val="0"/>
                <w:i w:val="0"/>
                <w:color w:val="5B6B63"/>
                <w:sz w:val="19"/>
              </w:rPr>
              <w:t>0.00 — not applied</w:t>
            </w:r>
          </w:p>
        </w:tc>
      </w:tr>
      <w:tr>
        <w:tc>
          <w:tcPr>
            <w:tcW w:type="dxa" w:w="1584"/>
            <w:tcMar>
              <w:top w:w="60" w:type="dxa"/>
              <w:left w:w="110" w:type="dxa"/>
              <w:bottom w:w="60" w:type="dxa"/>
              <w:right w:w="110" w:type="dxa"/>
            </w:tcMar>
          </w:tcPr>
          <w:p>
            <w:pPr>
              <w:spacing w:after="0"/>
            </w:pPr>
            <w:r>
              <w:rPr>
                <w:b/>
                <w:i w:val="0"/>
                <w:color w:val="16261F"/>
                <w:sz w:val="19"/>
              </w:rPr>
              <w:t>Total</w:t>
            </w:r>
          </w:p>
        </w:tc>
        <w:tc>
          <w:tcPr>
            <w:tcW w:type="dxa" w:w="3312"/>
            <w:tcMar>
              <w:top w:w="60" w:type="dxa"/>
              <w:left w:w="110" w:type="dxa"/>
              <w:bottom w:w="60" w:type="dxa"/>
              <w:right w:w="110" w:type="dxa"/>
            </w:tcMar>
          </w:tcPr>
          <w:p>
            <w:pPr>
              <w:spacing w:after="0"/>
            </w:pPr>
            <w:r>
              <w:rPr>
                <w:b w:val="0"/>
                <w:i w:val="0"/>
                <w:color w:val="16261F"/>
                <w:sz w:val="19"/>
              </w:rPr>
              <w:t>pre-fee total + card fee</w:t>
            </w:r>
          </w:p>
        </w:tc>
        <w:tc>
          <w:tcPr>
            <w:tcW w:type="dxa" w:w="2232"/>
            <w:tcMar>
              <w:top w:w="60" w:type="dxa"/>
              <w:left w:w="110" w:type="dxa"/>
              <w:bottom w:w="60" w:type="dxa"/>
              <w:right w:w="110" w:type="dxa"/>
            </w:tcMar>
          </w:tcPr>
          <w:p>
            <w:pPr>
              <w:spacing w:after="0"/>
            </w:pPr>
            <w:r>
              <w:rPr>
                <w:b/>
                <w:i w:val="0"/>
                <w:color w:val="16261F"/>
                <w:sz w:val="19"/>
              </w:rPr>
              <w:t>3,392.48</w:t>
            </w:r>
          </w:p>
        </w:tc>
        <w:tc>
          <w:tcPr>
            <w:tcW w:type="dxa" w:w="2232"/>
            <w:tcMar>
              <w:top w:w="60" w:type="dxa"/>
              <w:left w:w="110" w:type="dxa"/>
              <w:bottom w:w="60" w:type="dxa"/>
              <w:right w:w="110" w:type="dxa"/>
            </w:tcMar>
          </w:tcPr>
          <w:p>
            <w:pPr>
              <w:spacing w:after="0"/>
            </w:pPr>
            <w:r>
              <w:rPr>
                <w:b/>
                <w:i w:val="0"/>
                <w:color w:val="16261F"/>
                <w:sz w:val="19"/>
              </w:rPr>
              <w:t>3,296.87</w:t>
            </w:r>
          </w:p>
        </w:tc>
      </w:tr>
    </w:tbl>
    <w:p>
      <w:pPr>
        <w:pBdr>
          <w:left w:val="single" w:sz="18" w:space="10" w:color="C7862B"/>
        </w:pBdr>
        <w:shd w:val="clear" w:color="auto" w:fill="FBF0DF"/>
        <w:spacing w:before="160" w:after="180"/>
        <w:ind w:left="173"/>
      </w:pPr>
      <w:r>
        <w:rPr>
          <w:b/>
          <w:color w:val="C7862B"/>
          <w:sz w:val="17"/>
        </w:rPr>
        <w:t xml:space="preserve">TWO DECISIONS THIS EXPOSES  </w:t>
      </w:r>
      <w:r>
        <w:rPr>
          <w:color w:val="16261F"/>
          <w:sz w:val="20"/>
        </w:rPr>
        <w:t>First — the card fee is computed on the post-tax total, not the subtotal. If the client intends otherwise, the order in section 9.2 changes and every downstream figure with it. Second — surcharging a customer for card acceptance is regulated and prohibited in some US states. Open question Q-01 in FRS-001 must be answered before this is implemented, not after.</w:t>
      </w:r>
    </w:p>
    <w:p>
      <w:pPr>
        <w:pStyle w:val="Heading2"/>
      </w:pPr>
      <w:r>
        <w:t>9.4 Where the calculation lives</w:t>
      </w:r>
    </w:p>
    <w:p>
      <w:pPr>
        <w:spacing w:after="140"/>
      </w:pPr>
      <w:r>
        <w:rPr>
          <w:b w:val="0"/>
          <w:i w:val="0"/>
          <w:color w:val="16261F"/>
          <w:sz w:val="21"/>
        </w:rPr>
        <w:t>CalculationService is pure: it takes line items, rates and a payment method, and returns a total breakdown. It performs no I/O, holds no state and imports no framework type. This makes the 90% coverage gate in NFR-TST-001 achievable with fast unit tests, and it means the same code path produces the figure shown on the invoice, in the PDF, on the payment page and in the Zoho push — eliminating the class of defect where two surfaces disagree about a total.</w:t>
      </w:r>
    </w:p>
    <w:p>
      <w:r>
        <w:br w:type="page"/>
      </w:r>
    </w:p>
    <w:p>
      <w:pPr>
        <w:pStyle w:val="Heading1"/>
      </w:pPr>
      <w:r>
        <w:t>10. Integration architecture</w:t>
      </w:r>
    </w:p>
    <w:p>
      <w:pPr>
        <w:pStyle w:val="Heading2"/>
      </w:pPr>
      <w:r>
        <w:t>10.1 Port and adapter pattern</w:t>
      </w:r>
    </w:p>
    <w:p>
      <w:pPr>
        <w:spacing w:after="140"/>
      </w:pPr>
      <w:r>
        <w:rPr>
          <w:b w:val="0"/>
          <w:i w:val="0"/>
          <w:color w:val="16261F"/>
          <w:sz w:val="21"/>
        </w:rPr>
        <w:t>Every external system is reached through a port — an interface owned by the domain — implemented by an adapter owned by the infrastructure layer. This is what makes NFR-MNT-004 verifiable and what makes the unresolved Numbers Gateway question survivable.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Domain / application layer                                           </w:t>
            </w:r>
          </w:p>
          <w:p>
            <w:pPr>
              <w:spacing w:after="0" w:line="240" w:lineRule="auto"/>
            </w:pPr>
            <w:r>
              <w:rPr>
                <w:rFonts w:ascii="Consolas" w:hAnsi="Consolas"/>
                <w:color w:val="16261F"/>
                <w:sz w:val="17"/>
              </w:rPr>
              <w:t xml:space="preserve">        │  depends on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PaymentGatewayPort  │  createIntent · capture · refund · void     │</w:t>
            </w:r>
          </w:p>
          <w:p>
            <w:pPr>
              <w:spacing w:after="0" w:line="240" w:lineRule="auto"/>
            </w:pPr>
            <w:r>
              <w:rPr>
                <w:rFonts w:ascii="Consolas" w:hAnsi="Consolas"/>
                <w:color w:val="16261F"/>
                <w:sz w:val="17"/>
              </w:rPr>
              <w:t xml:space="preserve">  │      (interface)     │  parseWebhook · verifySignature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implemented by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Numbers          (future)          FakeGateway                       </w:t>
            </w:r>
          </w:p>
          <w:p>
            <w:pPr>
              <w:spacing w:after="0" w:line="240" w:lineRule="auto"/>
            </w:pPr>
            <w:r>
              <w:rPr>
                <w:rFonts w:ascii="Consolas" w:hAnsi="Consolas"/>
                <w:color w:val="16261F"/>
                <w:sz w:val="17"/>
              </w:rPr>
              <w:t xml:space="preserve">  Adapter          Adapter           (tests, local dev)                </w:t>
            </w:r>
          </w:p>
        </w:tc>
      </w:tr>
    </w:tbl>
    <w:p>
      <w:pPr>
        <w:spacing w:after="40"/>
      </w:pPr>
    </w:p>
    <w:p>
      <w:pPr>
        <w:pBdr>
          <w:left w:val="single" w:sz="18" w:space="10" w:color="2D6A6A"/>
        </w:pBdr>
        <w:shd w:val="clear" w:color="auto" w:fill="EDF1EE"/>
        <w:spacing w:before="160" w:after="180"/>
        <w:ind w:left="173"/>
      </w:pPr>
      <w:r>
        <w:rPr>
          <w:b/>
          <w:color w:val="2D6A6A"/>
          <w:sz w:val="17"/>
        </w:rPr>
        <w:t xml:space="preserve">WHY THIS MATTERS RIGHT NOW  </w:t>
      </w:r>
      <w:r>
        <w:rPr>
          <w:color w:val="16261F"/>
          <w:sz w:val="20"/>
        </w:rPr>
        <w:t>Numbers Gateway's API contract is unverified (DEP-01). Because the domain depends on the port and not the adapter, invoicing, calculation, state transitions and their tests can all be built and completed against FakeGateway while the real contract is still being obtained. Only the adapter is blocked. Without this boundary, the entire payment workstream would be blocked instead.</w:t>
      </w:r>
    </w:p>
    <w:p>
      <w:pPr>
        <w:pStyle w:val="Heading2"/>
      </w:pPr>
      <w:r>
        <w:t>10.2 Port definitions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016"/>
            <w:shd w:val="clear" w:color="auto" w:fill="16261F"/>
            <w:tcMar>
              <w:top w:w="70" w:type="dxa"/>
              <w:left w:w="110" w:type="dxa"/>
              <w:bottom w:w="70" w:type="dxa"/>
              <w:right w:w="110" w:type="dxa"/>
            </w:tcMar>
          </w:tcPr>
          <w:p>
            <w:pPr>
              <w:spacing w:after="0"/>
            </w:pPr>
            <w:r>
              <w:rPr>
                <w:rFonts w:ascii="Calibri" w:hAnsi="Calibri"/>
                <w:b/>
                <w:color w:val="FFFFFF"/>
                <w:sz w:val="17"/>
              </w:rPr>
              <w:t>Port</w:t>
            </w:r>
          </w:p>
        </w:tc>
        <w:tc>
          <w:tcPr>
            <w:tcW w:type="dxa" w:w="4608"/>
            <w:shd w:val="clear" w:color="auto" w:fill="16261F"/>
            <w:tcMar>
              <w:top w:w="70" w:type="dxa"/>
              <w:left w:w="110" w:type="dxa"/>
              <w:bottom w:w="70" w:type="dxa"/>
              <w:right w:w="110" w:type="dxa"/>
            </w:tcMar>
          </w:tcPr>
          <w:p>
            <w:pPr>
              <w:spacing w:after="0"/>
            </w:pPr>
            <w:r>
              <w:rPr>
                <w:rFonts w:ascii="Calibri" w:hAnsi="Calibri"/>
                <w:b/>
                <w:color w:val="FFFFFF"/>
                <w:sz w:val="17"/>
              </w:rPr>
              <w:t>Operations</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Implementations</w:t>
            </w:r>
          </w:p>
        </w:tc>
      </w:tr>
      <w:tr>
        <w:tc>
          <w:tcPr>
            <w:tcW w:type="dxa" w:w="2016"/>
            <w:tcMar>
              <w:top w:w="60" w:type="dxa"/>
              <w:left w:w="110" w:type="dxa"/>
              <w:bottom w:w="60" w:type="dxa"/>
              <w:right w:w="110" w:type="dxa"/>
            </w:tcMar>
          </w:tcPr>
          <w:p>
            <w:pPr>
              <w:spacing w:after="0"/>
            </w:pPr>
            <w:r>
              <w:rPr>
                <w:b w:val="0"/>
                <w:i w:val="0"/>
                <w:color w:val="16261F"/>
                <w:sz w:val="18"/>
              </w:rPr>
              <w:t>PaymentGatewayPort</w:t>
            </w:r>
          </w:p>
        </w:tc>
        <w:tc>
          <w:tcPr>
            <w:tcW w:type="dxa" w:w="4608"/>
            <w:tcMar>
              <w:top w:w="60" w:type="dxa"/>
              <w:left w:w="110" w:type="dxa"/>
              <w:bottom w:w="60" w:type="dxa"/>
              <w:right w:w="110" w:type="dxa"/>
            </w:tcMar>
          </w:tcPr>
          <w:p>
            <w:pPr>
              <w:spacing w:after="0"/>
            </w:pPr>
            <w:r>
              <w:rPr>
                <w:b w:val="0"/>
                <w:i w:val="0"/>
                <w:color w:val="16261F"/>
                <w:sz w:val="18"/>
              </w:rPr>
              <w:t>createIntent, capture, refund, void, parseWebhook, verifySignature</w:t>
            </w:r>
          </w:p>
        </w:tc>
        <w:tc>
          <w:tcPr>
            <w:tcW w:type="dxa" w:w="2736"/>
            <w:tcMar>
              <w:top w:w="60" w:type="dxa"/>
              <w:left w:w="110" w:type="dxa"/>
              <w:bottom w:w="60" w:type="dxa"/>
              <w:right w:w="110" w:type="dxa"/>
            </w:tcMar>
          </w:tcPr>
          <w:p>
            <w:pPr>
              <w:spacing w:after="0"/>
            </w:pPr>
            <w:r>
              <w:rPr>
                <w:b w:val="0"/>
                <w:i w:val="0"/>
                <w:color w:val="16261F"/>
                <w:sz w:val="18"/>
              </w:rPr>
              <w:t>NumbersGatewayAdapter, FakeGateway</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AccountingPort</w:t>
            </w:r>
          </w:p>
        </w:tc>
        <w:tc>
          <w:tcPr>
            <w:tcW w:type="dxa" w:w="4608"/>
            <w:tcMar>
              <w:top w:w="60" w:type="dxa"/>
              <w:left w:w="110" w:type="dxa"/>
              <w:bottom w:w="60" w:type="dxa"/>
              <w:right w:w="110" w:type="dxa"/>
            </w:tcMar>
            <w:shd w:val="clear" w:color="auto" w:fill="F5F7F5"/>
          </w:tcPr>
          <w:p>
            <w:pPr>
              <w:spacing w:after="0"/>
            </w:pPr>
            <w:r>
              <w:rPr>
                <w:b w:val="0"/>
                <w:i w:val="0"/>
                <w:color w:val="16261F"/>
                <w:sz w:val="18"/>
              </w:rPr>
              <w:t>upsertCustomer, pushInvoice, pushPayment, pullReferenceData, pullChanges</w:t>
            </w:r>
          </w:p>
        </w:tc>
        <w:tc>
          <w:tcPr>
            <w:tcW w:type="dxa" w:w="2736"/>
            <w:tcMar>
              <w:top w:w="60" w:type="dxa"/>
              <w:left w:w="110" w:type="dxa"/>
              <w:bottom w:w="60" w:type="dxa"/>
              <w:right w:w="110" w:type="dxa"/>
            </w:tcMar>
            <w:shd w:val="clear" w:color="auto" w:fill="F5F7F5"/>
          </w:tcPr>
          <w:p>
            <w:pPr>
              <w:spacing w:after="0"/>
            </w:pPr>
            <w:r>
              <w:rPr>
                <w:b w:val="0"/>
                <w:i w:val="0"/>
                <w:color w:val="16261F"/>
                <w:sz w:val="18"/>
              </w:rPr>
              <w:t>ZohoBooksAdapter, FakeAccounting</w:t>
            </w:r>
          </w:p>
        </w:tc>
      </w:tr>
      <w:tr>
        <w:tc>
          <w:tcPr>
            <w:tcW w:type="dxa" w:w="2016"/>
            <w:tcMar>
              <w:top w:w="60" w:type="dxa"/>
              <w:left w:w="110" w:type="dxa"/>
              <w:bottom w:w="60" w:type="dxa"/>
              <w:right w:w="110" w:type="dxa"/>
            </w:tcMar>
          </w:tcPr>
          <w:p>
            <w:pPr>
              <w:spacing w:after="0"/>
            </w:pPr>
            <w:r>
              <w:rPr>
                <w:b w:val="0"/>
                <w:i w:val="0"/>
                <w:color w:val="16261F"/>
                <w:sz w:val="18"/>
              </w:rPr>
              <w:t>MailPort</w:t>
            </w:r>
          </w:p>
        </w:tc>
        <w:tc>
          <w:tcPr>
            <w:tcW w:type="dxa" w:w="4608"/>
            <w:tcMar>
              <w:top w:w="60" w:type="dxa"/>
              <w:left w:w="110" w:type="dxa"/>
              <w:bottom w:w="60" w:type="dxa"/>
              <w:right w:w="110" w:type="dxa"/>
            </w:tcMar>
          </w:tcPr>
          <w:p>
            <w:pPr>
              <w:spacing w:after="0"/>
            </w:pPr>
            <w:r>
              <w:rPr>
                <w:b w:val="0"/>
                <w:i w:val="0"/>
                <w:color w:val="16261F"/>
                <w:sz w:val="18"/>
              </w:rPr>
              <w:t>send, renderPreview, parseDeliveryEvent</w:t>
            </w:r>
          </w:p>
        </w:tc>
        <w:tc>
          <w:tcPr>
            <w:tcW w:type="dxa" w:w="2736"/>
            <w:tcMar>
              <w:top w:w="60" w:type="dxa"/>
              <w:left w:w="110" w:type="dxa"/>
              <w:bottom w:w="60" w:type="dxa"/>
              <w:right w:w="110" w:type="dxa"/>
            </w:tcMar>
          </w:tcPr>
          <w:p>
            <w:pPr>
              <w:spacing w:after="0"/>
            </w:pPr>
            <w:r>
              <w:rPr>
                <w:b w:val="0"/>
                <w:i w:val="0"/>
                <w:color w:val="16261F"/>
                <w:sz w:val="18"/>
              </w:rPr>
              <w:t>ProviderAdapter, CaptureMailer (local)</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StoragePort</w:t>
            </w:r>
          </w:p>
        </w:tc>
        <w:tc>
          <w:tcPr>
            <w:tcW w:type="dxa" w:w="4608"/>
            <w:tcMar>
              <w:top w:w="60" w:type="dxa"/>
              <w:left w:w="110" w:type="dxa"/>
              <w:bottom w:w="60" w:type="dxa"/>
              <w:right w:w="110" w:type="dxa"/>
            </w:tcMar>
            <w:shd w:val="clear" w:color="auto" w:fill="F5F7F5"/>
          </w:tcPr>
          <w:p>
            <w:pPr>
              <w:spacing w:after="0"/>
            </w:pPr>
            <w:r>
              <w:rPr>
                <w:b w:val="0"/>
                <w:i w:val="0"/>
                <w:color w:val="16261F"/>
                <w:sz w:val="18"/>
              </w:rPr>
              <w:t>put, getSignedUrl, delete, scan</w:t>
            </w:r>
          </w:p>
        </w:tc>
        <w:tc>
          <w:tcPr>
            <w:tcW w:type="dxa" w:w="2736"/>
            <w:tcMar>
              <w:top w:w="60" w:type="dxa"/>
              <w:left w:w="110" w:type="dxa"/>
              <w:bottom w:w="60" w:type="dxa"/>
              <w:right w:w="110" w:type="dxa"/>
            </w:tcMar>
            <w:shd w:val="clear" w:color="auto" w:fill="F5F7F5"/>
          </w:tcPr>
          <w:p>
            <w:pPr>
              <w:spacing w:after="0"/>
            </w:pPr>
            <w:r>
              <w:rPr>
                <w:b w:val="0"/>
                <w:i w:val="0"/>
                <w:color w:val="16261F"/>
                <w:sz w:val="18"/>
              </w:rPr>
              <w:t>S3Adapter, LocalDiskAdapter</w:t>
            </w:r>
          </w:p>
        </w:tc>
      </w:tr>
      <w:tr>
        <w:tc>
          <w:tcPr>
            <w:tcW w:type="dxa" w:w="2016"/>
            <w:tcMar>
              <w:top w:w="60" w:type="dxa"/>
              <w:left w:w="110" w:type="dxa"/>
              <w:bottom w:w="60" w:type="dxa"/>
              <w:right w:w="110" w:type="dxa"/>
            </w:tcMar>
          </w:tcPr>
          <w:p>
            <w:pPr>
              <w:spacing w:after="0"/>
            </w:pPr>
            <w:r>
              <w:rPr>
                <w:b w:val="0"/>
                <w:i w:val="0"/>
                <w:color w:val="16261F"/>
                <w:sz w:val="18"/>
              </w:rPr>
              <w:t>BankVerificationPort</w:t>
            </w:r>
          </w:p>
        </w:tc>
        <w:tc>
          <w:tcPr>
            <w:tcW w:type="dxa" w:w="4608"/>
            <w:tcMar>
              <w:top w:w="60" w:type="dxa"/>
              <w:left w:w="110" w:type="dxa"/>
              <w:bottom w:w="60" w:type="dxa"/>
              <w:right w:w="110" w:type="dxa"/>
            </w:tcMar>
          </w:tcPr>
          <w:p>
            <w:pPr>
              <w:spacing w:after="0"/>
            </w:pPr>
            <w:r>
              <w:rPr>
                <w:b w:val="0"/>
                <w:i w:val="0"/>
                <w:color w:val="16261F"/>
                <w:sz w:val="18"/>
              </w:rPr>
              <w:t>createLinkSession, exchangeToken, getAccount</w:t>
            </w:r>
          </w:p>
        </w:tc>
        <w:tc>
          <w:tcPr>
            <w:tcW w:type="dxa" w:w="2736"/>
            <w:tcMar>
              <w:top w:w="60" w:type="dxa"/>
              <w:left w:w="110" w:type="dxa"/>
              <w:bottom w:w="60" w:type="dxa"/>
              <w:right w:w="110" w:type="dxa"/>
            </w:tcMar>
          </w:tcPr>
          <w:p>
            <w:pPr>
              <w:spacing w:after="0"/>
            </w:pPr>
            <w:r>
              <w:rPr>
                <w:b w:val="0"/>
                <w:i w:val="0"/>
                <w:color w:val="16261F"/>
                <w:sz w:val="18"/>
              </w:rPr>
              <w:t>ProviderAdapter, FakeBank (Phase 2)</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CommercePort</w:t>
            </w:r>
          </w:p>
        </w:tc>
        <w:tc>
          <w:tcPr>
            <w:tcW w:type="dxa" w:w="4608"/>
            <w:tcMar>
              <w:top w:w="60" w:type="dxa"/>
              <w:left w:w="110" w:type="dxa"/>
              <w:bottom w:w="60" w:type="dxa"/>
              <w:right w:w="110" w:type="dxa"/>
            </w:tcMar>
            <w:shd w:val="clear" w:color="auto" w:fill="F5F7F5"/>
          </w:tcPr>
          <w:p>
            <w:pPr>
              <w:spacing w:after="0"/>
            </w:pPr>
            <w:r>
              <w:rPr>
                <w:b w:val="0"/>
                <w:i w:val="0"/>
                <w:color w:val="16261F"/>
                <w:sz w:val="18"/>
              </w:rPr>
              <w:t>listDraftOrders, mapCompany, writeBackStatus</w:t>
            </w:r>
          </w:p>
        </w:tc>
        <w:tc>
          <w:tcPr>
            <w:tcW w:type="dxa" w:w="2736"/>
            <w:tcMar>
              <w:top w:w="60" w:type="dxa"/>
              <w:left w:w="110" w:type="dxa"/>
              <w:bottom w:w="60" w:type="dxa"/>
              <w:right w:w="110" w:type="dxa"/>
            </w:tcMar>
            <w:shd w:val="clear" w:color="auto" w:fill="F5F7F5"/>
          </w:tcPr>
          <w:p>
            <w:pPr>
              <w:spacing w:after="0"/>
            </w:pPr>
            <w:r>
              <w:rPr>
                <w:b w:val="0"/>
                <w:i w:val="0"/>
                <w:color w:val="16261F"/>
                <w:sz w:val="18"/>
              </w:rPr>
              <w:t>ShopifyAdapter (Phase 2)</w:t>
            </w:r>
          </w:p>
        </w:tc>
      </w:tr>
      <w:tr>
        <w:tc>
          <w:tcPr>
            <w:tcW w:type="dxa" w:w="2016"/>
            <w:tcMar>
              <w:top w:w="60" w:type="dxa"/>
              <w:left w:w="110" w:type="dxa"/>
              <w:bottom w:w="60" w:type="dxa"/>
              <w:right w:w="110" w:type="dxa"/>
            </w:tcMar>
          </w:tcPr>
          <w:p>
            <w:pPr>
              <w:spacing w:after="0"/>
            </w:pPr>
            <w:r>
              <w:rPr>
                <w:b w:val="0"/>
                <w:i w:val="0"/>
                <w:color w:val="16261F"/>
                <w:sz w:val="18"/>
              </w:rPr>
              <w:t>InsightPort</w:t>
            </w:r>
          </w:p>
        </w:tc>
        <w:tc>
          <w:tcPr>
            <w:tcW w:type="dxa" w:w="4608"/>
            <w:tcMar>
              <w:top w:w="60" w:type="dxa"/>
              <w:left w:w="110" w:type="dxa"/>
              <w:bottom w:w="60" w:type="dxa"/>
              <w:right w:w="110" w:type="dxa"/>
            </w:tcMar>
          </w:tcPr>
          <w:p>
            <w:pPr>
              <w:spacing w:after="0"/>
            </w:pPr>
            <w:r>
              <w:rPr>
                <w:b w:val="0"/>
                <w:i w:val="0"/>
                <w:color w:val="16261F"/>
                <w:sz w:val="18"/>
              </w:rPr>
              <w:t>summarise, forecast, scoreRisk, generateDesign</w:t>
            </w:r>
          </w:p>
        </w:tc>
        <w:tc>
          <w:tcPr>
            <w:tcW w:type="dxa" w:w="2736"/>
            <w:tcMar>
              <w:top w:w="60" w:type="dxa"/>
              <w:left w:w="110" w:type="dxa"/>
              <w:bottom w:w="60" w:type="dxa"/>
              <w:right w:w="110" w:type="dxa"/>
            </w:tcMar>
          </w:tcPr>
          <w:p>
            <w:pPr>
              <w:spacing w:after="0"/>
            </w:pPr>
            <w:r>
              <w:rPr>
                <w:b w:val="0"/>
                <w:i w:val="0"/>
                <w:color w:val="16261F"/>
                <w:sz w:val="18"/>
              </w:rPr>
              <w:t>ModelProviderAdapter (Phase 2)</w:t>
            </w:r>
          </w:p>
        </w:tc>
      </w:tr>
    </w:tbl>
    <w:p>
      <w:pPr>
        <w:pStyle w:val="Heading2"/>
      </w:pPr>
      <w:r>
        <w:t>10.3 Numbers Gateway adapter — provisional</w:t>
      </w:r>
    </w:p>
    <w:p>
      <w:pPr>
        <w:pBdr>
          <w:left w:val="single" w:sz="18" w:space="10" w:color="C0473D"/>
        </w:pBdr>
        <w:shd w:val="clear" w:color="auto" w:fill="F9E7E5"/>
        <w:spacing w:before="160" w:after="180"/>
        <w:ind w:left="173"/>
      </w:pPr>
      <w:r>
        <w:rPr>
          <w:b/>
          <w:color w:val="C0473D"/>
          <w:sz w:val="17"/>
        </w:rPr>
        <w:t xml:space="preserve">PROVISIONAL DESIGN  </w:t>
      </w:r>
      <w:r>
        <w:rPr>
          <w:color w:val="16261F"/>
          <w:sz w:val="20"/>
        </w:rPr>
        <w:t>The following is the capability set the adapter must provide. It is written against generic gateway behaviour because the real contract could not be read: docs.numbersgateway.com resolves but returns no readable content unauthenticated, and /api/v2 returns 404. Each row below carries the question that must be answered before the adapter is implemented.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512"/>
            <w:shd w:val="clear" w:color="auto" w:fill="16261F"/>
            <w:tcMar>
              <w:top w:w="70" w:type="dxa"/>
              <w:left w:w="110" w:type="dxa"/>
              <w:bottom w:w="70" w:type="dxa"/>
              <w:right w:w="110" w:type="dxa"/>
            </w:tcMar>
          </w:tcPr>
          <w:p>
            <w:pPr>
              <w:spacing w:after="0"/>
            </w:pPr>
            <w:r>
              <w:rPr>
                <w:rFonts w:ascii="Calibri" w:hAnsi="Calibri"/>
                <w:b/>
                <w:color w:val="FFFFFF"/>
                <w:sz w:val="16"/>
              </w:rPr>
              <w:t>Capability</w:t>
            </w:r>
          </w:p>
        </w:tc>
        <w:tc>
          <w:tcPr>
            <w:tcW w:type="dxa" w:w="3456"/>
            <w:shd w:val="clear" w:color="auto" w:fill="16261F"/>
            <w:tcMar>
              <w:top w:w="70" w:type="dxa"/>
              <w:left w:w="110" w:type="dxa"/>
              <w:bottom w:w="70" w:type="dxa"/>
              <w:right w:w="110" w:type="dxa"/>
            </w:tcMar>
          </w:tcPr>
          <w:p>
            <w:pPr>
              <w:spacing w:after="0"/>
            </w:pPr>
            <w:r>
              <w:rPr>
                <w:rFonts w:ascii="Calibri" w:hAnsi="Calibri"/>
                <w:b/>
                <w:color w:val="FFFFFF"/>
                <w:sz w:val="16"/>
              </w:rPr>
              <w:t>Design intent</w:t>
            </w:r>
          </w:p>
        </w:tc>
        <w:tc>
          <w:tcPr>
            <w:tcW w:type="dxa" w:w="4392"/>
            <w:shd w:val="clear" w:color="auto" w:fill="16261F"/>
            <w:tcMar>
              <w:top w:w="70" w:type="dxa"/>
              <w:left w:w="110" w:type="dxa"/>
              <w:bottom w:w="70" w:type="dxa"/>
              <w:right w:w="110" w:type="dxa"/>
            </w:tcMar>
          </w:tcPr>
          <w:p>
            <w:pPr>
              <w:spacing w:after="0"/>
            </w:pPr>
            <w:r>
              <w:rPr>
                <w:rFonts w:ascii="Calibri" w:hAnsi="Calibri"/>
                <w:b/>
                <w:color w:val="FFFFFF"/>
                <w:sz w:val="16"/>
              </w:rPr>
              <w:t>Must confirm with Numbers</w:t>
            </w:r>
          </w:p>
        </w:tc>
      </w:tr>
      <w:tr>
        <w:tc>
          <w:tcPr>
            <w:tcW w:type="dxa" w:w="1512"/>
            <w:tcMar>
              <w:top w:w="60" w:type="dxa"/>
              <w:left w:w="110" w:type="dxa"/>
              <w:bottom w:w="60" w:type="dxa"/>
              <w:right w:w="110" w:type="dxa"/>
            </w:tcMar>
          </w:tcPr>
          <w:p>
            <w:pPr>
              <w:spacing w:after="0"/>
            </w:pPr>
            <w:r>
              <w:rPr>
                <w:b w:val="0"/>
                <w:i w:val="0"/>
                <w:color w:val="16261F"/>
                <w:sz w:val="17"/>
              </w:rPr>
              <w:t>Authentication</w:t>
            </w:r>
          </w:p>
        </w:tc>
        <w:tc>
          <w:tcPr>
            <w:tcW w:type="dxa" w:w="3456"/>
            <w:tcMar>
              <w:top w:w="60" w:type="dxa"/>
              <w:left w:w="110" w:type="dxa"/>
              <w:bottom w:w="60" w:type="dxa"/>
              <w:right w:w="110" w:type="dxa"/>
            </w:tcMar>
          </w:tcPr>
          <w:p>
            <w:pPr>
              <w:spacing w:after="0"/>
            </w:pPr>
            <w:r>
              <w:rPr>
                <w:b w:val="0"/>
                <w:i w:val="0"/>
                <w:color w:val="16261F"/>
                <w:sz w:val="17"/>
              </w:rPr>
              <w:t>Credentials held per brand, encrypted at rest, injected per request.</w:t>
            </w:r>
          </w:p>
        </w:tc>
        <w:tc>
          <w:tcPr>
            <w:tcW w:type="dxa" w:w="4392"/>
            <w:tcMar>
              <w:top w:w="60" w:type="dxa"/>
              <w:left w:w="110" w:type="dxa"/>
              <w:bottom w:w="60" w:type="dxa"/>
              <w:right w:w="110" w:type="dxa"/>
            </w:tcMar>
          </w:tcPr>
          <w:p>
            <w:pPr>
              <w:spacing w:after="0"/>
            </w:pPr>
            <w:r>
              <w:rPr>
                <w:b w:val="0"/>
                <w:i w:val="0"/>
                <w:color w:val="16261F"/>
                <w:sz w:val="17"/>
              </w:rPr>
              <w:t>API key, OAuth, or merchant ID and transaction key? Per-merchant or per-brand issuance?</w:t>
            </w:r>
          </w:p>
        </w:tc>
      </w:tr>
      <w:tr>
        <w:tc>
          <w:tcPr>
            <w:tcW w:type="dxa" w:w="1512"/>
            <w:tcMar>
              <w:top w:w="60" w:type="dxa"/>
              <w:left w:w="110" w:type="dxa"/>
              <w:bottom w:w="60" w:type="dxa"/>
              <w:right w:w="110" w:type="dxa"/>
            </w:tcMar>
            <w:shd w:val="clear" w:color="auto" w:fill="F5F7F5"/>
          </w:tcPr>
          <w:p>
            <w:pPr>
              <w:spacing w:after="0"/>
            </w:pPr>
            <w:r>
              <w:rPr>
                <w:b w:val="0"/>
                <w:i w:val="0"/>
                <w:color w:val="16261F"/>
                <w:sz w:val="17"/>
              </w:rPr>
              <w:t>Card capture</w:t>
            </w:r>
          </w:p>
        </w:tc>
        <w:tc>
          <w:tcPr>
            <w:tcW w:type="dxa" w:w="3456"/>
            <w:tcMar>
              <w:top w:w="60" w:type="dxa"/>
              <w:left w:w="110" w:type="dxa"/>
              <w:bottom w:w="60" w:type="dxa"/>
              <w:right w:w="110" w:type="dxa"/>
            </w:tcMar>
            <w:shd w:val="clear" w:color="auto" w:fill="F5F7F5"/>
          </w:tcPr>
          <w:p>
            <w:pPr>
              <w:spacing w:after="0"/>
            </w:pPr>
            <w:r>
              <w:rPr>
                <w:b w:val="0"/>
                <w:i w:val="0"/>
                <w:color w:val="16261F"/>
                <w:sz w:val="17"/>
              </w:rPr>
              <w:t>Hosted fields embedded in the payment page; card data never reaches the platform.</w:t>
            </w:r>
          </w:p>
        </w:tc>
        <w:tc>
          <w:tcPr>
            <w:tcW w:type="dxa" w:w="4392"/>
            <w:tcMar>
              <w:top w:w="60" w:type="dxa"/>
              <w:left w:w="110" w:type="dxa"/>
              <w:bottom w:w="60" w:type="dxa"/>
              <w:right w:w="110" w:type="dxa"/>
            </w:tcMar>
            <w:shd w:val="clear" w:color="auto" w:fill="F5F7F5"/>
          </w:tcPr>
          <w:p>
            <w:pPr>
              <w:spacing w:after="0"/>
            </w:pPr>
            <w:r>
              <w:rPr>
                <w:b w:val="0"/>
                <w:i w:val="0"/>
                <w:color w:val="16261F"/>
                <w:sz w:val="17"/>
              </w:rPr>
              <w:t>Are hosted fields or a hosted checkout page offered? This determines PCI scope — the single most important open question in the project.</w:t>
            </w:r>
          </w:p>
        </w:tc>
      </w:tr>
      <w:tr>
        <w:tc>
          <w:tcPr>
            <w:tcW w:type="dxa" w:w="1512"/>
            <w:tcMar>
              <w:top w:w="60" w:type="dxa"/>
              <w:left w:w="110" w:type="dxa"/>
              <w:bottom w:w="60" w:type="dxa"/>
              <w:right w:w="110" w:type="dxa"/>
            </w:tcMar>
          </w:tcPr>
          <w:p>
            <w:pPr>
              <w:spacing w:after="0"/>
            </w:pPr>
            <w:r>
              <w:rPr>
                <w:b w:val="0"/>
                <w:i w:val="0"/>
                <w:color w:val="16261F"/>
                <w:sz w:val="17"/>
              </w:rPr>
              <w:t>Tokenisation</w:t>
            </w:r>
          </w:p>
        </w:tc>
        <w:tc>
          <w:tcPr>
            <w:tcW w:type="dxa" w:w="3456"/>
            <w:tcMar>
              <w:top w:w="60" w:type="dxa"/>
              <w:left w:w="110" w:type="dxa"/>
              <w:bottom w:w="60" w:type="dxa"/>
              <w:right w:w="110" w:type="dxa"/>
            </w:tcMar>
          </w:tcPr>
          <w:p>
            <w:pPr>
              <w:spacing w:after="0"/>
            </w:pPr>
            <w:r>
              <w:rPr>
                <w:b w:val="0"/>
                <w:i w:val="0"/>
                <w:color w:val="16261F"/>
                <w:sz w:val="17"/>
              </w:rPr>
              <w:t>Store token, last four, brand and expiry only.</w:t>
            </w:r>
          </w:p>
        </w:tc>
        <w:tc>
          <w:tcPr>
            <w:tcW w:type="dxa" w:w="4392"/>
            <w:tcMar>
              <w:top w:w="60" w:type="dxa"/>
              <w:left w:w="110" w:type="dxa"/>
              <w:bottom w:w="60" w:type="dxa"/>
              <w:right w:w="110" w:type="dxa"/>
            </w:tcMar>
          </w:tcPr>
          <w:p>
            <w:pPr>
              <w:spacing w:after="0"/>
            </w:pPr>
            <w:r>
              <w:rPr>
                <w:b w:val="0"/>
                <w:i w:val="0"/>
                <w:color w:val="16261F"/>
                <w:sz w:val="17"/>
              </w:rPr>
              <w:t>Is vaulting supported? Is the token reusable for repeat payment?</w:t>
            </w:r>
          </w:p>
        </w:tc>
      </w:tr>
      <w:tr>
        <w:tc>
          <w:tcPr>
            <w:tcW w:type="dxa" w:w="1512"/>
            <w:tcMar>
              <w:top w:w="60" w:type="dxa"/>
              <w:left w:w="110" w:type="dxa"/>
              <w:bottom w:w="60" w:type="dxa"/>
              <w:right w:w="110" w:type="dxa"/>
            </w:tcMar>
            <w:shd w:val="clear" w:color="auto" w:fill="F5F7F5"/>
          </w:tcPr>
          <w:p>
            <w:pPr>
              <w:spacing w:after="0"/>
            </w:pPr>
            <w:r>
              <w:rPr>
                <w:b w:val="0"/>
                <w:i w:val="0"/>
                <w:color w:val="16261F"/>
                <w:sz w:val="17"/>
              </w:rPr>
              <w:t>Transaction model</w:t>
            </w:r>
          </w:p>
        </w:tc>
        <w:tc>
          <w:tcPr>
            <w:tcW w:type="dxa" w:w="3456"/>
            <w:tcMar>
              <w:top w:w="60" w:type="dxa"/>
              <w:left w:w="110" w:type="dxa"/>
              <w:bottom w:w="60" w:type="dxa"/>
              <w:right w:w="110" w:type="dxa"/>
            </w:tcMar>
            <w:shd w:val="clear" w:color="auto" w:fill="F5F7F5"/>
          </w:tcPr>
          <w:p>
            <w:pPr>
              <w:spacing w:after="0"/>
            </w:pPr>
            <w:r>
              <w:rPr>
                <w:b w:val="0"/>
                <w:i w:val="0"/>
                <w:color w:val="16261F"/>
                <w:sz w:val="17"/>
              </w:rPr>
              <w:t>Prefer authorise-then-capture; fall back to immediate sale.</w:t>
            </w:r>
          </w:p>
        </w:tc>
        <w:tc>
          <w:tcPr>
            <w:tcW w:type="dxa" w:w="4392"/>
            <w:tcMar>
              <w:top w:w="60" w:type="dxa"/>
              <w:left w:w="110" w:type="dxa"/>
              <w:bottom w:w="60" w:type="dxa"/>
              <w:right w:w="110" w:type="dxa"/>
            </w:tcMar>
            <w:shd w:val="clear" w:color="auto" w:fill="F5F7F5"/>
          </w:tcPr>
          <w:p>
            <w:pPr>
              <w:spacing w:after="0"/>
            </w:pPr>
            <w:r>
              <w:rPr>
                <w:b w:val="0"/>
                <w:i w:val="0"/>
                <w:color w:val="16261F"/>
                <w:sz w:val="17"/>
              </w:rPr>
              <w:t>Which operations exist, and is partial capture supported?</w:t>
            </w:r>
          </w:p>
        </w:tc>
      </w:tr>
      <w:tr>
        <w:tc>
          <w:tcPr>
            <w:tcW w:type="dxa" w:w="1512"/>
            <w:tcMar>
              <w:top w:w="60" w:type="dxa"/>
              <w:left w:w="110" w:type="dxa"/>
              <w:bottom w:w="60" w:type="dxa"/>
              <w:right w:w="110" w:type="dxa"/>
            </w:tcMar>
          </w:tcPr>
          <w:p>
            <w:pPr>
              <w:spacing w:after="0"/>
            </w:pPr>
            <w:r>
              <w:rPr>
                <w:b w:val="0"/>
                <w:i w:val="0"/>
                <w:color w:val="16261F"/>
                <w:sz w:val="17"/>
              </w:rPr>
              <w:t>Refunds</w:t>
            </w:r>
          </w:p>
        </w:tc>
        <w:tc>
          <w:tcPr>
            <w:tcW w:type="dxa" w:w="3456"/>
            <w:tcMar>
              <w:top w:w="60" w:type="dxa"/>
              <w:left w:w="110" w:type="dxa"/>
              <w:bottom w:w="60" w:type="dxa"/>
              <w:right w:w="110" w:type="dxa"/>
            </w:tcMar>
          </w:tcPr>
          <w:p>
            <w:pPr>
              <w:spacing w:after="0"/>
            </w:pPr>
            <w:r>
              <w:rPr>
                <w:b w:val="0"/>
                <w:i w:val="0"/>
                <w:color w:val="16261F"/>
                <w:sz w:val="17"/>
              </w:rPr>
              <w:t>Full and partial refund against a settled transaction.</w:t>
            </w:r>
          </w:p>
        </w:tc>
        <w:tc>
          <w:tcPr>
            <w:tcW w:type="dxa" w:w="4392"/>
            <w:tcMar>
              <w:top w:w="60" w:type="dxa"/>
              <w:left w:w="110" w:type="dxa"/>
              <w:bottom w:w="60" w:type="dxa"/>
              <w:right w:w="110" w:type="dxa"/>
            </w:tcMar>
          </w:tcPr>
          <w:p>
            <w:pPr>
              <w:spacing w:after="0"/>
            </w:pPr>
            <w:r>
              <w:rPr>
                <w:b w:val="0"/>
                <w:i w:val="0"/>
                <w:color w:val="16261F"/>
                <w:sz w:val="17"/>
              </w:rPr>
              <w:t>Supported? Is there a time limit after settlement?</w:t>
            </w:r>
          </w:p>
        </w:tc>
      </w:tr>
      <w:tr>
        <w:tc>
          <w:tcPr>
            <w:tcW w:type="dxa" w:w="1512"/>
            <w:tcMar>
              <w:top w:w="60" w:type="dxa"/>
              <w:left w:w="110" w:type="dxa"/>
              <w:bottom w:w="60" w:type="dxa"/>
              <w:right w:w="110" w:type="dxa"/>
            </w:tcMar>
            <w:shd w:val="clear" w:color="auto" w:fill="F5F7F5"/>
          </w:tcPr>
          <w:p>
            <w:pPr>
              <w:spacing w:after="0"/>
            </w:pPr>
            <w:r>
              <w:rPr>
                <w:b w:val="0"/>
                <w:i w:val="0"/>
                <w:color w:val="16261F"/>
                <w:sz w:val="17"/>
              </w:rPr>
              <w:t>Webhooks</w:t>
            </w:r>
          </w:p>
        </w:tc>
        <w:tc>
          <w:tcPr>
            <w:tcW w:type="dxa" w:w="3456"/>
            <w:tcMar>
              <w:top w:w="60" w:type="dxa"/>
              <w:left w:w="110" w:type="dxa"/>
              <w:bottom w:w="60" w:type="dxa"/>
              <w:right w:w="110" w:type="dxa"/>
            </w:tcMar>
            <w:shd w:val="clear" w:color="auto" w:fill="F5F7F5"/>
          </w:tcPr>
          <w:p>
            <w:pPr>
              <w:spacing w:after="0"/>
            </w:pPr>
            <w:r>
              <w:rPr>
                <w:b w:val="0"/>
                <w:i w:val="0"/>
                <w:color w:val="16261F"/>
                <w:sz w:val="17"/>
              </w:rPr>
              <w:t>Signed callbacks, acknowledged within 500 ms, processed asynchronously.</w:t>
            </w:r>
          </w:p>
        </w:tc>
        <w:tc>
          <w:tcPr>
            <w:tcW w:type="dxa" w:w="4392"/>
            <w:tcMar>
              <w:top w:w="60" w:type="dxa"/>
              <w:left w:w="110" w:type="dxa"/>
              <w:bottom w:w="60" w:type="dxa"/>
              <w:right w:w="110" w:type="dxa"/>
            </w:tcMar>
            <w:shd w:val="clear" w:color="auto" w:fill="F5F7F5"/>
          </w:tcPr>
          <w:p>
            <w:pPr>
              <w:spacing w:after="0"/>
            </w:pPr>
            <w:r>
              <w:rPr>
                <w:b w:val="0"/>
                <w:i w:val="0"/>
                <w:color w:val="16261F"/>
                <w:sz w:val="17"/>
              </w:rPr>
              <w:t>Are webhooks offered at all? What signature scheme? Is redelivery guaranteed on failure?</w:t>
            </w:r>
          </w:p>
        </w:tc>
      </w:tr>
      <w:tr>
        <w:tc>
          <w:tcPr>
            <w:tcW w:type="dxa" w:w="1512"/>
            <w:tcMar>
              <w:top w:w="60" w:type="dxa"/>
              <w:left w:w="110" w:type="dxa"/>
              <w:bottom w:w="60" w:type="dxa"/>
              <w:right w:w="110" w:type="dxa"/>
            </w:tcMar>
          </w:tcPr>
          <w:p>
            <w:pPr>
              <w:spacing w:after="0"/>
            </w:pPr>
            <w:r>
              <w:rPr>
                <w:b w:val="0"/>
                <w:i w:val="0"/>
                <w:color w:val="16261F"/>
                <w:sz w:val="17"/>
              </w:rPr>
              <w:t>Idempotency</w:t>
            </w:r>
          </w:p>
        </w:tc>
        <w:tc>
          <w:tcPr>
            <w:tcW w:type="dxa" w:w="3456"/>
            <w:tcMar>
              <w:top w:w="60" w:type="dxa"/>
              <w:left w:w="110" w:type="dxa"/>
              <w:bottom w:w="60" w:type="dxa"/>
              <w:right w:w="110" w:type="dxa"/>
            </w:tcMar>
          </w:tcPr>
          <w:p>
            <w:pPr>
              <w:spacing w:after="0"/>
            </w:pPr>
            <w:r>
              <w:rPr>
                <w:b w:val="0"/>
                <w:i w:val="0"/>
                <w:color w:val="16261F"/>
                <w:sz w:val="17"/>
              </w:rPr>
              <w:t>Client-supplied key on every mutating call.</w:t>
            </w:r>
          </w:p>
        </w:tc>
        <w:tc>
          <w:tcPr>
            <w:tcW w:type="dxa" w:w="4392"/>
            <w:tcMar>
              <w:top w:w="60" w:type="dxa"/>
              <w:left w:w="110" w:type="dxa"/>
              <w:bottom w:w="60" w:type="dxa"/>
              <w:right w:w="110" w:type="dxa"/>
            </w:tcMar>
          </w:tcPr>
          <w:p>
            <w:pPr>
              <w:spacing w:after="0"/>
            </w:pPr>
            <w:r>
              <w:rPr>
                <w:b w:val="0"/>
                <w:i w:val="0"/>
                <w:color w:val="16261F"/>
                <w:sz w:val="17"/>
              </w:rPr>
              <w:t>Is an idempotency key header honoured?</w:t>
            </w:r>
          </w:p>
        </w:tc>
      </w:tr>
      <w:tr>
        <w:tc>
          <w:tcPr>
            <w:tcW w:type="dxa" w:w="1512"/>
            <w:tcMar>
              <w:top w:w="60" w:type="dxa"/>
              <w:left w:w="110" w:type="dxa"/>
              <w:bottom w:w="60" w:type="dxa"/>
              <w:right w:w="110" w:type="dxa"/>
            </w:tcMar>
            <w:shd w:val="clear" w:color="auto" w:fill="F5F7F5"/>
          </w:tcPr>
          <w:p>
            <w:pPr>
              <w:spacing w:after="0"/>
            </w:pPr>
            <w:r>
              <w:rPr>
                <w:b w:val="0"/>
                <w:i w:val="0"/>
                <w:color w:val="16261F"/>
                <w:sz w:val="17"/>
              </w:rPr>
              <w:t>Sandbox</w:t>
            </w:r>
          </w:p>
        </w:tc>
        <w:tc>
          <w:tcPr>
            <w:tcW w:type="dxa" w:w="3456"/>
            <w:tcMar>
              <w:top w:w="60" w:type="dxa"/>
              <w:left w:w="110" w:type="dxa"/>
              <w:bottom w:w="60" w:type="dxa"/>
              <w:right w:w="110" w:type="dxa"/>
            </w:tcMar>
            <w:shd w:val="clear" w:color="auto" w:fill="F5F7F5"/>
          </w:tcPr>
          <w:p>
            <w:pPr>
              <w:spacing w:after="0"/>
            </w:pPr>
            <w:r>
              <w:rPr>
                <w:b w:val="0"/>
                <w:i w:val="0"/>
                <w:color w:val="16261F"/>
                <w:sz w:val="17"/>
              </w:rPr>
              <w:t>Full sandbox used by staging and by contract tests.</w:t>
            </w:r>
          </w:p>
        </w:tc>
        <w:tc>
          <w:tcPr>
            <w:tcW w:type="dxa" w:w="4392"/>
            <w:tcMar>
              <w:top w:w="60" w:type="dxa"/>
              <w:left w:w="110" w:type="dxa"/>
              <w:bottom w:w="60" w:type="dxa"/>
              <w:right w:w="110" w:type="dxa"/>
            </w:tcMar>
            <w:shd w:val="clear" w:color="auto" w:fill="F5F7F5"/>
          </w:tcPr>
          <w:p>
            <w:pPr>
              <w:spacing w:after="0"/>
            </w:pPr>
            <w:r>
              <w:rPr>
                <w:b w:val="0"/>
                <w:i w:val="0"/>
                <w:color w:val="16261F"/>
                <w:sz w:val="17"/>
              </w:rPr>
              <w:t>Does a sandbox exist, and is it functionally complete?</w:t>
            </w:r>
          </w:p>
        </w:tc>
      </w:tr>
      <w:tr>
        <w:tc>
          <w:tcPr>
            <w:tcW w:type="dxa" w:w="1512"/>
            <w:tcMar>
              <w:top w:w="60" w:type="dxa"/>
              <w:left w:w="110" w:type="dxa"/>
              <w:bottom w:w="60" w:type="dxa"/>
              <w:right w:w="110" w:type="dxa"/>
            </w:tcMar>
          </w:tcPr>
          <w:p>
            <w:pPr>
              <w:spacing w:after="0"/>
            </w:pPr>
            <w:r>
              <w:rPr>
                <w:b w:val="0"/>
                <w:i w:val="0"/>
                <w:color w:val="16261F"/>
                <w:sz w:val="17"/>
              </w:rPr>
              <w:t>Rate limits</w:t>
            </w:r>
          </w:p>
        </w:tc>
        <w:tc>
          <w:tcPr>
            <w:tcW w:type="dxa" w:w="3456"/>
            <w:tcMar>
              <w:top w:w="60" w:type="dxa"/>
              <w:left w:w="110" w:type="dxa"/>
              <w:bottom w:w="60" w:type="dxa"/>
              <w:right w:w="110" w:type="dxa"/>
            </w:tcMar>
          </w:tcPr>
          <w:p>
            <w:pPr>
              <w:spacing w:after="0"/>
            </w:pPr>
            <w:r>
              <w:rPr>
                <w:b w:val="0"/>
                <w:i w:val="0"/>
                <w:color w:val="16261F"/>
                <w:sz w:val="17"/>
              </w:rPr>
              <w:t>Adaptive throttle with backoff.</w:t>
            </w:r>
          </w:p>
        </w:tc>
        <w:tc>
          <w:tcPr>
            <w:tcW w:type="dxa" w:w="4392"/>
            <w:tcMar>
              <w:top w:w="60" w:type="dxa"/>
              <w:left w:w="110" w:type="dxa"/>
              <w:bottom w:w="60" w:type="dxa"/>
              <w:right w:w="110" w:type="dxa"/>
            </w:tcMar>
          </w:tcPr>
          <w:p>
            <w:pPr>
              <w:spacing w:after="0"/>
            </w:pPr>
            <w:r>
              <w:rPr>
                <w:b w:val="0"/>
                <w:i w:val="0"/>
                <w:color w:val="16261F"/>
                <w:sz w:val="17"/>
              </w:rPr>
              <w:t>What limits apply, and per what dimension?</w:t>
            </w:r>
          </w:p>
        </w:tc>
      </w:tr>
      <w:tr>
        <w:tc>
          <w:tcPr>
            <w:tcW w:type="dxa" w:w="1512"/>
            <w:tcMar>
              <w:top w:w="60" w:type="dxa"/>
              <w:left w:w="110" w:type="dxa"/>
              <w:bottom w:w="60" w:type="dxa"/>
              <w:right w:w="110" w:type="dxa"/>
            </w:tcMar>
            <w:shd w:val="clear" w:color="auto" w:fill="F5F7F5"/>
          </w:tcPr>
          <w:p>
            <w:pPr>
              <w:spacing w:after="0"/>
            </w:pPr>
            <w:r>
              <w:rPr>
                <w:b w:val="0"/>
                <w:i w:val="0"/>
                <w:color w:val="16261F"/>
                <w:sz w:val="17"/>
              </w:rPr>
              <w:t>ACH</w:t>
            </w:r>
          </w:p>
        </w:tc>
        <w:tc>
          <w:tcPr>
            <w:tcW w:type="dxa" w:w="3456"/>
            <w:tcMar>
              <w:top w:w="60" w:type="dxa"/>
              <w:left w:w="110" w:type="dxa"/>
              <w:bottom w:w="60" w:type="dxa"/>
              <w:right w:w="110" w:type="dxa"/>
            </w:tcMar>
            <w:shd w:val="clear" w:color="auto" w:fill="F5F7F5"/>
          </w:tcPr>
          <w:p>
            <w:pPr>
              <w:spacing w:after="0"/>
            </w:pPr>
            <w:r>
              <w:rPr>
                <w:b w:val="0"/>
                <w:i w:val="0"/>
                <w:color w:val="16261F"/>
                <w:sz w:val="17"/>
              </w:rPr>
              <w:t>Bank transfer where the gateway supports it.</w:t>
            </w:r>
          </w:p>
        </w:tc>
        <w:tc>
          <w:tcPr>
            <w:tcW w:type="dxa" w:w="4392"/>
            <w:tcMar>
              <w:top w:w="60" w:type="dxa"/>
              <w:left w:w="110" w:type="dxa"/>
              <w:bottom w:w="60" w:type="dxa"/>
              <w:right w:w="110" w:type="dxa"/>
            </w:tcMar>
            <w:shd w:val="clear" w:color="auto" w:fill="F5F7F5"/>
          </w:tcPr>
          <w:p>
            <w:pPr>
              <w:spacing w:after="0"/>
            </w:pPr>
            <w:r>
              <w:rPr>
                <w:b w:val="0"/>
                <w:i w:val="0"/>
                <w:color w:val="16261F"/>
                <w:sz w:val="17"/>
              </w:rPr>
              <w:t>Native ACH, or is a separate provider required?</w:t>
            </w:r>
          </w:p>
        </w:tc>
      </w:tr>
    </w:tbl>
    <w:p>
      <w:pPr>
        <w:pStyle w:val="Heading2"/>
      </w:pPr>
      <w:r>
        <w:t>10.4 Zoho Books adapter</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728"/>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7632"/>
            <w:shd w:val="clear" w:color="auto" w:fill="16261F"/>
            <w:tcMar>
              <w:top w:w="70" w:type="dxa"/>
              <w:left w:w="110" w:type="dxa"/>
              <w:bottom w:w="70" w:type="dxa"/>
              <w:right w:w="110" w:type="dxa"/>
            </w:tcMar>
          </w:tcPr>
          <w:p>
            <w:pPr>
              <w:spacing w:after="0"/>
            </w:pPr>
            <w:r>
              <w:rPr>
                <w:rFonts w:ascii="Calibri" w:hAnsi="Calibri"/>
                <w:b/>
                <w:color w:val="FFFFFF"/>
                <w:sz w:val="17"/>
              </w:rPr>
              <w:t>Design</w:t>
            </w:r>
          </w:p>
        </w:tc>
      </w:tr>
      <w:tr>
        <w:tc>
          <w:tcPr>
            <w:tcW w:type="dxa" w:w="1728"/>
            <w:tcMar>
              <w:top w:w="60" w:type="dxa"/>
              <w:left w:w="110" w:type="dxa"/>
              <w:bottom w:w="60" w:type="dxa"/>
              <w:right w:w="110" w:type="dxa"/>
            </w:tcMar>
          </w:tcPr>
          <w:p>
            <w:pPr>
              <w:spacing w:after="0"/>
            </w:pPr>
            <w:r>
              <w:rPr>
                <w:b w:val="0"/>
                <w:i w:val="0"/>
                <w:color w:val="16261F"/>
                <w:sz w:val="18"/>
              </w:rPr>
              <w:t>Authentication</w:t>
            </w:r>
          </w:p>
        </w:tc>
        <w:tc>
          <w:tcPr>
            <w:tcW w:type="dxa" w:w="7632"/>
            <w:tcMar>
              <w:top w:w="60" w:type="dxa"/>
              <w:left w:w="110" w:type="dxa"/>
              <w:bottom w:w="60" w:type="dxa"/>
              <w:right w:w="110" w:type="dxa"/>
            </w:tcMar>
          </w:tcPr>
          <w:p>
            <w:pPr>
              <w:spacing w:after="0"/>
            </w:pPr>
            <w:r>
              <w:rPr>
                <w:b w:val="0"/>
                <w:i w:val="0"/>
                <w:color w:val="16261F"/>
                <w:sz w:val="18"/>
              </w:rPr>
              <w:t>OAuth 2.0 authorisation code flow. Refresh token encrypted per brand; access token cached in memory with pre-emptive refresh.</w:t>
            </w:r>
          </w:p>
        </w:tc>
      </w:tr>
      <w:tr>
        <w:tc>
          <w:tcPr>
            <w:tcW w:type="dxa" w:w="1728"/>
            <w:tcMar>
              <w:top w:w="60" w:type="dxa"/>
              <w:left w:w="110" w:type="dxa"/>
              <w:bottom w:w="60" w:type="dxa"/>
              <w:right w:w="110" w:type="dxa"/>
            </w:tcMar>
            <w:shd w:val="clear" w:color="auto" w:fill="F5F7F5"/>
          </w:tcPr>
          <w:p>
            <w:pPr>
              <w:spacing w:after="0"/>
            </w:pPr>
            <w:r>
              <w:rPr>
                <w:b w:val="0"/>
                <w:i w:val="0"/>
                <w:color w:val="16261F"/>
                <w:sz w:val="18"/>
              </w:rPr>
              <w:t>Object mapping</w:t>
            </w:r>
          </w:p>
        </w:tc>
        <w:tc>
          <w:tcPr>
            <w:tcW w:type="dxa" w:w="7632"/>
            <w:tcMar>
              <w:top w:w="60" w:type="dxa"/>
              <w:left w:w="110" w:type="dxa"/>
              <w:bottom w:w="60" w:type="dxa"/>
              <w:right w:w="110" w:type="dxa"/>
            </w:tcMar>
            <w:shd w:val="clear" w:color="auto" w:fill="F5F7F5"/>
          </w:tcPr>
          <w:p>
            <w:pPr>
              <w:spacing w:after="0"/>
            </w:pPr>
            <w:r>
              <w:rPr>
                <w:b w:val="0"/>
                <w:i w:val="0"/>
                <w:color w:val="16261F"/>
                <w:sz w:val="18"/>
              </w:rPr>
              <w:t>customer ↔ Contact (type Customer); invoice ↔ Invoice; payment ↔ Customer Payment; tax_rate ← Tax; line item ↔ Line Item; vendor ↔ Contact (type Vendor, Phase 3); bill ↔ Bill (Phase 3).</w:t>
            </w:r>
          </w:p>
        </w:tc>
      </w:tr>
      <w:tr>
        <w:tc>
          <w:tcPr>
            <w:tcW w:type="dxa" w:w="1728"/>
            <w:tcMar>
              <w:top w:w="60" w:type="dxa"/>
              <w:left w:w="110" w:type="dxa"/>
              <w:bottom w:w="60" w:type="dxa"/>
              <w:right w:w="110" w:type="dxa"/>
            </w:tcMar>
          </w:tcPr>
          <w:p>
            <w:pPr>
              <w:spacing w:after="0"/>
            </w:pPr>
            <w:r>
              <w:rPr>
                <w:b w:val="0"/>
                <w:i w:val="0"/>
                <w:color w:val="16261F"/>
                <w:sz w:val="18"/>
              </w:rPr>
              <w:t>Identity</w:t>
            </w:r>
          </w:p>
        </w:tc>
        <w:tc>
          <w:tcPr>
            <w:tcW w:type="dxa" w:w="7632"/>
            <w:tcMar>
              <w:top w:w="60" w:type="dxa"/>
              <w:left w:w="110" w:type="dxa"/>
              <w:bottom w:w="60" w:type="dxa"/>
              <w:right w:w="110" w:type="dxa"/>
            </w:tcMar>
          </w:tcPr>
          <w:p>
            <w:pPr>
              <w:spacing w:after="0"/>
            </w:pPr>
            <w:r>
              <w:rPr>
                <w:b w:val="0"/>
                <w:i w:val="0"/>
                <w:color w:val="16261F"/>
                <w:sz w:val="18"/>
              </w:rPr>
              <w:t>zoho_*_id columns hold the remote key. Absence means not yet pushed; presence makes every subsequent operation an update rather than an insert.</w:t>
            </w:r>
          </w:p>
        </w:tc>
      </w:tr>
      <w:tr>
        <w:tc>
          <w:tcPr>
            <w:tcW w:type="dxa" w:w="1728"/>
            <w:tcMar>
              <w:top w:w="60" w:type="dxa"/>
              <w:left w:w="110" w:type="dxa"/>
              <w:bottom w:w="60" w:type="dxa"/>
              <w:right w:w="110" w:type="dxa"/>
            </w:tcMar>
            <w:shd w:val="clear" w:color="auto" w:fill="F5F7F5"/>
          </w:tcPr>
          <w:p>
            <w:pPr>
              <w:spacing w:after="0"/>
            </w:pPr>
            <w:r>
              <w:rPr>
                <w:b w:val="0"/>
                <w:i w:val="0"/>
                <w:color w:val="16261F"/>
                <w:sz w:val="18"/>
              </w:rPr>
              <w:t>Change detection</w:t>
            </w:r>
          </w:p>
        </w:tc>
        <w:tc>
          <w:tcPr>
            <w:tcW w:type="dxa" w:w="7632"/>
            <w:tcMar>
              <w:top w:w="60" w:type="dxa"/>
              <w:left w:w="110" w:type="dxa"/>
              <w:bottom w:w="60" w:type="dxa"/>
              <w:right w:w="110" w:type="dxa"/>
            </w:tcMar>
            <w:shd w:val="clear" w:color="auto" w:fill="F5F7F5"/>
          </w:tcPr>
          <w:p>
            <w:pPr>
              <w:spacing w:after="0"/>
            </w:pPr>
            <w:r>
              <w:rPr>
                <w:b w:val="0"/>
                <w:i w:val="0"/>
                <w:color w:val="16261F"/>
                <w:sz w:val="18"/>
              </w:rPr>
              <w:t>Modified-since polling per object type, with a per-brand high-water mark. Webhooks used where the brand selects real-time.</w:t>
            </w:r>
          </w:p>
        </w:tc>
      </w:tr>
      <w:tr>
        <w:tc>
          <w:tcPr>
            <w:tcW w:type="dxa" w:w="1728"/>
            <w:tcMar>
              <w:top w:w="60" w:type="dxa"/>
              <w:left w:w="110" w:type="dxa"/>
              <w:bottom w:w="60" w:type="dxa"/>
              <w:right w:w="110" w:type="dxa"/>
            </w:tcMar>
          </w:tcPr>
          <w:p>
            <w:pPr>
              <w:spacing w:after="0"/>
            </w:pPr>
            <w:r>
              <w:rPr>
                <w:b w:val="0"/>
                <w:i w:val="0"/>
                <w:color w:val="16261F"/>
                <w:sz w:val="18"/>
              </w:rPr>
              <w:t>Conflict policy</w:t>
            </w:r>
          </w:p>
        </w:tc>
        <w:tc>
          <w:tcPr>
            <w:tcW w:type="dxa" w:w="7632"/>
            <w:tcMar>
              <w:top w:w="60" w:type="dxa"/>
              <w:left w:w="110" w:type="dxa"/>
              <w:bottom w:w="60" w:type="dxa"/>
              <w:right w:w="110" w:type="dxa"/>
            </w:tcMar>
          </w:tcPr>
          <w:p>
            <w:pPr>
              <w:spacing w:after="0"/>
            </w:pPr>
            <w:r>
              <w:rPr>
                <w:b w:val="0"/>
                <w:i w:val="0"/>
                <w:color w:val="16261F"/>
                <w:sz w:val="18"/>
              </w:rPr>
              <w:t>Last-writer-wins by remote modified timestamp, except invoice status, where the platform is authoritative because it owns payment collection. Unresolvable conflicts surface to an operator per FR-SYN-008.</w:t>
            </w:r>
          </w:p>
        </w:tc>
      </w:tr>
      <w:tr>
        <w:tc>
          <w:tcPr>
            <w:tcW w:type="dxa" w:w="1728"/>
            <w:tcMar>
              <w:top w:w="60" w:type="dxa"/>
              <w:left w:w="110" w:type="dxa"/>
              <w:bottom w:w="60" w:type="dxa"/>
              <w:right w:w="110" w:type="dxa"/>
            </w:tcMar>
            <w:shd w:val="clear" w:color="auto" w:fill="F5F7F5"/>
          </w:tcPr>
          <w:p>
            <w:pPr>
              <w:spacing w:after="0"/>
            </w:pPr>
            <w:r>
              <w:rPr>
                <w:b w:val="0"/>
                <w:i w:val="0"/>
                <w:color w:val="16261F"/>
                <w:sz w:val="18"/>
              </w:rPr>
              <w:t>Rate limiting</w:t>
            </w:r>
          </w:p>
        </w:tc>
        <w:tc>
          <w:tcPr>
            <w:tcW w:type="dxa" w:w="7632"/>
            <w:tcMar>
              <w:top w:w="60" w:type="dxa"/>
              <w:left w:w="110" w:type="dxa"/>
              <w:bottom w:w="60" w:type="dxa"/>
              <w:right w:w="110" w:type="dxa"/>
            </w:tcMar>
            <w:shd w:val="clear" w:color="auto" w:fill="F5F7F5"/>
          </w:tcPr>
          <w:p>
            <w:pPr>
              <w:spacing w:after="0"/>
            </w:pPr>
            <w:r>
              <w:rPr>
                <w:b w:val="0"/>
                <w:i w:val="0"/>
                <w:color w:val="16261F"/>
                <w:sz w:val="18"/>
              </w:rPr>
              <w:t>Per-brand token bucket sized below the published quota, with adaptive backoff on 429. Quota consumption is exposed as a metric per FR-ZHO-006.</w:t>
            </w:r>
          </w:p>
        </w:tc>
      </w:tr>
      <w:tr>
        <w:tc>
          <w:tcPr>
            <w:tcW w:type="dxa" w:w="1728"/>
            <w:tcMar>
              <w:top w:w="60" w:type="dxa"/>
              <w:left w:w="110" w:type="dxa"/>
              <w:bottom w:w="60" w:type="dxa"/>
              <w:right w:w="110" w:type="dxa"/>
            </w:tcMar>
          </w:tcPr>
          <w:p>
            <w:pPr>
              <w:spacing w:after="0"/>
            </w:pPr>
            <w:r>
              <w:rPr>
                <w:b w:val="0"/>
                <w:i w:val="0"/>
                <w:color w:val="16261F"/>
                <w:sz w:val="18"/>
              </w:rPr>
              <w:t>Error surfacing</w:t>
            </w:r>
          </w:p>
        </w:tc>
        <w:tc>
          <w:tcPr>
            <w:tcW w:type="dxa" w:w="7632"/>
            <w:tcMar>
              <w:top w:w="60" w:type="dxa"/>
              <w:left w:w="110" w:type="dxa"/>
              <w:bottom w:w="60" w:type="dxa"/>
              <w:right w:w="110" w:type="dxa"/>
            </w:tcMar>
          </w:tcPr>
          <w:p>
            <w:pPr>
              <w:spacing w:after="0"/>
            </w:pPr>
            <w:r>
              <w:rPr>
                <w:b w:val="0"/>
                <w:i w:val="0"/>
                <w:color w:val="16261F"/>
                <w:sz w:val="18"/>
              </w:rPr>
              <w:t>Every failed record writes a sync_job row retaining the verbatim Zoho error, satisfying FR-ZHO-021 and closing GAP-006.</w:t>
            </w:r>
          </w:p>
        </w:tc>
      </w:tr>
    </w:tbl>
    <w:p>
      <w:r>
        <w:br w:type="page"/>
      </w:r>
    </w:p>
    <w:p>
      <w:pPr>
        <w:pStyle w:val="Heading1"/>
      </w:pPr>
      <w:r>
        <w:t>11. Synchronisation engine design</w:t>
      </w:r>
    </w:p>
    <w:p>
      <w:pPr>
        <w:pStyle w:val="Heading2"/>
      </w:pPr>
      <w:r>
        <w:t>11.1 Job pipeline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Trigger                                                              </w:t>
            </w:r>
          </w:p>
          <w:p>
            <w:pPr>
              <w:spacing w:after="0" w:line="240" w:lineRule="auto"/>
            </w:pPr>
            <w:r>
              <w:rPr>
                <w:rFonts w:ascii="Consolas" w:hAnsi="Consolas"/>
                <w:color w:val="16261F"/>
                <w:sz w:val="17"/>
              </w:rPr>
              <w:t xml:space="preserve">  ├── domain event   (invoice issued, payment settled)                 </w:t>
            </w:r>
          </w:p>
          <w:p>
            <w:pPr>
              <w:spacing w:after="0" w:line="240" w:lineRule="auto"/>
            </w:pPr>
            <w:r>
              <w:rPr>
                <w:rFonts w:ascii="Consolas" w:hAnsi="Consolas"/>
                <w:color w:val="16261F"/>
                <w:sz w:val="17"/>
              </w:rPr>
              <w:t xml:space="preserve">  ├── schedule       (per-brand frequency setting)                     </w:t>
            </w:r>
          </w:p>
          <w:p>
            <w:pPr>
              <w:spacing w:after="0" w:line="240" w:lineRule="auto"/>
            </w:pPr>
            <w:r>
              <w:rPr>
                <w:rFonts w:ascii="Consolas" w:hAnsi="Consolas"/>
                <w:color w:val="16261F"/>
                <w:sz w:val="17"/>
              </w:rPr>
              <w:t xml:space="preserve">  ├── webhook        (Zoho or Shopify change notification)             </w:t>
            </w:r>
          </w:p>
          <w:p>
            <w:pPr>
              <w:spacing w:after="0" w:line="240" w:lineRule="auto"/>
            </w:pPr>
            <w:r>
              <w:rPr>
                <w:rFonts w:ascii="Consolas" w:hAnsi="Consolas"/>
                <w:color w:val="16261F"/>
                <w:sz w:val="17"/>
              </w:rPr>
              <w:t xml:space="preserve">  └── operator       (manual re-sync, retry from error log)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Enqueue sync_job                           │                     </w:t>
            </w:r>
          </w:p>
          <w:p>
            <w:pPr>
              <w:spacing w:after="0" w:line="240" w:lineRule="auto"/>
            </w:pPr>
            <w:r>
              <w:rPr>
                <w:rFonts w:ascii="Consolas" w:hAnsi="Consolas"/>
                <w:color w:val="16261F"/>
                <w:sz w:val="17"/>
              </w:rPr>
              <w:t xml:space="preserve">  │  partition key = brand_id                   │ ◄── per-brand        </w:t>
            </w:r>
          </w:p>
          <w:p>
            <w:pPr>
              <w:spacing w:after="0" w:line="240" w:lineRule="auto"/>
            </w:pPr>
            <w:r>
              <w:rPr>
                <w:rFonts w:ascii="Consolas" w:hAnsi="Consolas"/>
                <w:color w:val="16261F"/>
                <w:sz w:val="17"/>
              </w:rPr>
              <w:t xml:space="preserve">  └──────────────────┬──────────────────────────┘     isolation        </w:t>
            </w:r>
          </w:p>
          <w:p>
            <w:pPr>
              <w:spacing w:after="0" w:line="240" w:lineRule="auto"/>
            </w:pPr>
            <w:r>
              <w:rPr>
                <w:rFonts w:ascii="Consolas" w:hAnsi="Consolas"/>
                <w:color w:val="16261F"/>
                <w:sz w:val="17"/>
              </w:rPr>
              <w:t xml:space="preserve">                     ▼                                (NFR-SCL-010)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Worker: acquire per-brand rate token       │                     </w:t>
            </w:r>
          </w:p>
          <w:p>
            <w:pPr>
              <w:spacing w:after="0" w:line="240" w:lineRule="auto"/>
            </w:pPr>
            <w:r>
              <w:rPr>
                <w:rFonts w:ascii="Consolas" w:hAnsi="Consolas"/>
                <w:color w:val="16261F"/>
                <w:sz w:val="17"/>
              </w:rPr>
              <w:t xml:space="preserve">  │  no token ──► defer, do not block others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Execute via AccountingPort  (idempotent)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success          │ failure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Record remote id   Classify error                                    </w:t>
            </w:r>
          </w:p>
          <w:p>
            <w:pPr>
              <w:spacing w:after="0" w:line="240" w:lineRule="auto"/>
            </w:pPr>
            <w:r>
              <w:rPr>
                <w:rFonts w:ascii="Consolas" w:hAnsi="Consolas"/>
                <w:color w:val="16261F"/>
                <w:sz w:val="17"/>
              </w:rPr>
              <w:t xml:space="preserve">  Log success        ├── transient  ──► backoff, retry (max N)         </w:t>
            </w:r>
          </w:p>
          <w:p>
            <w:pPr>
              <w:spacing w:after="0" w:line="240" w:lineRule="auto"/>
            </w:pPr>
            <w:r>
              <w:rPr>
                <w:rFonts w:ascii="Consolas" w:hAnsi="Consolas"/>
                <w:color w:val="16261F"/>
                <w:sz w:val="17"/>
              </w:rPr>
              <w:t xml:space="preserve">                     ├── conflict   ──► resolution policy, else        </w:t>
            </w:r>
          </w:p>
          <w:p>
            <w:pPr>
              <w:spacing w:after="0" w:line="240" w:lineRule="auto"/>
            </w:pPr>
            <w:r>
              <w:rPr>
                <w:rFonts w:ascii="Consolas" w:hAnsi="Consolas"/>
                <w:color w:val="16261F"/>
                <w:sz w:val="17"/>
              </w:rPr>
              <w:t xml:space="preserve">                     │                   surface to operator           </w:t>
            </w:r>
          </w:p>
          <w:p>
            <w:pPr>
              <w:spacing w:after="0" w:line="240" w:lineRule="auto"/>
            </w:pPr>
            <w:r>
              <w:rPr>
                <w:rFonts w:ascii="Consolas" w:hAnsi="Consolas"/>
                <w:color w:val="16261F"/>
                <w:sz w:val="17"/>
              </w:rPr>
              <w:t xml:space="preserve">                     └── permanent  ──► error log, alert, no retry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Dead letter queue                   </w:t>
            </w:r>
          </w:p>
          <w:p>
            <w:pPr>
              <w:spacing w:after="0" w:line="240" w:lineRule="auto"/>
            </w:pPr>
            <w:r>
              <w:rPr>
                <w:rFonts w:ascii="Consolas" w:hAnsi="Consolas"/>
                <w:color w:val="16261F"/>
                <w:sz w:val="17"/>
              </w:rPr>
              <w:t xml:space="preserve">                                   (operator replay, FR-SYN-010)       </w:t>
            </w:r>
          </w:p>
        </w:tc>
      </w:tr>
    </w:tbl>
    <w:p>
      <w:pPr>
        <w:spacing w:after="40"/>
      </w:pPr>
    </w:p>
    <w:p>
      <w:pPr>
        <w:pStyle w:val="Heading2"/>
      </w:pPr>
      <w:r>
        <w:t>11.2 Error classification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7"/>
              </w:rPr>
              <w:t>Class</w:t>
            </w:r>
          </w:p>
        </w:tc>
        <w:tc>
          <w:tcPr>
            <w:tcW w:type="dxa" w:w="3384"/>
            <w:shd w:val="clear" w:color="auto" w:fill="16261F"/>
            <w:tcMar>
              <w:top w:w="70" w:type="dxa"/>
              <w:left w:w="110" w:type="dxa"/>
              <w:bottom w:w="70" w:type="dxa"/>
              <w:right w:w="110" w:type="dxa"/>
            </w:tcMar>
          </w:tcPr>
          <w:p>
            <w:pPr>
              <w:spacing w:after="0"/>
            </w:pPr>
            <w:r>
              <w:rPr>
                <w:rFonts w:ascii="Calibri" w:hAnsi="Calibri"/>
                <w:b/>
                <w:color w:val="FFFFFF"/>
                <w:sz w:val="17"/>
              </w:rPr>
              <w:t>Examples</w:t>
            </w:r>
          </w:p>
        </w:tc>
        <w:tc>
          <w:tcPr>
            <w:tcW w:type="dxa" w:w="4608"/>
            <w:shd w:val="clear" w:color="auto" w:fill="16261F"/>
            <w:tcMar>
              <w:top w:w="70" w:type="dxa"/>
              <w:left w:w="110" w:type="dxa"/>
              <w:bottom w:w="70" w:type="dxa"/>
              <w:right w:w="110" w:type="dxa"/>
            </w:tcMar>
          </w:tcPr>
          <w:p>
            <w:pPr>
              <w:spacing w:after="0"/>
            </w:pPr>
            <w:r>
              <w:rPr>
                <w:rFonts w:ascii="Calibri" w:hAnsi="Calibri"/>
                <w:b/>
                <w:color w:val="FFFFFF"/>
                <w:sz w:val="17"/>
              </w:rPr>
              <w:t>Handling</w:t>
            </w:r>
          </w:p>
        </w:tc>
      </w:tr>
      <w:tr>
        <w:tc>
          <w:tcPr>
            <w:tcW w:type="dxa" w:w="1368"/>
            <w:tcMar>
              <w:top w:w="60" w:type="dxa"/>
              <w:left w:w="110" w:type="dxa"/>
              <w:bottom w:w="60" w:type="dxa"/>
              <w:right w:w="110" w:type="dxa"/>
            </w:tcMar>
          </w:tcPr>
          <w:p>
            <w:pPr>
              <w:spacing w:after="0"/>
            </w:pPr>
            <w:r>
              <w:rPr>
                <w:b w:val="0"/>
                <w:i w:val="0"/>
                <w:color w:val="16261F"/>
                <w:sz w:val="18"/>
              </w:rPr>
              <w:t>Transient</w:t>
            </w:r>
          </w:p>
        </w:tc>
        <w:tc>
          <w:tcPr>
            <w:tcW w:type="dxa" w:w="3384"/>
            <w:tcMar>
              <w:top w:w="60" w:type="dxa"/>
              <w:left w:w="110" w:type="dxa"/>
              <w:bottom w:w="60" w:type="dxa"/>
              <w:right w:w="110" w:type="dxa"/>
            </w:tcMar>
          </w:tcPr>
          <w:p>
            <w:pPr>
              <w:spacing w:after="0"/>
            </w:pPr>
            <w:r>
              <w:rPr>
                <w:b w:val="0"/>
                <w:i w:val="0"/>
                <w:color w:val="16261F"/>
                <w:sz w:val="18"/>
              </w:rPr>
              <w:t>Timeout, 502, 429 rate limit, connection reset</w:t>
            </w:r>
          </w:p>
        </w:tc>
        <w:tc>
          <w:tcPr>
            <w:tcW w:type="dxa" w:w="4608"/>
            <w:tcMar>
              <w:top w:w="60" w:type="dxa"/>
              <w:left w:w="110" w:type="dxa"/>
              <w:bottom w:w="60" w:type="dxa"/>
              <w:right w:w="110" w:type="dxa"/>
            </w:tcMar>
          </w:tcPr>
          <w:p>
            <w:pPr>
              <w:spacing w:after="0"/>
            </w:pPr>
            <w:r>
              <w:rPr>
                <w:b w:val="0"/>
                <w:i w:val="0"/>
                <w:color w:val="16261F"/>
                <w:sz w:val="18"/>
              </w:rPr>
              <w:t>Exponential backoff with jitter. Up to 5 attempts over roughly 30 minutes.</w:t>
            </w:r>
          </w:p>
        </w:tc>
      </w:tr>
      <w:tr>
        <w:tc>
          <w:tcPr>
            <w:tcW w:type="dxa" w:w="1368"/>
            <w:tcMar>
              <w:top w:w="60" w:type="dxa"/>
              <w:left w:w="110" w:type="dxa"/>
              <w:bottom w:w="60" w:type="dxa"/>
              <w:right w:w="110" w:type="dxa"/>
            </w:tcMar>
            <w:shd w:val="clear" w:color="auto" w:fill="F5F7F5"/>
          </w:tcPr>
          <w:p>
            <w:pPr>
              <w:spacing w:after="0"/>
            </w:pPr>
            <w:r>
              <w:rPr>
                <w:b w:val="0"/>
                <w:i w:val="0"/>
                <w:color w:val="16261F"/>
                <w:sz w:val="18"/>
              </w:rPr>
              <w:t>Authentication</w:t>
            </w:r>
          </w:p>
        </w:tc>
        <w:tc>
          <w:tcPr>
            <w:tcW w:type="dxa" w:w="3384"/>
            <w:tcMar>
              <w:top w:w="60" w:type="dxa"/>
              <w:left w:w="110" w:type="dxa"/>
              <w:bottom w:w="60" w:type="dxa"/>
              <w:right w:w="110" w:type="dxa"/>
            </w:tcMar>
            <w:shd w:val="clear" w:color="auto" w:fill="F5F7F5"/>
          </w:tcPr>
          <w:p>
            <w:pPr>
              <w:spacing w:after="0"/>
            </w:pPr>
            <w:r>
              <w:rPr>
                <w:b w:val="0"/>
                <w:i w:val="0"/>
                <w:color w:val="16261F"/>
                <w:sz w:val="18"/>
              </w:rPr>
              <w:t>401, revoked or expired refresh token</w:t>
            </w:r>
          </w:p>
        </w:tc>
        <w:tc>
          <w:tcPr>
            <w:tcW w:type="dxa" w:w="4608"/>
            <w:tcMar>
              <w:top w:w="60" w:type="dxa"/>
              <w:left w:w="110" w:type="dxa"/>
              <w:bottom w:w="60" w:type="dxa"/>
              <w:right w:w="110" w:type="dxa"/>
            </w:tcMar>
            <w:shd w:val="clear" w:color="auto" w:fill="F5F7F5"/>
          </w:tcPr>
          <w:p>
            <w:pPr>
              <w:spacing w:after="0"/>
            </w:pPr>
            <w:r>
              <w:rPr>
                <w:b w:val="0"/>
                <w:i w:val="0"/>
                <w:color w:val="16261F"/>
                <w:sz w:val="18"/>
              </w:rPr>
              <w:t>Halt this brand's stream, mark connection unhealthy, alert immediately. Do not retry blindly — retrying a revoked token cannot succeed.</w:t>
            </w:r>
          </w:p>
        </w:tc>
      </w:tr>
      <w:tr>
        <w:tc>
          <w:tcPr>
            <w:tcW w:type="dxa" w:w="1368"/>
            <w:tcMar>
              <w:top w:w="60" w:type="dxa"/>
              <w:left w:w="110" w:type="dxa"/>
              <w:bottom w:w="60" w:type="dxa"/>
              <w:right w:w="110" w:type="dxa"/>
            </w:tcMar>
          </w:tcPr>
          <w:p>
            <w:pPr>
              <w:spacing w:after="0"/>
            </w:pPr>
            <w:r>
              <w:rPr>
                <w:b w:val="0"/>
                <w:i w:val="0"/>
                <w:color w:val="16261F"/>
                <w:sz w:val="18"/>
              </w:rPr>
              <w:t>Validation</w:t>
            </w:r>
          </w:p>
        </w:tc>
        <w:tc>
          <w:tcPr>
            <w:tcW w:type="dxa" w:w="3384"/>
            <w:tcMar>
              <w:top w:w="60" w:type="dxa"/>
              <w:left w:w="110" w:type="dxa"/>
              <w:bottom w:w="60" w:type="dxa"/>
              <w:right w:w="110" w:type="dxa"/>
            </w:tcMar>
          </w:tcPr>
          <w:p>
            <w:pPr>
              <w:spacing w:after="0"/>
            </w:pPr>
            <w:r>
              <w:rPr>
                <w:b w:val="0"/>
                <w:i w:val="0"/>
                <w:color w:val="16261F"/>
                <w:sz w:val="18"/>
              </w:rPr>
              <w:t>422, missing required field, invalid tax identifier</w:t>
            </w:r>
          </w:p>
        </w:tc>
        <w:tc>
          <w:tcPr>
            <w:tcW w:type="dxa" w:w="4608"/>
            <w:tcMar>
              <w:top w:w="60" w:type="dxa"/>
              <w:left w:w="110" w:type="dxa"/>
              <w:bottom w:w="60" w:type="dxa"/>
              <w:right w:w="110" w:type="dxa"/>
            </w:tcMar>
          </w:tcPr>
          <w:p>
            <w:pPr>
              <w:spacing w:after="0"/>
            </w:pPr>
            <w:r>
              <w:rPr>
                <w:b w:val="0"/>
                <w:i w:val="0"/>
                <w:color w:val="16261F"/>
                <w:sz w:val="18"/>
              </w:rPr>
              <w:t>No retry. Write to error log with the verbatim provider message for operator correction.</w:t>
            </w:r>
          </w:p>
        </w:tc>
      </w:tr>
      <w:tr>
        <w:tc>
          <w:tcPr>
            <w:tcW w:type="dxa" w:w="1368"/>
            <w:tcMar>
              <w:top w:w="60" w:type="dxa"/>
              <w:left w:w="110" w:type="dxa"/>
              <w:bottom w:w="60" w:type="dxa"/>
              <w:right w:w="110" w:type="dxa"/>
            </w:tcMar>
            <w:shd w:val="clear" w:color="auto" w:fill="F5F7F5"/>
          </w:tcPr>
          <w:p>
            <w:pPr>
              <w:spacing w:after="0"/>
            </w:pPr>
            <w:r>
              <w:rPr>
                <w:b w:val="0"/>
                <w:i w:val="0"/>
                <w:color w:val="16261F"/>
                <w:sz w:val="18"/>
              </w:rPr>
              <w:t>Conflict</w:t>
            </w:r>
          </w:p>
        </w:tc>
        <w:tc>
          <w:tcPr>
            <w:tcW w:type="dxa" w:w="3384"/>
            <w:tcMar>
              <w:top w:w="60" w:type="dxa"/>
              <w:left w:w="110" w:type="dxa"/>
              <w:bottom w:w="60" w:type="dxa"/>
              <w:right w:w="110" w:type="dxa"/>
            </w:tcMar>
            <w:shd w:val="clear" w:color="auto" w:fill="F5F7F5"/>
          </w:tcPr>
          <w:p>
            <w:pPr>
              <w:spacing w:after="0"/>
            </w:pPr>
            <w:r>
              <w:rPr>
                <w:b w:val="0"/>
                <w:i w:val="0"/>
                <w:color w:val="16261F"/>
                <w:sz w:val="18"/>
              </w:rPr>
              <w:t>Record changed on both sides since last sync</w:t>
            </w:r>
          </w:p>
        </w:tc>
        <w:tc>
          <w:tcPr>
            <w:tcW w:type="dxa" w:w="4608"/>
            <w:tcMar>
              <w:top w:w="60" w:type="dxa"/>
              <w:left w:w="110" w:type="dxa"/>
              <w:bottom w:w="60" w:type="dxa"/>
              <w:right w:w="110" w:type="dxa"/>
            </w:tcMar>
            <w:shd w:val="clear" w:color="auto" w:fill="F5F7F5"/>
          </w:tcPr>
          <w:p>
            <w:pPr>
              <w:spacing w:after="0"/>
            </w:pPr>
            <w:r>
              <w:rPr>
                <w:b w:val="0"/>
                <w:i w:val="0"/>
                <w:color w:val="16261F"/>
                <w:sz w:val="18"/>
              </w:rPr>
              <w:t>Apply the section 10.4 policy. If unresolvable, surface both versions for manual selection.</w:t>
            </w:r>
          </w:p>
        </w:tc>
      </w:tr>
      <w:tr>
        <w:tc>
          <w:tcPr>
            <w:tcW w:type="dxa" w:w="1368"/>
            <w:tcMar>
              <w:top w:w="60" w:type="dxa"/>
              <w:left w:w="110" w:type="dxa"/>
              <w:bottom w:w="60" w:type="dxa"/>
              <w:right w:w="110" w:type="dxa"/>
            </w:tcMar>
          </w:tcPr>
          <w:p>
            <w:pPr>
              <w:spacing w:after="0"/>
            </w:pPr>
            <w:r>
              <w:rPr>
                <w:b w:val="0"/>
                <w:i w:val="0"/>
                <w:color w:val="16261F"/>
                <w:sz w:val="18"/>
              </w:rPr>
              <w:t>Permanent</w:t>
            </w:r>
          </w:p>
        </w:tc>
        <w:tc>
          <w:tcPr>
            <w:tcW w:type="dxa" w:w="3384"/>
            <w:tcMar>
              <w:top w:w="60" w:type="dxa"/>
              <w:left w:w="110" w:type="dxa"/>
              <w:bottom w:w="60" w:type="dxa"/>
              <w:right w:w="110" w:type="dxa"/>
            </w:tcMar>
          </w:tcPr>
          <w:p>
            <w:pPr>
              <w:spacing w:after="0"/>
            </w:pPr>
            <w:r>
              <w:rPr>
                <w:b w:val="0"/>
                <w:i w:val="0"/>
                <w:color w:val="16261F"/>
                <w:sz w:val="18"/>
              </w:rPr>
              <w:t>404 on a record deleted remotely</w:t>
            </w:r>
          </w:p>
        </w:tc>
        <w:tc>
          <w:tcPr>
            <w:tcW w:type="dxa" w:w="4608"/>
            <w:tcMar>
              <w:top w:w="60" w:type="dxa"/>
              <w:left w:w="110" w:type="dxa"/>
              <w:bottom w:w="60" w:type="dxa"/>
              <w:right w:w="110" w:type="dxa"/>
            </w:tcMar>
          </w:tcPr>
          <w:p>
            <w:pPr>
              <w:spacing w:after="0"/>
            </w:pPr>
            <w:r>
              <w:rPr>
                <w:b w:val="0"/>
                <w:i w:val="0"/>
                <w:color w:val="16261F"/>
                <w:sz w:val="18"/>
              </w:rPr>
              <w:t>No retry. Record log entry, mark local link broken, surface to operator.</w:t>
            </w:r>
          </w:p>
        </w:tc>
      </w:tr>
    </w:tbl>
    <w:p>
      <w:r>
        <w:br w:type="page"/>
      </w:r>
    </w:p>
    <w:p>
      <w:pPr>
        <w:pStyle w:val="Heading1"/>
      </w:pPr>
      <w:r>
        <w:t>12. Payment page delivery and custom domains</w:t>
      </w:r>
    </w:p>
    <w:p>
      <w:pPr>
        <w:pStyle w:val="Heading2"/>
      </w:pPr>
      <w:r>
        <w:t>12.1 Request routing</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https://pay.solsticekitchenware.com/i/&lt;public_token&gt;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 Edge / CDN — TLS terminated using the brand's certificate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Host header ──► brand lookup (cached)                            </w:t>
            </w:r>
          </w:p>
          <w:p>
            <w:pPr>
              <w:spacing w:after="0" w:line="240" w:lineRule="auto"/>
            </w:pPr>
            <w:r>
              <w:rPr>
                <w:rFonts w:ascii="Consolas" w:hAnsi="Consolas"/>
                <w:color w:val="16261F"/>
                <w:sz w:val="17"/>
              </w:rPr>
              <w:t xml:space="preserve">        │  unknown host ──► 404, generic page, no brand disclosed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public_token ──► invoice  (single indexed lookup)                </w:t>
            </w:r>
          </w:p>
          <w:p>
            <w:pPr>
              <w:spacing w:after="0" w:line="240" w:lineRule="auto"/>
            </w:pPr>
            <w:r>
              <w:rPr>
                <w:rFonts w:ascii="Consolas" w:hAnsi="Consolas"/>
                <w:color w:val="16261F"/>
                <w:sz w:val="17"/>
              </w:rPr>
              <w:t xml:space="preserve">        │  not found or expired ──► terminal page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Verify invoice.brand_id == resolved brand                        </w:t>
            </w:r>
          </w:p>
          <w:p>
            <w:pPr>
              <w:spacing w:after="0" w:line="240" w:lineRule="auto"/>
            </w:pPr>
            <w:r>
              <w:rPr>
                <w:rFonts w:ascii="Consolas" w:hAnsi="Consolas"/>
                <w:color w:val="16261F"/>
                <w:sz w:val="17"/>
              </w:rPr>
              <w:t xml:space="preserve">        │  mismatch ──► 404  (blocks cross-brand token probing)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Activate RLS scope; project only payment-necessary fields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Render with brand theme + published page design                  </w:t>
            </w:r>
          </w:p>
          <w:p>
            <w:pPr>
              <w:spacing w:after="0" w:line="240" w:lineRule="auto"/>
            </w:pPr>
            <w:r>
              <w:rPr>
                <w:rFonts w:ascii="Consolas" w:hAnsi="Consolas"/>
                <w:color w:val="16261F"/>
                <w:sz w:val="17"/>
              </w:rPr>
              <w:t xml:space="preserve">        strict CSP; gateway origin is the only third party allowed     </w:t>
            </w:r>
          </w:p>
        </w:tc>
      </w:tr>
    </w:tbl>
    <w:p>
      <w:pPr>
        <w:spacing w:after="40"/>
      </w:pPr>
    </w:p>
    <w:p>
      <w:pPr>
        <w:pStyle w:val="Heading2"/>
      </w:pPr>
      <w:r>
        <w:t>12.2 Domain lifecycle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368"/>
            <w:shd w:val="clear" w:color="auto" w:fill="16261F"/>
            <w:tcMar>
              <w:top w:w="70" w:type="dxa"/>
              <w:left w:w="110" w:type="dxa"/>
              <w:bottom w:w="70" w:type="dxa"/>
              <w:right w:w="110" w:type="dxa"/>
            </w:tcMar>
          </w:tcPr>
          <w:p>
            <w:pPr>
              <w:spacing w:after="0"/>
            </w:pPr>
            <w:r>
              <w:rPr>
                <w:rFonts w:ascii="Calibri" w:hAnsi="Calibri"/>
                <w:b/>
                <w:color w:val="FFFFFF"/>
                <w:sz w:val="17"/>
              </w:rPr>
              <w:t>Stage</w:t>
            </w:r>
          </w:p>
        </w:tc>
        <w:tc>
          <w:tcPr>
            <w:tcW w:type="dxa" w:w="4104"/>
            <w:shd w:val="clear" w:color="auto" w:fill="16261F"/>
            <w:tcMar>
              <w:top w:w="70" w:type="dxa"/>
              <w:left w:w="110" w:type="dxa"/>
              <w:bottom w:w="70" w:type="dxa"/>
              <w:right w:w="110" w:type="dxa"/>
            </w:tcMar>
          </w:tcPr>
          <w:p>
            <w:pPr>
              <w:spacing w:after="0"/>
            </w:pPr>
            <w:r>
              <w:rPr>
                <w:rFonts w:ascii="Calibri" w:hAnsi="Calibri"/>
                <w:b/>
                <w:color w:val="FFFFFF"/>
                <w:sz w:val="17"/>
              </w:rPr>
              <w:t>Action</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7"/>
              </w:rPr>
              <w:t>Failure handling</w:t>
            </w:r>
          </w:p>
        </w:tc>
      </w:tr>
      <w:tr>
        <w:tc>
          <w:tcPr>
            <w:tcW w:type="dxa" w:w="1368"/>
            <w:tcMar>
              <w:top w:w="60" w:type="dxa"/>
              <w:left w:w="110" w:type="dxa"/>
              <w:bottom w:w="60" w:type="dxa"/>
              <w:right w:w="110" w:type="dxa"/>
            </w:tcMar>
          </w:tcPr>
          <w:p>
            <w:pPr>
              <w:spacing w:after="0"/>
            </w:pPr>
            <w:r>
              <w:rPr>
                <w:b w:val="0"/>
                <w:i w:val="0"/>
                <w:color w:val="16261F"/>
                <w:sz w:val="18"/>
              </w:rPr>
              <w:t>Registration</w:t>
            </w:r>
          </w:p>
        </w:tc>
        <w:tc>
          <w:tcPr>
            <w:tcW w:type="dxa" w:w="4104"/>
            <w:tcMar>
              <w:top w:w="60" w:type="dxa"/>
              <w:left w:w="110" w:type="dxa"/>
              <w:bottom w:w="60" w:type="dxa"/>
              <w:right w:w="110" w:type="dxa"/>
            </w:tcMar>
          </w:tcPr>
          <w:p>
            <w:pPr>
              <w:spacing w:after="0"/>
            </w:pPr>
            <w:r>
              <w:rPr>
                <w:b w:val="0"/>
                <w:i w:val="0"/>
                <w:color w:val="16261F"/>
                <w:sz w:val="18"/>
              </w:rPr>
              <w:t>Brand submits domain. Uniqueness checked across all merchants.</w:t>
            </w:r>
          </w:p>
        </w:tc>
        <w:tc>
          <w:tcPr>
            <w:tcW w:type="dxa" w:w="3888"/>
            <w:tcMar>
              <w:top w:w="60" w:type="dxa"/>
              <w:left w:w="110" w:type="dxa"/>
              <w:bottom w:w="60" w:type="dxa"/>
              <w:right w:w="110" w:type="dxa"/>
            </w:tcMar>
          </w:tcPr>
          <w:p>
            <w:pPr>
              <w:spacing w:after="0"/>
            </w:pPr>
            <w:r>
              <w:rPr>
                <w:b w:val="0"/>
                <w:i w:val="0"/>
                <w:color w:val="16261F"/>
                <w:sz w:val="18"/>
              </w:rPr>
              <w:t>Reject if already claimed (FR-DOM-011).</w:t>
            </w:r>
          </w:p>
        </w:tc>
      </w:tr>
      <w:tr>
        <w:tc>
          <w:tcPr>
            <w:tcW w:type="dxa" w:w="1368"/>
            <w:tcMar>
              <w:top w:w="60" w:type="dxa"/>
              <w:left w:w="110" w:type="dxa"/>
              <w:bottom w:w="60" w:type="dxa"/>
              <w:right w:w="110" w:type="dxa"/>
            </w:tcMar>
            <w:shd w:val="clear" w:color="auto" w:fill="F5F7F5"/>
          </w:tcPr>
          <w:p>
            <w:pPr>
              <w:spacing w:after="0"/>
            </w:pPr>
            <w:r>
              <w:rPr>
                <w:b w:val="0"/>
                <w:i w:val="0"/>
                <w:color w:val="16261F"/>
                <w:sz w:val="18"/>
              </w:rPr>
              <w:t>Verification</w:t>
            </w:r>
          </w:p>
        </w:tc>
        <w:tc>
          <w:tcPr>
            <w:tcW w:type="dxa" w:w="4104"/>
            <w:tcMar>
              <w:top w:w="60" w:type="dxa"/>
              <w:left w:w="110" w:type="dxa"/>
              <w:bottom w:w="60" w:type="dxa"/>
              <w:right w:w="110" w:type="dxa"/>
            </w:tcMar>
            <w:shd w:val="clear" w:color="auto" w:fill="F5F7F5"/>
          </w:tcPr>
          <w:p>
            <w:pPr>
              <w:spacing w:after="0"/>
            </w:pPr>
            <w:r>
              <w:rPr>
                <w:b w:val="0"/>
                <w:i w:val="0"/>
                <w:color w:val="16261F"/>
                <w:sz w:val="18"/>
              </w:rPr>
              <w:t>Platform issues CNAME and TXT records. Operator publishes them at their DNS provider.</w:t>
            </w:r>
          </w:p>
        </w:tc>
        <w:tc>
          <w:tcPr>
            <w:tcW w:type="dxa" w:w="3888"/>
            <w:tcMar>
              <w:top w:w="60" w:type="dxa"/>
              <w:left w:w="110" w:type="dxa"/>
              <w:bottom w:w="60" w:type="dxa"/>
              <w:right w:w="110" w:type="dxa"/>
            </w:tcMar>
            <w:shd w:val="clear" w:color="auto" w:fill="F5F7F5"/>
          </w:tcPr>
          <w:p>
            <w:pPr>
              <w:spacing w:after="0"/>
            </w:pPr>
            <w:r>
              <w:rPr>
                <w:b w:val="0"/>
                <w:i w:val="0"/>
                <w:color w:val="16261F"/>
                <w:sz w:val="18"/>
              </w:rPr>
              <w:t>Status stays Pending. Re-check on demand and on a schedule.</w:t>
            </w:r>
          </w:p>
        </w:tc>
      </w:tr>
      <w:tr>
        <w:tc>
          <w:tcPr>
            <w:tcW w:type="dxa" w:w="1368"/>
            <w:tcMar>
              <w:top w:w="60" w:type="dxa"/>
              <w:left w:w="110" w:type="dxa"/>
              <w:bottom w:w="60" w:type="dxa"/>
              <w:right w:w="110" w:type="dxa"/>
            </w:tcMar>
          </w:tcPr>
          <w:p>
            <w:pPr>
              <w:spacing w:after="0"/>
            </w:pPr>
            <w:r>
              <w:rPr>
                <w:b w:val="0"/>
                <w:i w:val="0"/>
                <w:color w:val="16261F"/>
                <w:sz w:val="18"/>
              </w:rPr>
              <w:t>Certificate</w:t>
            </w:r>
          </w:p>
        </w:tc>
        <w:tc>
          <w:tcPr>
            <w:tcW w:type="dxa" w:w="4104"/>
            <w:tcMar>
              <w:top w:w="60" w:type="dxa"/>
              <w:left w:w="110" w:type="dxa"/>
              <w:bottom w:w="60" w:type="dxa"/>
              <w:right w:w="110" w:type="dxa"/>
            </w:tcMar>
          </w:tcPr>
          <w:p>
            <w:pPr>
              <w:spacing w:after="0"/>
            </w:pPr>
            <w:r>
              <w:rPr>
                <w:b w:val="0"/>
                <w:i w:val="0"/>
                <w:color w:val="16261F"/>
                <w:sz w:val="18"/>
              </w:rPr>
              <w:t>Automated issue and installation once verification passes.</w:t>
            </w:r>
          </w:p>
        </w:tc>
        <w:tc>
          <w:tcPr>
            <w:tcW w:type="dxa" w:w="3888"/>
            <w:tcMar>
              <w:top w:w="60" w:type="dxa"/>
              <w:left w:w="110" w:type="dxa"/>
              <w:bottom w:w="60" w:type="dxa"/>
              <w:right w:w="110" w:type="dxa"/>
            </w:tcMar>
          </w:tcPr>
          <w:p>
            <w:pPr>
              <w:spacing w:after="0"/>
            </w:pPr>
            <w:r>
              <w:rPr>
                <w:b w:val="0"/>
                <w:i w:val="0"/>
                <w:color w:val="16261F"/>
                <w:sz w:val="18"/>
              </w:rPr>
              <w:t>Retry with backoff; alert on repeated failure.</w:t>
            </w:r>
          </w:p>
        </w:tc>
      </w:tr>
      <w:tr>
        <w:tc>
          <w:tcPr>
            <w:tcW w:type="dxa" w:w="1368"/>
            <w:tcMar>
              <w:top w:w="60" w:type="dxa"/>
              <w:left w:w="110" w:type="dxa"/>
              <w:bottom w:w="60" w:type="dxa"/>
              <w:right w:w="110" w:type="dxa"/>
            </w:tcMar>
            <w:shd w:val="clear" w:color="auto" w:fill="F5F7F5"/>
          </w:tcPr>
          <w:p>
            <w:pPr>
              <w:spacing w:after="0"/>
            </w:pPr>
            <w:r>
              <w:rPr>
                <w:b w:val="0"/>
                <w:i w:val="0"/>
                <w:color w:val="16261F"/>
                <w:sz w:val="18"/>
              </w:rPr>
              <w:t>Active</w:t>
            </w:r>
          </w:p>
        </w:tc>
        <w:tc>
          <w:tcPr>
            <w:tcW w:type="dxa" w:w="4104"/>
            <w:tcMar>
              <w:top w:w="60" w:type="dxa"/>
              <w:left w:w="110" w:type="dxa"/>
              <w:bottom w:w="60" w:type="dxa"/>
              <w:right w:w="110" w:type="dxa"/>
            </w:tcMar>
            <w:shd w:val="clear" w:color="auto" w:fill="F5F7F5"/>
          </w:tcPr>
          <w:p>
            <w:pPr>
              <w:spacing w:after="0"/>
            </w:pPr>
            <w:r>
              <w:rPr>
                <w:b w:val="0"/>
                <w:i w:val="0"/>
                <w:color w:val="16261F"/>
                <w:sz w:val="18"/>
              </w:rPr>
              <w:t>Traffic served on the brand domain. Platform URLs continue to resolve.</w:t>
            </w:r>
          </w:p>
        </w:tc>
        <w:tc>
          <w:tcPr>
            <w:tcW w:type="dxa" w:w="3888"/>
            <w:tcMar>
              <w:top w:w="60" w:type="dxa"/>
              <w:left w:w="110" w:type="dxa"/>
              <w:bottom w:w="60" w:type="dxa"/>
              <w:right w:w="110" w:type="dxa"/>
            </w:tcMar>
            <w:shd w:val="clear" w:color="auto" w:fill="F5F7F5"/>
          </w:tcPr>
          <w:p>
            <w:pPr>
              <w:spacing w:after="0"/>
            </w:pPr>
            <w:r>
              <w:rPr>
                <w:b w:val="0"/>
                <w:i w:val="0"/>
                <w:color w:val="16261F"/>
                <w:sz w:val="18"/>
              </w:rPr>
              <w:t>Periodic health check; alert on regression (FR-DOM-007).</w:t>
            </w:r>
          </w:p>
        </w:tc>
      </w:tr>
      <w:tr>
        <w:tc>
          <w:tcPr>
            <w:tcW w:type="dxa" w:w="1368"/>
            <w:tcMar>
              <w:top w:w="60" w:type="dxa"/>
              <w:left w:w="110" w:type="dxa"/>
              <w:bottom w:w="60" w:type="dxa"/>
              <w:right w:w="110" w:type="dxa"/>
            </w:tcMar>
          </w:tcPr>
          <w:p>
            <w:pPr>
              <w:spacing w:after="0"/>
            </w:pPr>
            <w:r>
              <w:rPr>
                <w:b w:val="0"/>
                <w:i w:val="0"/>
                <w:color w:val="16261F"/>
                <w:sz w:val="18"/>
              </w:rPr>
              <w:t>Renewal</w:t>
            </w:r>
          </w:p>
        </w:tc>
        <w:tc>
          <w:tcPr>
            <w:tcW w:type="dxa" w:w="4104"/>
            <w:tcMar>
              <w:top w:w="60" w:type="dxa"/>
              <w:left w:w="110" w:type="dxa"/>
              <w:bottom w:w="60" w:type="dxa"/>
              <w:right w:w="110" w:type="dxa"/>
            </w:tcMar>
          </w:tcPr>
          <w:p>
            <w:pPr>
              <w:spacing w:after="0"/>
            </w:pPr>
            <w:r>
              <w:rPr>
                <w:b w:val="0"/>
                <w:i w:val="0"/>
                <w:color w:val="16261F"/>
                <w:sz w:val="18"/>
              </w:rPr>
              <w:t>Automatic ahead of expiry.</w:t>
            </w:r>
          </w:p>
        </w:tc>
        <w:tc>
          <w:tcPr>
            <w:tcW w:type="dxa" w:w="3888"/>
            <w:tcMar>
              <w:top w:w="60" w:type="dxa"/>
              <w:left w:w="110" w:type="dxa"/>
              <w:bottom w:w="60" w:type="dxa"/>
              <w:right w:w="110" w:type="dxa"/>
            </w:tcMar>
          </w:tcPr>
          <w:p>
            <w:pPr>
              <w:spacing w:after="0"/>
            </w:pPr>
            <w:r>
              <w:rPr>
                <w:b w:val="0"/>
                <w:i w:val="0"/>
                <w:color w:val="16261F"/>
                <w:sz w:val="18"/>
              </w:rPr>
              <w:t>Alert at 14 days remaining (NFR-OBS-020).</w:t>
            </w:r>
          </w:p>
        </w:tc>
      </w:tr>
      <w:tr>
        <w:tc>
          <w:tcPr>
            <w:tcW w:type="dxa" w:w="1368"/>
            <w:tcMar>
              <w:top w:w="60" w:type="dxa"/>
              <w:left w:w="110" w:type="dxa"/>
              <w:bottom w:w="60" w:type="dxa"/>
              <w:right w:w="110" w:type="dxa"/>
            </w:tcMar>
            <w:shd w:val="clear" w:color="auto" w:fill="F5F7F5"/>
          </w:tcPr>
          <w:p>
            <w:pPr>
              <w:spacing w:after="0"/>
            </w:pPr>
            <w:r>
              <w:rPr>
                <w:b w:val="0"/>
                <w:i w:val="0"/>
                <w:color w:val="16261F"/>
                <w:sz w:val="18"/>
              </w:rPr>
              <w:t>Removal</w:t>
            </w:r>
          </w:p>
        </w:tc>
        <w:tc>
          <w:tcPr>
            <w:tcW w:type="dxa" w:w="4104"/>
            <w:tcMar>
              <w:top w:w="60" w:type="dxa"/>
              <w:left w:w="110" w:type="dxa"/>
              <w:bottom w:w="60" w:type="dxa"/>
              <w:right w:w="110" w:type="dxa"/>
            </w:tcMar>
            <w:shd w:val="clear" w:color="auto" w:fill="F5F7F5"/>
          </w:tcPr>
          <w:p>
            <w:pPr>
              <w:spacing w:after="0"/>
            </w:pPr>
            <w:r>
              <w:rPr>
                <w:b w:val="0"/>
                <w:i w:val="0"/>
                <w:color w:val="16261F"/>
                <w:sz w:val="18"/>
              </w:rPr>
              <w:t>Domain released; brand reverts to platform URLs.</w:t>
            </w:r>
          </w:p>
        </w:tc>
        <w:tc>
          <w:tcPr>
            <w:tcW w:type="dxa" w:w="3888"/>
            <w:tcMar>
              <w:top w:w="60" w:type="dxa"/>
              <w:left w:w="110" w:type="dxa"/>
              <w:bottom w:w="60" w:type="dxa"/>
              <w:right w:w="110" w:type="dxa"/>
            </w:tcMar>
            <w:shd w:val="clear" w:color="auto" w:fill="F5F7F5"/>
          </w:tcPr>
          <w:p>
            <w:pPr>
              <w:spacing w:after="0"/>
            </w:pPr>
            <w:r>
              <w:rPr>
                <w:b w:val="0"/>
                <w:i w:val="0"/>
                <w:color w:val="16261F"/>
                <w:sz w:val="18"/>
              </w:rPr>
              <w:t>Previously issued links keep working (FR-DOM-010).</w:t>
            </w:r>
          </w:p>
        </w:tc>
      </w:tr>
    </w:tbl>
    <w:p>
      <w:pPr>
        <w:pBdr>
          <w:left w:val="single" w:sz="18" w:space="10" w:color="2D6A6A"/>
        </w:pBdr>
        <w:shd w:val="clear" w:color="auto" w:fill="EDF1EE"/>
        <w:spacing w:before="160" w:after="180"/>
        <w:ind w:left="173"/>
      </w:pPr>
      <w:r>
        <w:rPr>
          <w:b/>
          <w:color w:val="2D6A6A"/>
          <w:sz w:val="17"/>
        </w:rPr>
        <w:t xml:space="preserve">LINK DURABILITY  </w:t>
      </w:r>
      <w:r>
        <w:rPr>
          <w:color w:val="16261F"/>
          <w:sz w:val="20"/>
        </w:rPr>
        <w:t>An invoice emailed today may be paid in six weeks, by which time the brand's domain may have changed or been removed. Public tokens are therefore resolvable on the platform domain permanently, independent of custom domain state. A payment link must never break because of a configuration change the customer knows nothing about.</w:t>
      </w:r>
    </w:p>
    <w:p>
      <w:r>
        <w:br w:type="page"/>
      </w:r>
    </w:p>
    <w:p>
      <w:pPr>
        <w:pStyle w:val="Heading1"/>
      </w:pPr>
      <w:r>
        <w:t>13. Document generation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7704"/>
            <w:shd w:val="clear" w:color="auto" w:fill="16261F"/>
            <w:tcMar>
              <w:top w:w="70" w:type="dxa"/>
              <w:left w:w="110" w:type="dxa"/>
              <w:bottom w:w="70" w:type="dxa"/>
              <w:right w:w="110" w:type="dxa"/>
            </w:tcMar>
          </w:tcPr>
          <w:p>
            <w:pPr>
              <w:spacing w:after="0"/>
            </w:pPr>
            <w:r>
              <w:rPr>
                <w:rFonts w:ascii="Calibri" w:hAnsi="Calibri"/>
                <w:b/>
                <w:color w:val="FFFFFF"/>
                <w:sz w:val="17"/>
              </w:rPr>
              <w:t>Design</w:t>
            </w:r>
          </w:p>
        </w:tc>
      </w:tr>
      <w:tr>
        <w:tc>
          <w:tcPr>
            <w:tcW w:type="dxa" w:w="1656"/>
            <w:tcMar>
              <w:top w:w="60" w:type="dxa"/>
              <w:left w:w="110" w:type="dxa"/>
              <w:bottom w:w="60" w:type="dxa"/>
              <w:right w:w="110" w:type="dxa"/>
            </w:tcMar>
          </w:tcPr>
          <w:p>
            <w:pPr>
              <w:spacing w:after="0"/>
            </w:pPr>
            <w:r>
              <w:rPr>
                <w:b w:val="0"/>
                <w:i w:val="0"/>
                <w:color w:val="16261F"/>
                <w:sz w:val="18"/>
              </w:rPr>
              <w:t>Trigger</w:t>
            </w:r>
          </w:p>
        </w:tc>
        <w:tc>
          <w:tcPr>
            <w:tcW w:type="dxa" w:w="7704"/>
            <w:tcMar>
              <w:top w:w="60" w:type="dxa"/>
              <w:left w:w="110" w:type="dxa"/>
              <w:bottom w:w="60" w:type="dxa"/>
              <w:right w:w="110" w:type="dxa"/>
            </w:tcMar>
          </w:tcPr>
          <w:p>
            <w:pPr>
              <w:spacing w:after="0"/>
            </w:pPr>
            <w:r>
              <w:rPr>
                <w:b w:val="0"/>
                <w:i w:val="0"/>
                <w:color w:val="16261F"/>
                <w:sz w:val="18"/>
              </w:rPr>
              <w:t>On issue, and on demand where the cached artefact is absent or stale.</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Rendering</w:t>
            </w:r>
          </w:p>
        </w:tc>
        <w:tc>
          <w:tcPr>
            <w:tcW w:type="dxa" w:w="7704"/>
            <w:tcMar>
              <w:top w:w="60" w:type="dxa"/>
              <w:left w:w="110" w:type="dxa"/>
              <w:bottom w:w="60" w:type="dxa"/>
              <w:right w:w="110" w:type="dxa"/>
            </w:tcMar>
            <w:shd w:val="clear" w:color="auto" w:fill="F5F7F5"/>
          </w:tcPr>
          <w:p>
            <w:pPr>
              <w:spacing w:after="0"/>
            </w:pPr>
            <w:r>
              <w:rPr>
                <w:b w:val="0"/>
                <w:i w:val="0"/>
                <w:color w:val="16261F"/>
                <w:sz w:val="18"/>
              </w:rPr>
              <w:t>Server-side HTML rendered to PDF in a headless browser worker, isolated from the request path.</w:t>
            </w:r>
          </w:p>
        </w:tc>
      </w:tr>
      <w:tr>
        <w:tc>
          <w:tcPr>
            <w:tcW w:type="dxa" w:w="1656"/>
            <w:tcMar>
              <w:top w:w="60" w:type="dxa"/>
              <w:left w:w="110" w:type="dxa"/>
              <w:bottom w:w="60" w:type="dxa"/>
              <w:right w:w="110" w:type="dxa"/>
            </w:tcMar>
          </w:tcPr>
          <w:p>
            <w:pPr>
              <w:spacing w:after="0"/>
            </w:pPr>
            <w:r>
              <w:rPr>
                <w:b w:val="0"/>
                <w:i w:val="0"/>
                <w:color w:val="16261F"/>
                <w:sz w:val="18"/>
              </w:rPr>
              <w:t>Determinism</w:t>
            </w:r>
          </w:p>
        </w:tc>
        <w:tc>
          <w:tcPr>
            <w:tcW w:type="dxa" w:w="7704"/>
            <w:tcMar>
              <w:top w:w="60" w:type="dxa"/>
              <w:left w:w="110" w:type="dxa"/>
              <w:bottom w:w="60" w:type="dxa"/>
              <w:right w:w="110" w:type="dxa"/>
            </w:tcMar>
          </w:tcPr>
          <w:p>
            <w:pPr>
              <w:spacing w:after="0"/>
            </w:pPr>
            <w:r>
              <w:rPr>
                <w:b w:val="0"/>
                <w:i w:val="0"/>
                <w:color w:val="16261F"/>
                <w:sz w:val="18"/>
              </w:rPr>
              <w:t>Fonts embedded, no network fetch at render time, fixed document metadata. Satisfies NFR-CFG-033 byte-stability.</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Caching</w:t>
            </w:r>
          </w:p>
        </w:tc>
        <w:tc>
          <w:tcPr>
            <w:tcW w:type="dxa" w:w="7704"/>
            <w:tcMar>
              <w:top w:w="60" w:type="dxa"/>
              <w:left w:w="110" w:type="dxa"/>
              <w:bottom w:w="60" w:type="dxa"/>
              <w:right w:w="110" w:type="dxa"/>
            </w:tcMar>
            <w:shd w:val="clear" w:color="auto" w:fill="F5F7F5"/>
          </w:tcPr>
          <w:p>
            <w:pPr>
              <w:spacing w:after="0"/>
            </w:pPr>
            <w:r>
              <w:rPr>
                <w:b w:val="0"/>
                <w:i w:val="0"/>
                <w:color w:val="16261F"/>
                <w:sz w:val="18"/>
              </w:rPr>
              <w:t>Stored in object storage keyed by invoice id and content version. Regenerated only when the invoice or its template changes.</w:t>
            </w:r>
          </w:p>
        </w:tc>
      </w:tr>
      <w:tr>
        <w:tc>
          <w:tcPr>
            <w:tcW w:type="dxa" w:w="1656"/>
            <w:tcMar>
              <w:top w:w="60" w:type="dxa"/>
              <w:left w:w="110" w:type="dxa"/>
              <w:bottom w:w="60" w:type="dxa"/>
              <w:right w:w="110" w:type="dxa"/>
            </w:tcMar>
          </w:tcPr>
          <w:p>
            <w:pPr>
              <w:spacing w:after="0"/>
            </w:pPr>
            <w:r>
              <w:rPr>
                <w:b w:val="0"/>
                <w:i w:val="0"/>
                <w:color w:val="16261F"/>
                <w:sz w:val="18"/>
              </w:rPr>
              <w:t>Delivery</w:t>
            </w:r>
          </w:p>
        </w:tc>
        <w:tc>
          <w:tcPr>
            <w:tcW w:type="dxa" w:w="7704"/>
            <w:tcMar>
              <w:top w:w="60" w:type="dxa"/>
              <w:left w:w="110" w:type="dxa"/>
              <w:bottom w:w="60" w:type="dxa"/>
              <w:right w:w="110" w:type="dxa"/>
            </w:tcMar>
          </w:tcPr>
          <w:p>
            <w:pPr>
              <w:spacing w:after="0"/>
            </w:pPr>
            <w:r>
              <w:rPr>
                <w:b w:val="0"/>
                <w:i w:val="0"/>
                <w:color w:val="16261F"/>
                <w:sz w:val="18"/>
              </w:rPr>
              <w:t>Time-limited signed URL. The PDF is never served through the application tier.</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Isolation</w:t>
            </w:r>
          </w:p>
        </w:tc>
        <w:tc>
          <w:tcPr>
            <w:tcW w:type="dxa" w:w="7704"/>
            <w:tcMar>
              <w:top w:w="60" w:type="dxa"/>
              <w:left w:w="110" w:type="dxa"/>
              <w:bottom w:w="60" w:type="dxa"/>
              <w:right w:w="110" w:type="dxa"/>
            </w:tcMar>
            <w:shd w:val="clear" w:color="auto" w:fill="F5F7F5"/>
          </w:tcPr>
          <w:p>
            <w:pPr>
              <w:spacing w:after="0"/>
            </w:pPr>
            <w:r>
              <w:rPr>
                <w:b w:val="0"/>
                <w:i w:val="0"/>
                <w:color w:val="16261F"/>
                <w:sz w:val="18"/>
              </w:rPr>
              <w:t>Rendering runs in its own worker pool. A slow or crashed render cannot affect payment processing.</w:t>
            </w:r>
          </w:p>
        </w:tc>
      </w:tr>
      <w:tr>
        <w:tc>
          <w:tcPr>
            <w:tcW w:type="dxa" w:w="1656"/>
            <w:tcMar>
              <w:top w:w="60" w:type="dxa"/>
              <w:left w:w="110" w:type="dxa"/>
              <w:bottom w:w="60" w:type="dxa"/>
              <w:right w:w="110" w:type="dxa"/>
            </w:tcMar>
          </w:tcPr>
          <w:p>
            <w:pPr>
              <w:spacing w:after="0"/>
            </w:pPr>
            <w:r>
              <w:rPr>
                <w:b w:val="0"/>
                <w:i w:val="0"/>
                <w:color w:val="16261F"/>
                <w:sz w:val="18"/>
              </w:rPr>
              <w:t>Templating</w:t>
            </w:r>
          </w:p>
        </w:tc>
        <w:tc>
          <w:tcPr>
            <w:tcW w:type="dxa" w:w="7704"/>
            <w:tcMar>
              <w:top w:w="60" w:type="dxa"/>
              <w:left w:w="110" w:type="dxa"/>
              <w:bottom w:w="60" w:type="dxa"/>
              <w:right w:w="110" w:type="dxa"/>
            </w:tcMar>
          </w:tcPr>
          <w:p>
            <w:pPr>
              <w:spacing w:after="0"/>
            </w:pPr>
            <w:r>
              <w:rPr>
                <w:b w:val="0"/>
                <w:i w:val="0"/>
                <w:color w:val="16261F"/>
                <w:sz w:val="18"/>
              </w:rPr>
              <w:t>The same template engine and the same CalculationService output as the web invoice, so figures cannot diverge between surfaces.</w:t>
            </w:r>
          </w:p>
        </w:tc>
      </w:tr>
    </w:tbl>
    <w:p>
      <w:r>
        <w:br w:type="page"/>
      </w:r>
    </w:p>
    <w:p>
      <w:pPr>
        <w:pStyle w:val="Heading1"/>
      </w:pPr>
      <w:r>
        <w:t>14. Asynchronous processing and scheduling</w:t>
      </w:r>
    </w:p>
    <w:p>
      <w:pPr>
        <w:pStyle w:val="Heading2"/>
      </w:pPr>
      <w:r>
        <w:t>14.1 Queues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Queue</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7"/>
              </w:rPr>
              <w:t>Work</w:t>
            </w:r>
          </w:p>
        </w:tc>
        <w:tc>
          <w:tcPr>
            <w:tcW w:type="dxa" w:w="1296"/>
            <w:shd w:val="clear" w:color="auto" w:fill="16261F"/>
            <w:tcMar>
              <w:top w:w="70" w:type="dxa"/>
              <w:left w:w="110" w:type="dxa"/>
              <w:bottom w:w="70" w:type="dxa"/>
              <w:right w:w="110" w:type="dxa"/>
            </w:tcMar>
          </w:tcPr>
          <w:p>
            <w:pPr>
              <w:spacing w:after="0"/>
            </w:pPr>
            <w:r>
              <w:rPr>
                <w:rFonts w:ascii="Calibri" w:hAnsi="Calibri"/>
                <w:b/>
                <w:color w:val="FFFFFF"/>
                <w:sz w:val="17"/>
              </w:rPr>
              <w:t>Priority</w:t>
            </w:r>
          </w:p>
        </w:tc>
        <w:tc>
          <w:tcPr>
            <w:tcW w:type="dxa" w:w="2808"/>
            <w:shd w:val="clear" w:color="auto" w:fill="16261F"/>
            <w:tcMar>
              <w:top w:w="70" w:type="dxa"/>
              <w:left w:w="110" w:type="dxa"/>
              <w:bottom w:w="70" w:type="dxa"/>
              <w:right w:w="110" w:type="dxa"/>
            </w:tcMar>
          </w:tcPr>
          <w:p>
            <w:pPr>
              <w:spacing w:after="0"/>
            </w:pPr>
            <w:r>
              <w:rPr>
                <w:rFonts w:ascii="Calibri" w:hAnsi="Calibri"/>
                <w:b/>
                <w:color w:val="FFFFFF"/>
                <w:sz w:val="17"/>
              </w:rPr>
              <w:t>Retry</w:t>
            </w:r>
          </w:p>
        </w:tc>
      </w:tr>
      <w:tr>
        <w:tc>
          <w:tcPr>
            <w:tcW w:type="dxa" w:w="1656"/>
            <w:tcMar>
              <w:top w:w="60" w:type="dxa"/>
              <w:left w:w="110" w:type="dxa"/>
              <w:bottom w:w="60" w:type="dxa"/>
              <w:right w:w="110" w:type="dxa"/>
            </w:tcMar>
          </w:tcPr>
          <w:p>
            <w:pPr>
              <w:spacing w:after="0"/>
            </w:pPr>
            <w:r>
              <w:rPr>
                <w:b w:val="0"/>
                <w:i w:val="0"/>
                <w:color w:val="16261F"/>
                <w:sz w:val="18"/>
              </w:rPr>
              <w:t>payment-events</w:t>
            </w:r>
          </w:p>
        </w:tc>
        <w:tc>
          <w:tcPr>
            <w:tcW w:type="dxa" w:w="3600"/>
            <w:tcMar>
              <w:top w:w="60" w:type="dxa"/>
              <w:left w:w="110" w:type="dxa"/>
              <w:bottom w:w="60" w:type="dxa"/>
              <w:right w:w="110" w:type="dxa"/>
            </w:tcMar>
          </w:tcPr>
          <w:p>
            <w:pPr>
              <w:spacing w:after="0"/>
            </w:pPr>
            <w:r>
              <w:rPr>
                <w:b w:val="0"/>
                <w:i w:val="0"/>
                <w:color w:val="16261F"/>
                <w:sz w:val="18"/>
              </w:rPr>
              <w:t>Gateway webhook processing, settlement recording</w:t>
            </w:r>
          </w:p>
        </w:tc>
        <w:tc>
          <w:tcPr>
            <w:tcW w:type="dxa" w:w="1296"/>
            <w:tcMar>
              <w:top w:w="60" w:type="dxa"/>
              <w:left w:w="110" w:type="dxa"/>
              <w:bottom w:w="60" w:type="dxa"/>
              <w:right w:w="110" w:type="dxa"/>
            </w:tcMar>
          </w:tcPr>
          <w:p>
            <w:pPr>
              <w:spacing w:after="0"/>
            </w:pPr>
            <w:r>
              <w:rPr>
                <w:b w:val="0"/>
                <w:i w:val="0"/>
                <w:color w:val="16261F"/>
                <w:sz w:val="18"/>
              </w:rPr>
              <w:t>Highest</w:t>
            </w:r>
          </w:p>
        </w:tc>
        <w:tc>
          <w:tcPr>
            <w:tcW w:type="dxa" w:w="2808"/>
            <w:tcMar>
              <w:top w:w="60" w:type="dxa"/>
              <w:left w:w="110" w:type="dxa"/>
              <w:bottom w:w="60" w:type="dxa"/>
              <w:right w:w="110" w:type="dxa"/>
            </w:tcMar>
          </w:tcPr>
          <w:p>
            <w:pPr>
              <w:spacing w:after="0"/>
            </w:pPr>
            <w:r>
              <w:rPr>
                <w:b w:val="0"/>
                <w:i w:val="0"/>
                <w:color w:val="16261F"/>
                <w:sz w:val="18"/>
              </w:rPr>
              <w:t>10 attempts, aggressive backoff</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mail</w:t>
            </w:r>
          </w:p>
        </w:tc>
        <w:tc>
          <w:tcPr>
            <w:tcW w:type="dxa" w:w="3600"/>
            <w:tcMar>
              <w:top w:w="60" w:type="dxa"/>
              <w:left w:w="110" w:type="dxa"/>
              <w:bottom w:w="60" w:type="dxa"/>
              <w:right w:w="110" w:type="dxa"/>
            </w:tcMar>
            <w:shd w:val="clear" w:color="auto" w:fill="F5F7F5"/>
          </w:tcPr>
          <w:p>
            <w:pPr>
              <w:spacing w:after="0"/>
            </w:pPr>
            <w:r>
              <w:rPr>
                <w:b w:val="0"/>
                <w:i w:val="0"/>
                <w:color w:val="16261F"/>
                <w:sz w:val="18"/>
              </w:rPr>
              <w:t>Invoice, reminder, receipt and notification dispatch</w:t>
            </w:r>
          </w:p>
        </w:tc>
        <w:tc>
          <w:tcPr>
            <w:tcW w:type="dxa" w:w="1296"/>
            <w:tcMar>
              <w:top w:w="60" w:type="dxa"/>
              <w:left w:w="110" w:type="dxa"/>
              <w:bottom w:w="60" w:type="dxa"/>
              <w:right w:w="110" w:type="dxa"/>
            </w:tcMar>
            <w:shd w:val="clear" w:color="auto" w:fill="F5F7F5"/>
          </w:tcPr>
          <w:p>
            <w:pPr>
              <w:spacing w:after="0"/>
            </w:pPr>
            <w:r>
              <w:rPr>
                <w:b w:val="0"/>
                <w:i w:val="0"/>
                <w:color w:val="16261F"/>
                <w:sz w:val="18"/>
              </w:rPr>
              <w:t>High</w:t>
            </w:r>
          </w:p>
        </w:tc>
        <w:tc>
          <w:tcPr>
            <w:tcW w:type="dxa" w:w="2808"/>
            <w:tcMar>
              <w:top w:w="60" w:type="dxa"/>
              <w:left w:w="110" w:type="dxa"/>
              <w:bottom w:w="60" w:type="dxa"/>
              <w:right w:w="110" w:type="dxa"/>
            </w:tcMar>
            <w:shd w:val="clear" w:color="auto" w:fill="F5F7F5"/>
          </w:tcPr>
          <w:p>
            <w:pPr>
              <w:spacing w:after="0"/>
            </w:pPr>
            <w:r>
              <w:rPr>
                <w:b w:val="0"/>
                <w:i w:val="0"/>
                <w:color w:val="16261F"/>
                <w:sz w:val="18"/>
              </w:rPr>
              <w:t>5 attempts over 6 hours</w:t>
            </w:r>
          </w:p>
        </w:tc>
      </w:tr>
      <w:tr>
        <w:tc>
          <w:tcPr>
            <w:tcW w:type="dxa" w:w="1656"/>
            <w:tcMar>
              <w:top w:w="60" w:type="dxa"/>
              <w:left w:w="110" w:type="dxa"/>
              <w:bottom w:w="60" w:type="dxa"/>
              <w:right w:w="110" w:type="dxa"/>
            </w:tcMar>
          </w:tcPr>
          <w:p>
            <w:pPr>
              <w:spacing w:after="0"/>
            </w:pPr>
            <w:r>
              <w:rPr>
                <w:b w:val="0"/>
                <w:i w:val="0"/>
                <w:color w:val="16261F"/>
                <w:sz w:val="18"/>
              </w:rPr>
              <w:t>sync</w:t>
            </w:r>
          </w:p>
        </w:tc>
        <w:tc>
          <w:tcPr>
            <w:tcW w:type="dxa" w:w="3600"/>
            <w:tcMar>
              <w:top w:w="60" w:type="dxa"/>
              <w:left w:w="110" w:type="dxa"/>
              <w:bottom w:w="60" w:type="dxa"/>
              <w:right w:w="110" w:type="dxa"/>
            </w:tcMar>
          </w:tcPr>
          <w:p>
            <w:pPr>
              <w:spacing w:after="0"/>
            </w:pPr>
            <w:r>
              <w:rPr>
                <w:b w:val="0"/>
                <w:i w:val="0"/>
                <w:color w:val="16261F"/>
                <w:sz w:val="18"/>
              </w:rPr>
              <w:t>Zoho and Shopify push and pull</w:t>
            </w:r>
          </w:p>
        </w:tc>
        <w:tc>
          <w:tcPr>
            <w:tcW w:type="dxa" w:w="1296"/>
            <w:tcMar>
              <w:top w:w="60" w:type="dxa"/>
              <w:left w:w="110" w:type="dxa"/>
              <w:bottom w:w="60" w:type="dxa"/>
              <w:right w:w="110" w:type="dxa"/>
            </w:tcMar>
          </w:tcPr>
          <w:p>
            <w:pPr>
              <w:spacing w:after="0"/>
            </w:pPr>
            <w:r>
              <w:rPr>
                <w:b w:val="0"/>
                <w:i w:val="0"/>
                <w:color w:val="16261F"/>
                <w:sz w:val="18"/>
              </w:rPr>
              <w:t>Normal</w:t>
            </w:r>
          </w:p>
        </w:tc>
        <w:tc>
          <w:tcPr>
            <w:tcW w:type="dxa" w:w="2808"/>
            <w:tcMar>
              <w:top w:w="60" w:type="dxa"/>
              <w:left w:w="110" w:type="dxa"/>
              <w:bottom w:w="60" w:type="dxa"/>
              <w:right w:w="110" w:type="dxa"/>
            </w:tcMar>
          </w:tcPr>
          <w:p>
            <w:pPr>
              <w:spacing w:after="0"/>
            </w:pPr>
            <w:r>
              <w:rPr>
                <w:b w:val="0"/>
                <w:i w:val="0"/>
                <w:color w:val="16261F"/>
                <w:sz w:val="18"/>
              </w:rPr>
              <w:t>5 attempts over 30 minutes</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documents</w:t>
            </w:r>
          </w:p>
        </w:tc>
        <w:tc>
          <w:tcPr>
            <w:tcW w:type="dxa" w:w="3600"/>
            <w:tcMar>
              <w:top w:w="60" w:type="dxa"/>
              <w:left w:w="110" w:type="dxa"/>
              <w:bottom w:w="60" w:type="dxa"/>
              <w:right w:w="110" w:type="dxa"/>
            </w:tcMar>
            <w:shd w:val="clear" w:color="auto" w:fill="F5F7F5"/>
          </w:tcPr>
          <w:p>
            <w:pPr>
              <w:spacing w:after="0"/>
            </w:pPr>
            <w:r>
              <w:rPr>
                <w:b w:val="0"/>
                <w:i w:val="0"/>
                <w:color w:val="16261F"/>
                <w:sz w:val="18"/>
              </w:rPr>
              <w:t>PDF and receipt rendering</w:t>
            </w:r>
          </w:p>
        </w:tc>
        <w:tc>
          <w:tcPr>
            <w:tcW w:type="dxa" w:w="1296"/>
            <w:tcMar>
              <w:top w:w="60" w:type="dxa"/>
              <w:left w:w="110" w:type="dxa"/>
              <w:bottom w:w="60" w:type="dxa"/>
              <w:right w:w="110" w:type="dxa"/>
            </w:tcMar>
            <w:shd w:val="clear" w:color="auto" w:fill="F5F7F5"/>
          </w:tcPr>
          <w:p>
            <w:pPr>
              <w:spacing w:after="0"/>
            </w:pPr>
            <w:r>
              <w:rPr>
                <w:b w:val="0"/>
                <w:i w:val="0"/>
                <w:color w:val="16261F"/>
                <w:sz w:val="18"/>
              </w:rPr>
              <w:t>Normal</w:t>
            </w:r>
          </w:p>
        </w:tc>
        <w:tc>
          <w:tcPr>
            <w:tcW w:type="dxa" w:w="2808"/>
            <w:tcMar>
              <w:top w:w="60" w:type="dxa"/>
              <w:left w:w="110" w:type="dxa"/>
              <w:bottom w:w="60" w:type="dxa"/>
              <w:right w:w="110" w:type="dxa"/>
            </w:tcMar>
            <w:shd w:val="clear" w:color="auto" w:fill="F5F7F5"/>
          </w:tcPr>
          <w:p>
            <w:pPr>
              <w:spacing w:after="0"/>
            </w:pPr>
            <w:r>
              <w:rPr>
                <w:b w:val="0"/>
                <w:i w:val="0"/>
                <w:color w:val="16261F"/>
                <w:sz w:val="18"/>
              </w:rPr>
              <w:t>3 attempts</w:t>
            </w:r>
          </w:p>
        </w:tc>
      </w:tr>
      <w:tr>
        <w:tc>
          <w:tcPr>
            <w:tcW w:type="dxa" w:w="1656"/>
            <w:tcMar>
              <w:top w:w="60" w:type="dxa"/>
              <w:left w:w="110" w:type="dxa"/>
              <w:bottom w:w="60" w:type="dxa"/>
              <w:right w:w="110" w:type="dxa"/>
            </w:tcMar>
          </w:tcPr>
          <w:p>
            <w:pPr>
              <w:spacing w:after="0"/>
            </w:pPr>
            <w:r>
              <w:rPr>
                <w:b w:val="0"/>
                <w:i w:val="0"/>
                <w:color w:val="16261F"/>
                <w:sz w:val="18"/>
              </w:rPr>
              <w:t>scheduled</w:t>
            </w:r>
          </w:p>
        </w:tc>
        <w:tc>
          <w:tcPr>
            <w:tcW w:type="dxa" w:w="3600"/>
            <w:tcMar>
              <w:top w:w="60" w:type="dxa"/>
              <w:left w:w="110" w:type="dxa"/>
              <w:bottom w:w="60" w:type="dxa"/>
              <w:right w:w="110" w:type="dxa"/>
            </w:tcMar>
          </w:tcPr>
          <w:p>
            <w:pPr>
              <w:spacing w:after="0"/>
            </w:pPr>
            <w:r>
              <w:rPr>
                <w:b w:val="0"/>
                <w:i w:val="0"/>
                <w:color w:val="16261F"/>
                <w:sz w:val="18"/>
              </w:rPr>
              <w:t>Overdue marking, reminder cadence, health checks</w:t>
            </w:r>
          </w:p>
        </w:tc>
        <w:tc>
          <w:tcPr>
            <w:tcW w:type="dxa" w:w="1296"/>
            <w:tcMar>
              <w:top w:w="60" w:type="dxa"/>
              <w:left w:w="110" w:type="dxa"/>
              <w:bottom w:w="60" w:type="dxa"/>
              <w:right w:w="110" w:type="dxa"/>
            </w:tcMar>
          </w:tcPr>
          <w:p>
            <w:pPr>
              <w:spacing w:after="0"/>
            </w:pPr>
            <w:r>
              <w:rPr>
                <w:b w:val="0"/>
                <w:i w:val="0"/>
                <w:color w:val="16261F"/>
                <w:sz w:val="18"/>
              </w:rPr>
              <w:t>Low</w:t>
            </w:r>
          </w:p>
        </w:tc>
        <w:tc>
          <w:tcPr>
            <w:tcW w:type="dxa" w:w="2808"/>
            <w:tcMar>
              <w:top w:w="60" w:type="dxa"/>
              <w:left w:w="110" w:type="dxa"/>
              <w:bottom w:w="60" w:type="dxa"/>
              <w:right w:w="110" w:type="dxa"/>
            </w:tcMar>
          </w:tcPr>
          <w:p>
            <w:pPr>
              <w:spacing w:after="0"/>
            </w:pPr>
            <w:r>
              <w:rPr>
                <w:b w:val="0"/>
                <w:i w:val="0"/>
                <w:color w:val="16261F"/>
                <w:sz w:val="18"/>
              </w:rPr>
              <w:t>3 attempts</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insights</w:t>
            </w:r>
          </w:p>
        </w:tc>
        <w:tc>
          <w:tcPr>
            <w:tcW w:type="dxa" w:w="3600"/>
            <w:tcMar>
              <w:top w:w="60" w:type="dxa"/>
              <w:left w:w="110" w:type="dxa"/>
              <w:bottom w:w="60" w:type="dxa"/>
              <w:right w:w="110" w:type="dxa"/>
            </w:tcMar>
            <w:shd w:val="clear" w:color="auto" w:fill="F5F7F5"/>
          </w:tcPr>
          <w:p>
            <w:pPr>
              <w:spacing w:after="0"/>
            </w:pPr>
            <w:r>
              <w:rPr>
                <w:b w:val="0"/>
                <w:i w:val="0"/>
                <w:color w:val="16261F"/>
                <w:sz w:val="18"/>
              </w:rPr>
              <w:t>AI summary and design generation (Phase 2)</w:t>
            </w:r>
          </w:p>
        </w:tc>
        <w:tc>
          <w:tcPr>
            <w:tcW w:type="dxa" w:w="1296"/>
            <w:tcMar>
              <w:top w:w="60" w:type="dxa"/>
              <w:left w:w="110" w:type="dxa"/>
              <w:bottom w:w="60" w:type="dxa"/>
              <w:right w:w="110" w:type="dxa"/>
            </w:tcMar>
            <w:shd w:val="clear" w:color="auto" w:fill="F5F7F5"/>
          </w:tcPr>
          <w:p>
            <w:pPr>
              <w:spacing w:after="0"/>
            </w:pPr>
            <w:r>
              <w:rPr>
                <w:b w:val="0"/>
                <w:i w:val="0"/>
                <w:color w:val="16261F"/>
                <w:sz w:val="18"/>
              </w:rPr>
              <w:t>Lowest</w:t>
            </w:r>
          </w:p>
        </w:tc>
        <w:tc>
          <w:tcPr>
            <w:tcW w:type="dxa" w:w="2808"/>
            <w:tcMar>
              <w:top w:w="60" w:type="dxa"/>
              <w:left w:w="110" w:type="dxa"/>
              <w:bottom w:w="60" w:type="dxa"/>
              <w:right w:w="110" w:type="dxa"/>
            </w:tcMar>
            <w:shd w:val="clear" w:color="auto" w:fill="F5F7F5"/>
          </w:tcPr>
          <w:p>
            <w:pPr>
              <w:spacing w:after="0"/>
            </w:pPr>
            <w:r>
              <w:rPr>
                <w:b w:val="0"/>
                <w:i w:val="0"/>
                <w:color w:val="16261F"/>
                <w:sz w:val="18"/>
              </w:rPr>
              <w:t>2 attempts, fail silently to a degraded view</w:t>
            </w:r>
          </w:p>
        </w:tc>
      </w:tr>
    </w:tbl>
    <w:p>
      <w:pPr>
        <w:pBdr>
          <w:left w:val="single" w:sz="18" w:space="10" w:color="2D6A6A"/>
        </w:pBdr>
        <w:shd w:val="clear" w:color="auto" w:fill="EDF1EE"/>
        <w:spacing w:before="160" w:after="180"/>
        <w:ind w:left="173"/>
      </w:pPr>
      <w:r>
        <w:rPr>
          <w:b/>
          <w:color w:val="2D6A6A"/>
          <w:sz w:val="17"/>
        </w:rPr>
        <w:t xml:space="preserve">QUEUE SEPARATION RATIONALE  </w:t>
      </w:r>
      <w:r>
        <w:rPr>
          <w:color w:val="16261F"/>
          <w:sz w:val="20"/>
        </w:rPr>
        <w:t>A backlog of AI insight jobs must never delay a payment webhook. Separate queues with separate worker pools make the priority structural rather than advisory, and satisfy NFR-SCL-003.</w:t>
      </w:r>
    </w:p>
    <w:p>
      <w:pPr>
        <w:pStyle w:val="Heading2"/>
      </w:pPr>
      <w:r>
        <w:t>14.2 Scheduled jobs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Job</w:t>
            </w:r>
          </w:p>
        </w:tc>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Cadence</w:t>
            </w:r>
          </w:p>
        </w:tc>
        <w:tc>
          <w:tcPr>
            <w:tcW w:type="dxa" w:w="5760"/>
            <w:shd w:val="clear" w:color="auto" w:fill="16261F"/>
            <w:tcMar>
              <w:top w:w="70" w:type="dxa"/>
              <w:left w:w="110" w:type="dxa"/>
              <w:bottom w:w="70" w:type="dxa"/>
              <w:right w:w="110" w:type="dxa"/>
            </w:tcMar>
          </w:tcPr>
          <w:p>
            <w:pPr>
              <w:spacing w:after="0"/>
            </w:pPr>
            <w:r>
              <w:rPr>
                <w:rFonts w:ascii="Calibri" w:hAnsi="Calibri"/>
                <w:b/>
                <w:color w:val="FFFFFF"/>
                <w:sz w:val="17"/>
              </w:rPr>
              <w:t>Notes</w:t>
            </w:r>
          </w:p>
        </w:tc>
      </w:tr>
      <w:tr>
        <w:tc>
          <w:tcPr>
            <w:tcW w:type="dxa" w:w="1944"/>
            <w:tcMar>
              <w:top w:w="60" w:type="dxa"/>
              <w:left w:w="110" w:type="dxa"/>
              <w:bottom w:w="60" w:type="dxa"/>
              <w:right w:w="110" w:type="dxa"/>
            </w:tcMar>
          </w:tcPr>
          <w:p>
            <w:pPr>
              <w:spacing w:after="0"/>
            </w:pPr>
            <w:r>
              <w:rPr>
                <w:b w:val="0"/>
                <w:i w:val="0"/>
                <w:color w:val="16261F"/>
                <w:sz w:val="18"/>
              </w:rPr>
              <w:t>Overdue evaluation</w:t>
            </w:r>
          </w:p>
        </w:tc>
        <w:tc>
          <w:tcPr>
            <w:tcW w:type="dxa" w:w="1656"/>
            <w:tcMar>
              <w:top w:w="60" w:type="dxa"/>
              <w:left w:w="110" w:type="dxa"/>
              <w:bottom w:w="60" w:type="dxa"/>
              <w:right w:w="110" w:type="dxa"/>
            </w:tcMar>
          </w:tcPr>
          <w:p>
            <w:pPr>
              <w:spacing w:after="0"/>
            </w:pPr>
            <w:r>
              <w:rPr>
                <w:b w:val="0"/>
                <w:i w:val="0"/>
                <w:color w:val="16261F"/>
                <w:sz w:val="18"/>
              </w:rPr>
              <w:t>Hourly</w:t>
            </w:r>
          </w:p>
        </w:tc>
        <w:tc>
          <w:tcPr>
            <w:tcW w:type="dxa" w:w="5760"/>
            <w:tcMar>
              <w:top w:w="60" w:type="dxa"/>
              <w:left w:w="110" w:type="dxa"/>
              <w:bottom w:w="60" w:type="dxa"/>
              <w:right w:w="110" w:type="dxa"/>
            </w:tcMar>
          </w:tcPr>
          <w:p>
            <w:pPr>
              <w:spacing w:after="0"/>
            </w:pPr>
            <w:r>
              <w:rPr>
                <w:b w:val="0"/>
                <w:i w:val="0"/>
                <w:color w:val="16261F"/>
                <w:sz w:val="18"/>
              </w:rPr>
              <w:t>Evaluated in each brand's time zone, not the server's (NFR-LOC-002). Hourly cadence means a brand crossing midnight is marked within the hour.</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Reminder dispatch</w:t>
            </w:r>
          </w:p>
        </w:tc>
        <w:tc>
          <w:tcPr>
            <w:tcW w:type="dxa" w:w="1656"/>
            <w:tcMar>
              <w:top w:w="60" w:type="dxa"/>
              <w:left w:w="110" w:type="dxa"/>
              <w:bottom w:w="60" w:type="dxa"/>
              <w:right w:w="110" w:type="dxa"/>
            </w:tcMar>
            <w:shd w:val="clear" w:color="auto" w:fill="F5F7F5"/>
          </w:tcPr>
          <w:p>
            <w:pPr>
              <w:spacing w:after="0"/>
            </w:pPr>
            <w:r>
              <w:rPr>
                <w:b w:val="0"/>
                <w:i w:val="0"/>
                <w:color w:val="16261F"/>
                <w:sz w:val="18"/>
              </w:rPr>
              <w:t>Hourly</w:t>
            </w:r>
          </w:p>
        </w:tc>
        <w:tc>
          <w:tcPr>
            <w:tcW w:type="dxa" w:w="5760"/>
            <w:tcMar>
              <w:top w:w="60" w:type="dxa"/>
              <w:left w:w="110" w:type="dxa"/>
              <w:bottom w:w="60" w:type="dxa"/>
              <w:right w:w="110" w:type="dxa"/>
            </w:tcMar>
            <w:shd w:val="clear" w:color="auto" w:fill="F5F7F5"/>
          </w:tcPr>
          <w:p>
            <w:pPr>
              <w:spacing w:after="0"/>
            </w:pPr>
            <w:r>
              <w:rPr>
                <w:b w:val="0"/>
                <w:i w:val="0"/>
                <w:color w:val="16261F"/>
                <w:sz w:val="18"/>
              </w:rPr>
              <w:t>Per-brand schedule; suppressed for Paid and Cancelled (FR-DLV-012).</w:t>
            </w:r>
          </w:p>
        </w:tc>
      </w:tr>
      <w:tr>
        <w:tc>
          <w:tcPr>
            <w:tcW w:type="dxa" w:w="1944"/>
            <w:tcMar>
              <w:top w:w="60" w:type="dxa"/>
              <w:left w:w="110" w:type="dxa"/>
              <w:bottom w:w="60" w:type="dxa"/>
              <w:right w:w="110" w:type="dxa"/>
            </w:tcMar>
          </w:tcPr>
          <w:p>
            <w:pPr>
              <w:spacing w:after="0"/>
            </w:pPr>
            <w:r>
              <w:rPr>
                <w:b w:val="0"/>
                <w:i w:val="0"/>
                <w:color w:val="16261F"/>
                <w:sz w:val="18"/>
              </w:rPr>
              <w:t>Scheduled sync</w:t>
            </w:r>
          </w:p>
        </w:tc>
        <w:tc>
          <w:tcPr>
            <w:tcW w:type="dxa" w:w="1656"/>
            <w:tcMar>
              <w:top w:w="60" w:type="dxa"/>
              <w:left w:w="110" w:type="dxa"/>
              <w:bottom w:w="60" w:type="dxa"/>
              <w:right w:w="110" w:type="dxa"/>
            </w:tcMar>
          </w:tcPr>
          <w:p>
            <w:pPr>
              <w:spacing w:after="0"/>
            </w:pPr>
            <w:r>
              <w:rPr>
                <w:b w:val="0"/>
                <w:i w:val="0"/>
                <w:color w:val="16261F"/>
                <w:sz w:val="18"/>
              </w:rPr>
              <w:t>Per-brand interval</w:t>
            </w:r>
          </w:p>
        </w:tc>
        <w:tc>
          <w:tcPr>
            <w:tcW w:type="dxa" w:w="5760"/>
            <w:tcMar>
              <w:top w:w="60" w:type="dxa"/>
              <w:left w:w="110" w:type="dxa"/>
              <w:bottom w:w="60" w:type="dxa"/>
              <w:right w:w="110" w:type="dxa"/>
            </w:tcMar>
          </w:tcPr>
          <w:p>
            <w:pPr>
              <w:spacing w:after="0"/>
            </w:pPr>
            <w:r>
              <w:rPr>
                <w:b w:val="0"/>
                <w:i w:val="0"/>
                <w:color w:val="16261F"/>
                <w:sz w:val="18"/>
              </w:rPr>
              <w:t>Honours the brand's configured frequency (FR-ZHO-015).</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Domain health check</w:t>
            </w:r>
          </w:p>
        </w:tc>
        <w:tc>
          <w:tcPr>
            <w:tcW w:type="dxa" w:w="1656"/>
            <w:tcMar>
              <w:top w:w="60" w:type="dxa"/>
              <w:left w:w="110" w:type="dxa"/>
              <w:bottom w:w="60" w:type="dxa"/>
              <w:right w:w="110" w:type="dxa"/>
            </w:tcMar>
            <w:shd w:val="clear" w:color="auto" w:fill="F5F7F5"/>
          </w:tcPr>
          <w:p>
            <w:pPr>
              <w:spacing w:after="0"/>
            </w:pPr>
            <w:r>
              <w:rPr>
                <w:b w:val="0"/>
                <w:i w:val="0"/>
                <w:color w:val="16261F"/>
                <w:sz w:val="18"/>
              </w:rPr>
              <w:t>Every 6 hours</w:t>
            </w:r>
          </w:p>
        </w:tc>
        <w:tc>
          <w:tcPr>
            <w:tcW w:type="dxa" w:w="5760"/>
            <w:tcMar>
              <w:top w:w="60" w:type="dxa"/>
              <w:left w:w="110" w:type="dxa"/>
              <w:bottom w:w="60" w:type="dxa"/>
              <w:right w:w="110" w:type="dxa"/>
            </w:tcMar>
            <w:shd w:val="clear" w:color="auto" w:fill="F5F7F5"/>
          </w:tcPr>
          <w:p>
            <w:pPr>
              <w:spacing w:after="0"/>
            </w:pPr>
            <w:r>
              <w:rPr>
                <w:b w:val="0"/>
                <w:i w:val="0"/>
                <w:color w:val="16261F"/>
                <w:sz w:val="18"/>
              </w:rPr>
              <w:t>Verification and certificate expiry (FR-DOM-007).</w:t>
            </w:r>
          </w:p>
        </w:tc>
      </w:tr>
      <w:tr>
        <w:tc>
          <w:tcPr>
            <w:tcW w:type="dxa" w:w="1944"/>
            <w:tcMar>
              <w:top w:w="60" w:type="dxa"/>
              <w:left w:w="110" w:type="dxa"/>
              <w:bottom w:w="60" w:type="dxa"/>
              <w:right w:w="110" w:type="dxa"/>
            </w:tcMar>
          </w:tcPr>
          <w:p>
            <w:pPr>
              <w:spacing w:after="0"/>
            </w:pPr>
            <w:r>
              <w:rPr>
                <w:b w:val="0"/>
                <w:i w:val="0"/>
                <w:color w:val="16261F"/>
                <w:sz w:val="18"/>
              </w:rPr>
              <w:t>Balance reconciliation</w:t>
            </w:r>
          </w:p>
        </w:tc>
        <w:tc>
          <w:tcPr>
            <w:tcW w:type="dxa" w:w="1656"/>
            <w:tcMar>
              <w:top w:w="60" w:type="dxa"/>
              <w:left w:w="110" w:type="dxa"/>
              <w:bottom w:w="60" w:type="dxa"/>
              <w:right w:w="110" w:type="dxa"/>
            </w:tcMar>
          </w:tcPr>
          <w:p>
            <w:pPr>
              <w:spacing w:after="0"/>
            </w:pPr>
            <w:r>
              <w:rPr>
                <w:b w:val="0"/>
                <w:i w:val="0"/>
                <w:color w:val="16261F"/>
                <w:sz w:val="18"/>
              </w:rPr>
              <w:t>Nightly</w:t>
            </w:r>
          </w:p>
        </w:tc>
        <w:tc>
          <w:tcPr>
            <w:tcW w:type="dxa" w:w="5760"/>
            <w:tcMar>
              <w:top w:w="60" w:type="dxa"/>
              <w:left w:w="110" w:type="dxa"/>
              <w:bottom w:w="60" w:type="dxa"/>
              <w:right w:w="110" w:type="dxa"/>
            </w:tcMar>
          </w:tcPr>
          <w:p>
            <w:pPr>
              <w:spacing w:after="0"/>
            </w:pPr>
            <w:r>
              <w:rPr>
                <w:b w:val="0"/>
                <w:i w:val="0"/>
                <w:color w:val="16261F"/>
                <w:sz w:val="18"/>
              </w:rPr>
              <w:t>Verifies stored balance against summed payments; alerts on any divergence (NFR-INT-021).</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Retention purge</w:t>
            </w:r>
          </w:p>
        </w:tc>
        <w:tc>
          <w:tcPr>
            <w:tcW w:type="dxa" w:w="1656"/>
            <w:tcMar>
              <w:top w:w="60" w:type="dxa"/>
              <w:left w:w="110" w:type="dxa"/>
              <w:bottom w:w="60" w:type="dxa"/>
              <w:right w:w="110" w:type="dxa"/>
            </w:tcMar>
            <w:shd w:val="clear" w:color="auto" w:fill="F5F7F5"/>
          </w:tcPr>
          <w:p>
            <w:pPr>
              <w:spacing w:after="0"/>
            </w:pPr>
            <w:r>
              <w:rPr>
                <w:b w:val="0"/>
                <w:i w:val="0"/>
                <w:color w:val="16261F"/>
                <w:sz w:val="18"/>
              </w:rPr>
              <w:t>Nightly</w:t>
            </w:r>
          </w:p>
        </w:tc>
        <w:tc>
          <w:tcPr>
            <w:tcW w:type="dxa" w:w="5760"/>
            <w:tcMar>
              <w:top w:w="60" w:type="dxa"/>
              <w:left w:w="110" w:type="dxa"/>
              <w:bottom w:w="60" w:type="dxa"/>
              <w:right w:w="110" w:type="dxa"/>
            </w:tcMar>
            <w:shd w:val="clear" w:color="auto" w:fill="F5F7F5"/>
          </w:tcPr>
          <w:p>
            <w:pPr>
              <w:spacing w:after="0"/>
            </w:pPr>
            <w:r>
              <w:rPr>
                <w:b w:val="0"/>
                <w:i w:val="0"/>
                <w:color w:val="16261F"/>
                <w:sz w:val="18"/>
              </w:rPr>
              <w:t>Removes check images past retention (NFR-PRV-004).</w:t>
            </w:r>
          </w:p>
        </w:tc>
      </w:tr>
      <w:tr>
        <w:tc>
          <w:tcPr>
            <w:tcW w:type="dxa" w:w="1944"/>
            <w:tcMar>
              <w:top w:w="60" w:type="dxa"/>
              <w:left w:w="110" w:type="dxa"/>
              <w:bottom w:w="60" w:type="dxa"/>
              <w:right w:w="110" w:type="dxa"/>
            </w:tcMar>
          </w:tcPr>
          <w:p>
            <w:pPr>
              <w:spacing w:after="0"/>
            </w:pPr>
            <w:r>
              <w:rPr>
                <w:b w:val="0"/>
                <w:i w:val="0"/>
                <w:color w:val="16261F"/>
                <w:sz w:val="18"/>
              </w:rPr>
              <w:t>Backup verification</w:t>
            </w:r>
          </w:p>
        </w:tc>
        <w:tc>
          <w:tcPr>
            <w:tcW w:type="dxa" w:w="1656"/>
            <w:tcMar>
              <w:top w:w="60" w:type="dxa"/>
              <w:left w:w="110" w:type="dxa"/>
              <w:bottom w:w="60" w:type="dxa"/>
              <w:right w:w="110" w:type="dxa"/>
            </w:tcMar>
          </w:tcPr>
          <w:p>
            <w:pPr>
              <w:spacing w:after="0"/>
            </w:pPr>
            <w:r>
              <w:rPr>
                <w:b w:val="0"/>
                <w:i w:val="0"/>
                <w:color w:val="16261F"/>
                <w:sz w:val="18"/>
              </w:rPr>
              <w:t>Daily</w:t>
            </w:r>
          </w:p>
        </w:tc>
        <w:tc>
          <w:tcPr>
            <w:tcW w:type="dxa" w:w="5760"/>
            <w:tcMar>
              <w:top w:w="60" w:type="dxa"/>
              <w:left w:w="110" w:type="dxa"/>
              <w:bottom w:w="60" w:type="dxa"/>
              <w:right w:w="110" w:type="dxa"/>
            </w:tcMar>
          </w:tcPr>
          <w:p>
            <w:pPr>
              <w:spacing w:after="0"/>
            </w:pPr>
            <w:r>
              <w:rPr>
                <w:b w:val="0"/>
                <w:i w:val="0"/>
                <w:color w:val="16261F"/>
                <w:sz w:val="18"/>
              </w:rPr>
              <w:t>Confirms the most recent backup is restorable.</w:t>
            </w:r>
          </w:p>
        </w:tc>
      </w:tr>
    </w:tbl>
    <w:p>
      <w:r>
        <w:br w:type="page"/>
      </w:r>
    </w:p>
    <w:p>
      <w:pPr>
        <w:pStyle w:val="Heading1"/>
      </w:pPr>
      <w:r>
        <w:t>15. Security design</w:t>
      </w:r>
    </w:p>
    <w:p>
      <w:pPr>
        <w:pStyle w:val="Heading2"/>
      </w:pPr>
      <w:r>
        <w:t>15.1 Trust zones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UNTRUSTED — public internet                                 │    </w:t>
            </w:r>
          </w:p>
          <w:p>
            <w:pPr>
              <w:spacing w:after="0" w:line="240" w:lineRule="auto"/>
            </w:pPr>
            <w:r>
              <w:rPr>
                <w:rFonts w:ascii="Consolas" w:hAnsi="Consolas"/>
                <w:color w:val="16261F"/>
                <w:sz w:val="17"/>
              </w:rPr>
              <w:t xml:space="preserve">  │     customers · unauthenticated requests · inbound webhooks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TLS · WAF · rate limit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EDGE — CDN, TLS termination, DDoS absorption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signature verify · token validate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APPLICATION — no public inbound except via edge             │    </w:t>
            </w:r>
          </w:p>
          <w:p>
            <w:pPr>
              <w:spacing w:after="0" w:line="240" w:lineRule="auto"/>
            </w:pPr>
            <w:r>
              <w:rPr>
                <w:rFonts w:ascii="Consolas" w:hAnsi="Consolas"/>
                <w:color w:val="16261F"/>
                <w:sz w:val="17"/>
              </w:rPr>
              <w:t xml:space="preserve">  │     admin app  ·  payment app  ·  workers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private network · IAM · RLS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DATA — no public route, ever                                │    </w:t>
            </w:r>
          </w:p>
          <w:p>
            <w:pPr>
              <w:spacing w:after="0" w:line="240" w:lineRule="auto"/>
            </w:pPr>
            <w:r>
              <w:rPr>
                <w:rFonts w:ascii="Consolas" w:hAnsi="Consolas"/>
                <w:color w:val="16261F"/>
                <w:sz w:val="17"/>
              </w:rPr>
              <w:t xml:space="preserve">  │     database · object storage · queue · secret manager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Card data path (target, conditional on DEP-01):                     </w:t>
            </w:r>
          </w:p>
          <w:p>
            <w:pPr>
              <w:spacing w:after="0" w:line="240" w:lineRule="auto"/>
            </w:pPr>
            <w:r>
              <w:rPr>
                <w:rFonts w:ascii="Consolas" w:hAnsi="Consolas"/>
                <w:color w:val="16261F"/>
                <w:sz w:val="17"/>
              </w:rPr>
              <w:t xml:space="preserve">     customer browser ──── hosted fields ────► Numbers Gateway        </w:t>
            </w:r>
          </w:p>
          <w:p>
            <w:pPr>
              <w:spacing w:after="0" w:line="240" w:lineRule="auto"/>
            </w:pPr>
            <w:r>
              <w:rPr>
                <w:rFonts w:ascii="Consolas" w:hAnsi="Consolas"/>
                <w:color w:val="16261F"/>
                <w:sz w:val="17"/>
              </w:rPr>
              <w:t xml:space="preserve">                        (never traverses any zone above)              </w:t>
            </w:r>
          </w:p>
        </w:tc>
      </w:tr>
    </w:tbl>
    <w:p>
      <w:pPr>
        <w:spacing w:after="40"/>
      </w:pPr>
    </w:p>
    <w:p>
      <w:pPr>
        <w:pStyle w:val="Heading2"/>
      </w:pPr>
      <w:r>
        <w:t>15.2 Secret handling</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Secret</w:t>
            </w:r>
          </w:p>
        </w:tc>
        <w:tc>
          <w:tcPr>
            <w:tcW w:type="dxa" w:w="4536"/>
            <w:shd w:val="clear" w:color="auto" w:fill="16261F"/>
            <w:tcMar>
              <w:top w:w="70" w:type="dxa"/>
              <w:left w:w="110" w:type="dxa"/>
              <w:bottom w:w="70" w:type="dxa"/>
              <w:right w:w="110" w:type="dxa"/>
            </w:tcMar>
          </w:tcPr>
          <w:p>
            <w:pPr>
              <w:spacing w:after="0"/>
            </w:pPr>
            <w:r>
              <w:rPr>
                <w:rFonts w:ascii="Calibri" w:hAnsi="Calibri"/>
                <w:b/>
                <w:color w:val="FFFFFF"/>
                <w:sz w:val="17"/>
              </w:rPr>
              <w:t>Storage</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7"/>
              </w:rPr>
              <w:t>Rotation</w:t>
            </w:r>
          </w:p>
        </w:tc>
      </w:tr>
      <w:tr>
        <w:tc>
          <w:tcPr>
            <w:tcW w:type="dxa" w:w="1944"/>
            <w:tcMar>
              <w:top w:w="60" w:type="dxa"/>
              <w:left w:w="110" w:type="dxa"/>
              <w:bottom w:w="60" w:type="dxa"/>
              <w:right w:w="110" w:type="dxa"/>
            </w:tcMar>
          </w:tcPr>
          <w:p>
            <w:pPr>
              <w:spacing w:after="0"/>
            </w:pPr>
            <w:r>
              <w:rPr>
                <w:b w:val="0"/>
                <w:i w:val="0"/>
                <w:color w:val="16261F"/>
                <w:sz w:val="18"/>
              </w:rPr>
              <w:t>Gateway credentials</w:t>
            </w:r>
          </w:p>
        </w:tc>
        <w:tc>
          <w:tcPr>
            <w:tcW w:type="dxa" w:w="4536"/>
            <w:tcMar>
              <w:top w:w="60" w:type="dxa"/>
              <w:left w:w="110" w:type="dxa"/>
              <w:bottom w:w="60" w:type="dxa"/>
              <w:right w:w="110" w:type="dxa"/>
            </w:tcMar>
          </w:tcPr>
          <w:p>
            <w:pPr>
              <w:spacing w:after="0"/>
            </w:pPr>
            <w:r>
              <w:rPr>
                <w:b w:val="0"/>
                <w:i w:val="0"/>
                <w:color w:val="16261F"/>
                <w:sz w:val="18"/>
              </w:rPr>
              <w:t>Encrypted per brand with an envelope key held in a managed key service.</w:t>
            </w:r>
          </w:p>
        </w:tc>
        <w:tc>
          <w:tcPr>
            <w:tcW w:type="dxa" w:w="2880"/>
            <w:tcMar>
              <w:top w:w="60" w:type="dxa"/>
              <w:left w:w="110" w:type="dxa"/>
              <w:bottom w:w="60" w:type="dxa"/>
              <w:right w:w="110" w:type="dxa"/>
            </w:tcMar>
          </w:tcPr>
          <w:p>
            <w:pPr>
              <w:spacing w:after="0"/>
            </w:pPr>
            <w:r>
              <w:rPr>
                <w:b w:val="0"/>
                <w:i w:val="0"/>
                <w:color w:val="16261F"/>
                <w:sz w:val="18"/>
              </w:rPr>
              <w:t>On demand; immediately on suspected compromise.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Zoho refresh tokens</w:t>
            </w:r>
          </w:p>
        </w:tc>
        <w:tc>
          <w:tcPr>
            <w:tcW w:type="dxa" w:w="4536"/>
            <w:tcMar>
              <w:top w:w="60" w:type="dxa"/>
              <w:left w:w="110" w:type="dxa"/>
              <w:bottom w:w="60" w:type="dxa"/>
              <w:right w:w="110" w:type="dxa"/>
            </w:tcMar>
            <w:shd w:val="clear" w:color="auto" w:fill="F5F7F5"/>
          </w:tcPr>
          <w:p>
            <w:pPr>
              <w:spacing w:after="0"/>
            </w:pPr>
            <w:r>
              <w:rPr>
                <w:b w:val="0"/>
                <w:i w:val="0"/>
                <w:color w:val="16261F"/>
                <w:sz w:val="18"/>
              </w:rPr>
              <w:t>As above, per brand.</w:t>
            </w:r>
          </w:p>
        </w:tc>
        <w:tc>
          <w:tcPr>
            <w:tcW w:type="dxa" w:w="2880"/>
            <w:tcMar>
              <w:top w:w="60" w:type="dxa"/>
              <w:left w:w="110" w:type="dxa"/>
              <w:bottom w:w="60" w:type="dxa"/>
              <w:right w:w="110" w:type="dxa"/>
            </w:tcMar>
            <w:shd w:val="clear" w:color="auto" w:fill="F5F7F5"/>
          </w:tcPr>
          <w:p>
            <w:pPr>
              <w:spacing w:after="0"/>
            </w:pPr>
            <w:r>
              <w:rPr>
                <w:b w:val="0"/>
                <w:i w:val="0"/>
                <w:color w:val="16261F"/>
                <w:sz w:val="18"/>
              </w:rPr>
              <w:t>Automatic on provider rotation; on disconnect the record is destroyed.</w:t>
            </w:r>
          </w:p>
        </w:tc>
      </w:tr>
      <w:tr>
        <w:tc>
          <w:tcPr>
            <w:tcW w:type="dxa" w:w="1944"/>
            <w:tcMar>
              <w:top w:w="60" w:type="dxa"/>
              <w:left w:w="110" w:type="dxa"/>
              <w:bottom w:w="60" w:type="dxa"/>
              <w:right w:w="110" w:type="dxa"/>
            </w:tcMar>
          </w:tcPr>
          <w:p>
            <w:pPr>
              <w:spacing w:after="0"/>
            </w:pPr>
            <w:r>
              <w:rPr>
                <w:b w:val="0"/>
                <w:i w:val="0"/>
                <w:color w:val="16261F"/>
                <w:sz w:val="18"/>
              </w:rPr>
              <w:t>Session tokens</w:t>
            </w:r>
          </w:p>
        </w:tc>
        <w:tc>
          <w:tcPr>
            <w:tcW w:type="dxa" w:w="4536"/>
            <w:tcMar>
              <w:top w:w="60" w:type="dxa"/>
              <w:left w:w="110" w:type="dxa"/>
              <w:bottom w:w="60" w:type="dxa"/>
              <w:right w:w="110" w:type="dxa"/>
            </w:tcMar>
          </w:tcPr>
          <w:p>
            <w:pPr>
              <w:spacing w:after="0"/>
            </w:pPr>
            <w:r>
              <w:rPr>
                <w:b w:val="0"/>
                <w:i w:val="0"/>
                <w:color w:val="16261F"/>
                <w:sz w:val="18"/>
              </w:rPr>
              <w:t>Only the hash is stored; the plaintext exists solely in the client cookie.</w:t>
            </w:r>
          </w:p>
        </w:tc>
        <w:tc>
          <w:tcPr>
            <w:tcW w:type="dxa" w:w="2880"/>
            <w:tcMar>
              <w:top w:w="60" w:type="dxa"/>
              <w:left w:w="110" w:type="dxa"/>
              <w:bottom w:w="60" w:type="dxa"/>
              <w:right w:w="110" w:type="dxa"/>
            </w:tcMar>
          </w:tcPr>
          <w:p>
            <w:pPr>
              <w:spacing w:after="0"/>
            </w:pPr>
            <w:r>
              <w:rPr>
                <w:b w:val="0"/>
                <w:i w:val="0"/>
                <w:color w:val="16261F"/>
                <w:sz w:val="18"/>
              </w:rPr>
              <w:t>On sign-in and on privilege change.</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Password hashes</w:t>
            </w:r>
          </w:p>
        </w:tc>
        <w:tc>
          <w:tcPr>
            <w:tcW w:type="dxa" w:w="4536"/>
            <w:tcMar>
              <w:top w:w="60" w:type="dxa"/>
              <w:left w:w="110" w:type="dxa"/>
              <w:bottom w:w="60" w:type="dxa"/>
              <w:right w:w="110" w:type="dxa"/>
            </w:tcMar>
            <w:shd w:val="clear" w:color="auto" w:fill="F5F7F5"/>
          </w:tcPr>
          <w:p>
            <w:pPr>
              <w:spacing w:after="0"/>
            </w:pPr>
            <w:r>
              <w:rPr>
                <w:b w:val="0"/>
                <w:i w:val="0"/>
                <w:color w:val="16261F"/>
                <w:sz w:val="18"/>
              </w:rPr>
              <w:t>Argon2id, per-user salt.</w:t>
            </w:r>
          </w:p>
        </w:tc>
        <w:tc>
          <w:tcPr>
            <w:tcW w:type="dxa" w:w="2880"/>
            <w:tcMar>
              <w:top w:w="60" w:type="dxa"/>
              <w:left w:w="110" w:type="dxa"/>
              <w:bottom w:w="60" w:type="dxa"/>
              <w:right w:w="110" w:type="dxa"/>
            </w:tcMar>
            <w:shd w:val="clear" w:color="auto" w:fill="F5F7F5"/>
          </w:tcPr>
          <w:p>
            <w:pPr>
              <w:spacing w:after="0"/>
            </w:pPr>
            <w:r>
              <w:rPr>
                <w:b w:val="0"/>
                <w:i w:val="0"/>
                <w:color w:val="16261F"/>
                <w:sz w:val="18"/>
              </w:rPr>
              <w:t>On user password change.</w:t>
            </w:r>
          </w:p>
        </w:tc>
      </w:tr>
      <w:tr>
        <w:tc>
          <w:tcPr>
            <w:tcW w:type="dxa" w:w="1944"/>
            <w:tcMar>
              <w:top w:w="60" w:type="dxa"/>
              <w:left w:w="110" w:type="dxa"/>
              <w:bottom w:w="60" w:type="dxa"/>
              <w:right w:w="110" w:type="dxa"/>
            </w:tcMar>
          </w:tcPr>
          <w:p>
            <w:pPr>
              <w:spacing w:after="0"/>
            </w:pPr>
            <w:r>
              <w:rPr>
                <w:b w:val="0"/>
                <w:i w:val="0"/>
                <w:color w:val="16261F"/>
                <w:sz w:val="18"/>
              </w:rPr>
              <w:t>Platform API keys</w:t>
            </w:r>
          </w:p>
        </w:tc>
        <w:tc>
          <w:tcPr>
            <w:tcW w:type="dxa" w:w="4536"/>
            <w:tcMar>
              <w:top w:w="60" w:type="dxa"/>
              <w:left w:w="110" w:type="dxa"/>
              <w:bottom w:w="60" w:type="dxa"/>
              <w:right w:w="110" w:type="dxa"/>
            </w:tcMar>
          </w:tcPr>
          <w:p>
            <w:pPr>
              <w:spacing w:after="0"/>
            </w:pPr>
            <w:r>
              <w:rPr>
                <w:b w:val="0"/>
                <w:i w:val="0"/>
                <w:color w:val="16261F"/>
                <w:sz w:val="18"/>
              </w:rPr>
              <w:t>Hashed. Displayed in full exactly once at creation (FR-SYS-004).</w:t>
            </w:r>
          </w:p>
        </w:tc>
        <w:tc>
          <w:tcPr>
            <w:tcW w:type="dxa" w:w="2880"/>
            <w:tcMar>
              <w:top w:w="60" w:type="dxa"/>
              <w:left w:w="110" w:type="dxa"/>
              <w:bottom w:w="60" w:type="dxa"/>
              <w:right w:w="110" w:type="dxa"/>
            </w:tcMar>
          </w:tcPr>
          <w:p>
            <w:pPr>
              <w:spacing w:after="0"/>
            </w:pPr>
            <w:r>
              <w:rPr>
                <w:b w:val="0"/>
                <w:i w:val="0"/>
                <w:color w:val="16261F"/>
                <w:sz w:val="18"/>
              </w:rPr>
              <w:t>Manual; revocable immediately.</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Webhook signing secrets</w:t>
            </w:r>
          </w:p>
        </w:tc>
        <w:tc>
          <w:tcPr>
            <w:tcW w:type="dxa" w:w="4536"/>
            <w:tcMar>
              <w:top w:w="60" w:type="dxa"/>
              <w:left w:w="110" w:type="dxa"/>
              <w:bottom w:w="60" w:type="dxa"/>
              <w:right w:w="110" w:type="dxa"/>
            </w:tcMar>
            <w:shd w:val="clear" w:color="auto" w:fill="F5F7F5"/>
          </w:tcPr>
          <w:p>
            <w:pPr>
              <w:spacing w:after="0"/>
            </w:pPr>
            <w:r>
              <w:rPr>
                <w:b w:val="0"/>
                <w:i w:val="0"/>
                <w:color w:val="16261F"/>
                <w:sz w:val="18"/>
              </w:rPr>
              <w:t>Managed key service, per brand per provider.</w:t>
            </w:r>
          </w:p>
        </w:tc>
        <w:tc>
          <w:tcPr>
            <w:tcW w:type="dxa" w:w="2880"/>
            <w:tcMar>
              <w:top w:w="60" w:type="dxa"/>
              <w:left w:w="110" w:type="dxa"/>
              <w:bottom w:w="60" w:type="dxa"/>
              <w:right w:w="110" w:type="dxa"/>
            </w:tcMar>
            <w:shd w:val="clear" w:color="auto" w:fill="F5F7F5"/>
          </w:tcPr>
          <w:p>
            <w:pPr>
              <w:spacing w:after="0"/>
            </w:pPr>
            <w:r>
              <w:rPr>
                <w:b w:val="0"/>
                <w:i w:val="0"/>
                <w:color w:val="16261F"/>
                <w:sz w:val="18"/>
              </w:rPr>
              <w:t>Coordinated with the provider.</w:t>
            </w:r>
          </w:p>
        </w:tc>
      </w:tr>
    </w:tbl>
    <w:p>
      <w:pPr>
        <w:pStyle w:val="Heading2"/>
      </w:pPr>
      <w:r>
        <w:t>15.3 Content Security Policy on the payment page</w:t>
      </w:r>
    </w:p>
    <w:p>
      <w:pPr>
        <w:spacing w:after="140"/>
      </w:pPr>
      <w:r>
        <w:rPr>
          <w:b w:val="0"/>
          <w:i w:val="0"/>
          <w:color w:val="16261F"/>
          <w:sz w:val="21"/>
        </w:rPr>
        <w:t>The payment page carries the strictest policy in the system. This is what keeps the application inside PCI SAQ A and what makes the Phase 2 page designer safe to ship.</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default-src  'self'                                                  </w:t>
            </w:r>
          </w:p>
          <w:p>
            <w:pPr>
              <w:spacing w:after="0" w:line="240" w:lineRule="auto"/>
            </w:pPr>
            <w:r>
              <w:rPr>
                <w:rFonts w:ascii="Consolas" w:hAnsi="Consolas"/>
                <w:color w:val="16261F"/>
                <w:sz w:val="17"/>
              </w:rPr>
              <w:t xml:space="preserve">  script-src   'self' &lt;gateway-origin&gt;        ── no 'unsafe-inline'   </w:t>
            </w:r>
          </w:p>
          <w:p>
            <w:pPr>
              <w:spacing w:after="0" w:line="240" w:lineRule="auto"/>
            </w:pPr>
            <w:r>
              <w:rPr>
                <w:rFonts w:ascii="Consolas" w:hAnsi="Consolas"/>
                <w:color w:val="16261F"/>
                <w:sz w:val="17"/>
              </w:rPr>
              <w:t xml:space="preserve">  style-src    'self' 'nonce-&lt;per-request&gt;'   ── no arbitrary inline  </w:t>
            </w:r>
          </w:p>
          <w:p>
            <w:pPr>
              <w:spacing w:after="0" w:line="240" w:lineRule="auto"/>
            </w:pPr>
            <w:r>
              <w:rPr>
                <w:rFonts w:ascii="Consolas" w:hAnsi="Consolas"/>
                <w:color w:val="16261F"/>
                <w:sz w:val="17"/>
              </w:rPr>
              <w:t xml:space="preserve">  frame-src    &lt;gateway-origin&gt;               ── hosted fields only   </w:t>
            </w:r>
          </w:p>
          <w:p>
            <w:pPr>
              <w:spacing w:after="0" w:line="240" w:lineRule="auto"/>
            </w:pPr>
            <w:r>
              <w:rPr>
                <w:rFonts w:ascii="Consolas" w:hAnsi="Consolas"/>
                <w:color w:val="16261F"/>
                <w:sz w:val="17"/>
              </w:rPr>
              <w:t xml:space="preserve">  connect-src  'self' &lt;gateway-origin&gt;                                 </w:t>
            </w:r>
          </w:p>
          <w:p>
            <w:pPr>
              <w:spacing w:after="0" w:line="240" w:lineRule="auto"/>
            </w:pPr>
            <w:r>
              <w:rPr>
                <w:rFonts w:ascii="Consolas" w:hAnsi="Consolas"/>
                <w:color w:val="16261F"/>
                <w:sz w:val="17"/>
              </w:rPr>
              <w:t xml:space="preserve">  img-src      'self' data: &lt;cdn-origin&gt;                               </w:t>
            </w:r>
          </w:p>
          <w:p>
            <w:pPr>
              <w:spacing w:after="0" w:line="240" w:lineRule="auto"/>
            </w:pPr>
            <w:r>
              <w:rPr>
                <w:rFonts w:ascii="Consolas" w:hAnsi="Consolas"/>
                <w:color w:val="16261F"/>
                <w:sz w:val="17"/>
              </w:rPr>
              <w:t xml:space="preserve">  form-action  'self'                                                  </w:t>
            </w:r>
          </w:p>
          <w:p>
            <w:pPr>
              <w:spacing w:after="0" w:line="240" w:lineRule="auto"/>
            </w:pPr>
            <w:r>
              <w:rPr>
                <w:rFonts w:ascii="Consolas" w:hAnsi="Consolas"/>
                <w:color w:val="16261F"/>
                <w:sz w:val="17"/>
              </w:rPr>
              <w:t xml:space="preserve">  frame-ancestors 'none'                      ── blocks clickjacking  </w:t>
            </w:r>
          </w:p>
          <w:p>
            <w:pPr>
              <w:spacing w:after="0" w:line="240" w:lineRule="auto"/>
            </w:pPr>
            <w:r>
              <w:rPr>
                <w:rFonts w:ascii="Consolas" w:hAnsi="Consolas"/>
                <w:color w:val="16261F"/>
                <w:sz w:val="17"/>
              </w:rPr>
              <w:t xml:space="preserve">  upgrade-insecure-requests                                            </w:t>
            </w:r>
          </w:p>
        </w:tc>
      </w:tr>
    </w:tbl>
    <w:p>
      <w:pPr>
        <w:spacing w:after="40"/>
      </w:pPr>
    </w:p>
    <w:p>
      <w:pPr>
        <w:pBdr>
          <w:left w:val="single" w:sz="18" w:space="10" w:color="2D6A6A"/>
        </w:pBdr>
        <w:shd w:val="clear" w:color="auto" w:fill="EDF1EE"/>
        <w:spacing w:before="160" w:after="180"/>
        <w:ind w:left="173"/>
      </w:pPr>
      <w:r>
        <w:rPr>
          <w:b/>
          <w:color w:val="2D6A6A"/>
          <w:sz w:val="17"/>
        </w:rPr>
        <w:t xml:space="preserve">CONSTRAINT ON THE PAGE DESIGNER  </w:t>
      </w:r>
      <w:r>
        <w:rPr>
          <w:color w:val="16261F"/>
          <w:sz w:val="20"/>
        </w:rPr>
        <w:t>FR-DSG-009 requires that generated designs cannot introduce executable script. The policy above enforces it structurally: generated output is restricted to a fixed vocabulary of nonce-approved style tokens, never raw markup or style strings. A design that cannot be expressed in that vocabulary is rejected at generation time rather than sanitised afterwards.</w:t>
      </w:r>
    </w:p>
    <w:p>
      <w:r>
        <w:br w:type="page"/>
      </w:r>
    </w:p>
    <w:p>
      <w:pPr>
        <w:pStyle w:val="Heading1"/>
      </w:pPr>
      <w:r>
        <w:t>16. Failure handling and resilience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800"/>
            <w:shd w:val="clear" w:color="auto" w:fill="16261F"/>
            <w:tcMar>
              <w:top w:w="70" w:type="dxa"/>
              <w:left w:w="110" w:type="dxa"/>
              <w:bottom w:w="70" w:type="dxa"/>
              <w:right w:w="110" w:type="dxa"/>
            </w:tcMar>
          </w:tcPr>
          <w:p>
            <w:pPr>
              <w:spacing w:after="0"/>
            </w:pPr>
            <w:r>
              <w:rPr>
                <w:rFonts w:ascii="Calibri" w:hAnsi="Calibri"/>
                <w:b/>
                <w:color w:val="FFFFFF"/>
                <w:sz w:val="16"/>
              </w:rPr>
              <w:t>Failure</w:t>
            </w:r>
          </w:p>
        </w:tc>
        <w:tc>
          <w:tcPr>
            <w:tcW w:type="dxa" w:w="2016"/>
            <w:shd w:val="clear" w:color="auto" w:fill="16261F"/>
            <w:tcMar>
              <w:top w:w="70" w:type="dxa"/>
              <w:left w:w="110" w:type="dxa"/>
              <w:bottom w:w="70" w:type="dxa"/>
              <w:right w:w="110" w:type="dxa"/>
            </w:tcMar>
          </w:tcPr>
          <w:p>
            <w:pPr>
              <w:spacing w:after="0"/>
            </w:pPr>
            <w:r>
              <w:rPr>
                <w:rFonts w:ascii="Calibri" w:hAnsi="Calibri"/>
                <w:b/>
                <w:color w:val="FFFFFF"/>
                <w:sz w:val="16"/>
              </w:rPr>
              <w:t>Detection</w:t>
            </w:r>
          </w:p>
        </w:tc>
        <w:tc>
          <w:tcPr>
            <w:tcW w:type="dxa" w:w="3096"/>
            <w:shd w:val="clear" w:color="auto" w:fill="16261F"/>
            <w:tcMar>
              <w:top w:w="70" w:type="dxa"/>
              <w:left w:w="110" w:type="dxa"/>
              <w:bottom w:w="70" w:type="dxa"/>
              <w:right w:w="110" w:type="dxa"/>
            </w:tcMar>
          </w:tcPr>
          <w:p>
            <w:pPr>
              <w:spacing w:after="0"/>
            </w:pPr>
            <w:r>
              <w:rPr>
                <w:rFonts w:ascii="Calibri" w:hAnsi="Calibri"/>
                <w:b/>
                <w:color w:val="FFFFFF"/>
                <w:sz w:val="16"/>
              </w:rPr>
              <w:t>Response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6"/>
              </w:rPr>
              <w:t>Customer impact</w:t>
            </w:r>
          </w:p>
        </w:tc>
      </w:tr>
      <w:tr>
        <w:tc>
          <w:tcPr>
            <w:tcW w:type="dxa" w:w="1800"/>
            <w:tcMar>
              <w:top w:w="60" w:type="dxa"/>
              <w:left w:w="110" w:type="dxa"/>
              <w:bottom w:w="60" w:type="dxa"/>
              <w:right w:w="110" w:type="dxa"/>
            </w:tcMar>
          </w:tcPr>
          <w:p>
            <w:pPr>
              <w:spacing w:after="0"/>
            </w:pPr>
            <w:r>
              <w:rPr>
                <w:b w:val="0"/>
                <w:i w:val="0"/>
                <w:color w:val="16261F"/>
                <w:sz w:val="17"/>
              </w:rPr>
              <w:t>Gateway unreachable</w:t>
            </w:r>
          </w:p>
        </w:tc>
        <w:tc>
          <w:tcPr>
            <w:tcW w:type="dxa" w:w="2016"/>
            <w:tcMar>
              <w:top w:w="60" w:type="dxa"/>
              <w:left w:w="110" w:type="dxa"/>
              <w:bottom w:w="60" w:type="dxa"/>
              <w:right w:w="110" w:type="dxa"/>
            </w:tcMar>
          </w:tcPr>
          <w:p>
            <w:pPr>
              <w:spacing w:after="0"/>
            </w:pPr>
            <w:r>
              <w:rPr>
                <w:b w:val="0"/>
                <w:i w:val="0"/>
                <w:color w:val="16261F"/>
                <w:sz w:val="17"/>
              </w:rPr>
              <w:t>Timeout, circuit breaker opens</w:t>
            </w:r>
          </w:p>
        </w:tc>
        <w:tc>
          <w:tcPr>
            <w:tcW w:type="dxa" w:w="3096"/>
            <w:tcMar>
              <w:top w:w="60" w:type="dxa"/>
              <w:left w:w="110" w:type="dxa"/>
              <w:bottom w:w="60" w:type="dxa"/>
              <w:right w:w="110" w:type="dxa"/>
            </w:tcMar>
          </w:tcPr>
          <w:p>
            <w:pPr>
              <w:spacing w:after="0"/>
            </w:pPr>
            <w:r>
              <w:rPr>
                <w:b w:val="0"/>
                <w:i w:val="0"/>
                <w:color w:val="16261F"/>
                <w:sz w:val="17"/>
              </w:rPr>
              <w:t>Payment methods disabled with a clear message; invoice state untouched</w:t>
            </w:r>
          </w:p>
        </w:tc>
        <w:tc>
          <w:tcPr>
            <w:tcW w:type="dxa" w:w="2448"/>
            <w:tcMar>
              <w:top w:w="60" w:type="dxa"/>
              <w:left w:w="110" w:type="dxa"/>
              <w:bottom w:w="60" w:type="dxa"/>
              <w:right w:w="110" w:type="dxa"/>
            </w:tcMar>
          </w:tcPr>
          <w:p>
            <w:pPr>
              <w:spacing w:after="0"/>
            </w:pPr>
            <w:r>
              <w:rPr>
                <w:b w:val="0"/>
                <w:i w:val="0"/>
                <w:color w:val="16261F"/>
                <w:sz w:val="17"/>
              </w:rPr>
              <w:t>Cannot pay by card; can still view and download</w:t>
            </w:r>
          </w:p>
        </w:tc>
      </w:tr>
      <w:tr>
        <w:tc>
          <w:tcPr>
            <w:tcW w:type="dxa" w:w="1800"/>
            <w:tcMar>
              <w:top w:w="60" w:type="dxa"/>
              <w:left w:w="110" w:type="dxa"/>
              <w:bottom w:w="60" w:type="dxa"/>
              <w:right w:w="110" w:type="dxa"/>
            </w:tcMar>
            <w:shd w:val="clear" w:color="auto" w:fill="F5F7F5"/>
          </w:tcPr>
          <w:p>
            <w:pPr>
              <w:spacing w:after="0"/>
            </w:pPr>
            <w:r>
              <w:rPr>
                <w:b w:val="0"/>
                <w:i w:val="0"/>
                <w:color w:val="16261F"/>
                <w:sz w:val="17"/>
              </w:rPr>
              <w:t>Gateway webhook lost</w:t>
            </w:r>
          </w:p>
        </w:tc>
        <w:tc>
          <w:tcPr>
            <w:tcW w:type="dxa" w:w="2016"/>
            <w:tcMar>
              <w:top w:w="60" w:type="dxa"/>
              <w:left w:w="110" w:type="dxa"/>
              <w:bottom w:w="60" w:type="dxa"/>
              <w:right w:w="110" w:type="dxa"/>
            </w:tcMar>
            <w:shd w:val="clear" w:color="auto" w:fill="F5F7F5"/>
          </w:tcPr>
          <w:p>
            <w:pPr>
              <w:spacing w:after="0"/>
            </w:pPr>
            <w:r>
              <w:rPr>
                <w:b w:val="0"/>
                <w:i w:val="0"/>
                <w:color w:val="16261F"/>
                <w:sz w:val="17"/>
              </w:rPr>
              <w:t>Reconciliation job finds an intent with no terminal event</w:t>
            </w:r>
          </w:p>
        </w:tc>
        <w:tc>
          <w:tcPr>
            <w:tcW w:type="dxa" w:w="3096"/>
            <w:tcMar>
              <w:top w:w="60" w:type="dxa"/>
              <w:left w:w="110" w:type="dxa"/>
              <w:bottom w:w="60" w:type="dxa"/>
              <w:right w:w="110" w:type="dxa"/>
            </w:tcMar>
            <w:shd w:val="clear" w:color="auto" w:fill="F5F7F5"/>
          </w:tcPr>
          <w:p>
            <w:pPr>
              <w:spacing w:after="0"/>
            </w:pPr>
            <w:r>
              <w:rPr>
                <w:b w:val="0"/>
                <w:i w:val="0"/>
                <w:color w:val="16261F"/>
                <w:sz w:val="17"/>
              </w:rPr>
              <w:t>Poll the gateway for authoritative status; reconcile</w:t>
            </w:r>
          </w:p>
        </w:tc>
        <w:tc>
          <w:tcPr>
            <w:tcW w:type="dxa" w:w="2448"/>
            <w:tcMar>
              <w:top w:w="60" w:type="dxa"/>
              <w:left w:w="110" w:type="dxa"/>
              <w:bottom w:w="60" w:type="dxa"/>
              <w:right w:w="110" w:type="dxa"/>
            </w:tcMar>
            <w:shd w:val="clear" w:color="auto" w:fill="F5F7F5"/>
          </w:tcPr>
          <w:p>
            <w:pPr>
              <w:spacing w:after="0"/>
            </w:pPr>
            <w:r>
              <w:rPr>
                <w:b w:val="0"/>
                <w:i w:val="0"/>
                <w:color w:val="16261F"/>
                <w:sz w:val="17"/>
              </w:rPr>
              <w:t>None if reconciled within the window</w:t>
            </w:r>
          </w:p>
        </w:tc>
      </w:tr>
      <w:tr>
        <w:tc>
          <w:tcPr>
            <w:tcW w:type="dxa" w:w="1800"/>
            <w:tcMar>
              <w:top w:w="60" w:type="dxa"/>
              <w:left w:w="110" w:type="dxa"/>
              <w:bottom w:w="60" w:type="dxa"/>
              <w:right w:w="110" w:type="dxa"/>
            </w:tcMar>
          </w:tcPr>
          <w:p>
            <w:pPr>
              <w:spacing w:after="0"/>
            </w:pPr>
            <w:r>
              <w:rPr>
                <w:b w:val="0"/>
                <w:i w:val="0"/>
                <w:color w:val="16261F"/>
                <w:sz w:val="17"/>
              </w:rPr>
              <w:t>Zoho unavailable</w:t>
            </w:r>
          </w:p>
        </w:tc>
        <w:tc>
          <w:tcPr>
            <w:tcW w:type="dxa" w:w="2016"/>
            <w:tcMar>
              <w:top w:w="60" w:type="dxa"/>
              <w:left w:w="110" w:type="dxa"/>
              <w:bottom w:w="60" w:type="dxa"/>
              <w:right w:w="110" w:type="dxa"/>
            </w:tcMar>
          </w:tcPr>
          <w:p>
            <w:pPr>
              <w:spacing w:after="0"/>
            </w:pPr>
            <w:r>
              <w:rPr>
                <w:b w:val="0"/>
                <w:i w:val="0"/>
                <w:color w:val="16261F"/>
                <w:sz w:val="17"/>
              </w:rPr>
              <w:t>Health check, consecutive failures</w:t>
            </w:r>
          </w:p>
        </w:tc>
        <w:tc>
          <w:tcPr>
            <w:tcW w:type="dxa" w:w="3096"/>
            <w:tcMar>
              <w:top w:w="60" w:type="dxa"/>
              <w:left w:w="110" w:type="dxa"/>
              <w:bottom w:w="60" w:type="dxa"/>
              <w:right w:w="110" w:type="dxa"/>
            </w:tcMar>
          </w:tcPr>
          <w:p>
            <w:pPr>
              <w:spacing w:after="0"/>
            </w:pPr>
            <w:r>
              <w:rPr>
                <w:b w:val="0"/>
                <w:i w:val="0"/>
                <w:color w:val="16261F"/>
                <w:sz w:val="17"/>
              </w:rPr>
              <w:t>Jobs queue; connection marked degraded; alert</w:t>
            </w:r>
          </w:p>
        </w:tc>
        <w:tc>
          <w:tcPr>
            <w:tcW w:type="dxa" w:w="2448"/>
            <w:tcMar>
              <w:top w:w="60" w:type="dxa"/>
              <w:left w:w="110" w:type="dxa"/>
              <w:bottom w:w="60" w:type="dxa"/>
              <w:right w:w="110" w:type="dxa"/>
            </w:tcMar>
          </w:tcPr>
          <w:p>
            <w:pPr>
              <w:spacing w:after="0"/>
            </w:pPr>
            <w:r>
              <w:rPr>
                <w:b w:val="0"/>
                <w:i w:val="0"/>
                <w:color w:val="16261F"/>
                <w:sz w:val="17"/>
              </w:rPr>
              <w:t>None</w:t>
            </w:r>
          </w:p>
        </w:tc>
      </w:tr>
      <w:tr>
        <w:tc>
          <w:tcPr>
            <w:tcW w:type="dxa" w:w="1800"/>
            <w:tcMar>
              <w:top w:w="60" w:type="dxa"/>
              <w:left w:w="110" w:type="dxa"/>
              <w:bottom w:w="60" w:type="dxa"/>
              <w:right w:w="110" w:type="dxa"/>
            </w:tcMar>
            <w:shd w:val="clear" w:color="auto" w:fill="F5F7F5"/>
          </w:tcPr>
          <w:p>
            <w:pPr>
              <w:spacing w:after="0"/>
            </w:pPr>
            <w:r>
              <w:rPr>
                <w:b w:val="0"/>
                <w:i w:val="0"/>
                <w:color w:val="16261F"/>
                <w:sz w:val="17"/>
              </w:rPr>
              <w:t>Zoho token revoked</w:t>
            </w:r>
          </w:p>
        </w:tc>
        <w:tc>
          <w:tcPr>
            <w:tcW w:type="dxa" w:w="2016"/>
            <w:tcMar>
              <w:top w:w="60" w:type="dxa"/>
              <w:left w:w="110" w:type="dxa"/>
              <w:bottom w:w="60" w:type="dxa"/>
              <w:right w:w="110" w:type="dxa"/>
            </w:tcMar>
            <w:shd w:val="clear" w:color="auto" w:fill="F5F7F5"/>
          </w:tcPr>
          <w:p>
            <w:pPr>
              <w:spacing w:after="0"/>
            </w:pPr>
            <w:r>
              <w:rPr>
                <w:b w:val="0"/>
                <w:i w:val="0"/>
                <w:color w:val="16261F"/>
                <w:sz w:val="17"/>
              </w:rPr>
              <w:t>401 on any call</w:t>
            </w:r>
          </w:p>
        </w:tc>
        <w:tc>
          <w:tcPr>
            <w:tcW w:type="dxa" w:w="3096"/>
            <w:tcMar>
              <w:top w:w="60" w:type="dxa"/>
              <w:left w:w="110" w:type="dxa"/>
              <w:bottom w:w="60" w:type="dxa"/>
              <w:right w:w="110" w:type="dxa"/>
            </w:tcMar>
            <w:shd w:val="clear" w:color="auto" w:fill="F5F7F5"/>
          </w:tcPr>
          <w:p>
            <w:pPr>
              <w:spacing w:after="0"/>
            </w:pPr>
            <w:r>
              <w:rPr>
                <w:b w:val="0"/>
                <w:i w:val="0"/>
                <w:color w:val="16261F"/>
                <w:sz w:val="17"/>
              </w:rPr>
              <w:t>Halt this brand's stream; alert; require reauthorisation</w:t>
            </w:r>
          </w:p>
        </w:tc>
        <w:tc>
          <w:tcPr>
            <w:tcW w:type="dxa" w:w="2448"/>
            <w:tcMar>
              <w:top w:w="60" w:type="dxa"/>
              <w:left w:w="110" w:type="dxa"/>
              <w:bottom w:w="60" w:type="dxa"/>
              <w:right w:w="110" w:type="dxa"/>
            </w:tcMar>
            <w:shd w:val="clear" w:color="auto" w:fill="F5F7F5"/>
          </w:tcPr>
          <w:p>
            <w:pPr>
              <w:spacing w:after="0"/>
            </w:pPr>
            <w:r>
              <w:rPr>
                <w:b w:val="0"/>
                <w:i w:val="0"/>
                <w:color w:val="16261F"/>
                <w:sz w:val="17"/>
              </w:rPr>
              <w:t>None</w:t>
            </w:r>
          </w:p>
        </w:tc>
      </w:tr>
      <w:tr>
        <w:tc>
          <w:tcPr>
            <w:tcW w:type="dxa" w:w="1800"/>
            <w:tcMar>
              <w:top w:w="60" w:type="dxa"/>
              <w:left w:w="110" w:type="dxa"/>
              <w:bottom w:w="60" w:type="dxa"/>
              <w:right w:w="110" w:type="dxa"/>
            </w:tcMar>
          </w:tcPr>
          <w:p>
            <w:pPr>
              <w:spacing w:after="0"/>
            </w:pPr>
            <w:r>
              <w:rPr>
                <w:b w:val="0"/>
                <w:i w:val="0"/>
                <w:color w:val="16261F"/>
                <w:sz w:val="17"/>
              </w:rPr>
              <w:t>Email provider down</w:t>
            </w:r>
          </w:p>
        </w:tc>
        <w:tc>
          <w:tcPr>
            <w:tcW w:type="dxa" w:w="2016"/>
            <w:tcMar>
              <w:top w:w="60" w:type="dxa"/>
              <w:left w:w="110" w:type="dxa"/>
              <w:bottom w:w="60" w:type="dxa"/>
              <w:right w:w="110" w:type="dxa"/>
            </w:tcMar>
          </w:tcPr>
          <w:p>
            <w:pPr>
              <w:spacing w:after="0"/>
            </w:pPr>
            <w:r>
              <w:rPr>
                <w:b w:val="0"/>
                <w:i w:val="0"/>
                <w:color w:val="16261F"/>
                <w:sz w:val="17"/>
              </w:rPr>
              <w:t>Send failure</w:t>
            </w:r>
          </w:p>
        </w:tc>
        <w:tc>
          <w:tcPr>
            <w:tcW w:type="dxa" w:w="3096"/>
            <w:tcMar>
              <w:top w:w="60" w:type="dxa"/>
              <w:left w:w="110" w:type="dxa"/>
              <w:bottom w:w="60" w:type="dxa"/>
              <w:right w:w="110" w:type="dxa"/>
            </w:tcMar>
          </w:tcPr>
          <w:p>
            <w:pPr>
              <w:spacing w:after="0"/>
            </w:pPr>
            <w:r>
              <w:rPr>
                <w:b w:val="0"/>
                <w:i w:val="0"/>
                <w:color w:val="16261F"/>
                <w:sz w:val="17"/>
              </w:rPr>
              <w:t>Queue and retry; alert if backlog exceeds threshold</w:t>
            </w:r>
          </w:p>
        </w:tc>
        <w:tc>
          <w:tcPr>
            <w:tcW w:type="dxa" w:w="2448"/>
            <w:tcMar>
              <w:top w:w="60" w:type="dxa"/>
              <w:left w:w="110" w:type="dxa"/>
              <w:bottom w:w="60" w:type="dxa"/>
              <w:right w:w="110" w:type="dxa"/>
            </w:tcMar>
          </w:tcPr>
          <w:p>
            <w:pPr>
              <w:spacing w:after="0"/>
            </w:pPr>
            <w:r>
              <w:rPr>
                <w:b w:val="0"/>
                <w:i w:val="0"/>
                <w:color w:val="16261F"/>
                <w:sz w:val="17"/>
              </w:rPr>
              <w:t>Invoice arrives late</w:t>
            </w:r>
          </w:p>
        </w:tc>
      </w:tr>
      <w:tr>
        <w:tc>
          <w:tcPr>
            <w:tcW w:type="dxa" w:w="1800"/>
            <w:tcMar>
              <w:top w:w="60" w:type="dxa"/>
              <w:left w:w="110" w:type="dxa"/>
              <w:bottom w:w="60" w:type="dxa"/>
              <w:right w:w="110" w:type="dxa"/>
            </w:tcMar>
            <w:shd w:val="clear" w:color="auto" w:fill="F5F7F5"/>
          </w:tcPr>
          <w:p>
            <w:pPr>
              <w:spacing w:after="0"/>
            </w:pPr>
            <w:r>
              <w:rPr>
                <w:b w:val="0"/>
                <w:i w:val="0"/>
                <w:color w:val="16261F"/>
                <w:sz w:val="17"/>
              </w:rPr>
              <w:t>Database primary lost</w:t>
            </w:r>
          </w:p>
        </w:tc>
        <w:tc>
          <w:tcPr>
            <w:tcW w:type="dxa" w:w="2016"/>
            <w:tcMar>
              <w:top w:w="60" w:type="dxa"/>
              <w:left w:w="110" w:type="dxa"/>
              <w:bottom w:w="60" w:type="dxa"/>
              <w:right w:w="110" w:type="dxa"/>
            </w:tcMar>
            <w:shd w:val="clear" w:color="auto" w:fill="F5F7F5"/>
          </w:tcPr>
          <w:p>
            <w:pPr>
              <w:spacing w:after="0"/>
            </w:pPr>
            <w:r>
              <w:rPr>
                <w:b w:val="0"/>
                <w:i w:val="0"/>
                <w:color w:val="16261F"/>
                <w:sz w:val="17"/>
              </w:rPr>
              <w:t>Health check failure</w:t>
            </w:r>
          </w:p>
        </w:tc>
        <w:tc>
          <w:tcPr>
            <w:tcW w:type="dxa" w:w="3096"/>
            <w:tcMar>
              <w:top w:w="60" w:type="dxa"/>
              <w:left w:w="110" w:type="dxa"/>
              <w:bottom w:w="60" w:type="dxa"/>
              <w:right w:w="110" w:type="dxa"/>
            </w:tcMar>
            <w:shd w:val="clear" w:color="auto" w:fill="F5F7F5"/>
          </w:tcPr>
          <w:p>
            <w:pPr>
              <w:spacing w:after="0"/>
            </w:pPr>
            <w:r>
              <w:rPr>
                <w:b w:val="0"/>
                <w:i w:val="0"/>
                <w:color w:val="16261F"/>
                <w:sz w:val="17"/>
              </w:rPr>
              <w:t>Failover to standby; RPO 15 min, RTO 4 hr</w:t>
            </w:r>
          </w:p>
        </w:tc>
        <w:tc>
          <w:tcPr>
            <w:tcW w:type="dxa" w:w="2448"/>
            <w:tcMar>
              <w:top w:w="60" w:type="dxa"/>
              <w:left w:w="110" w:type="dxa"/>
              <w:bottom w:w="60" w:type="dxa"/>
              <w:right w:w="110" w:type="dxa"/>
            </w:tcMar>
            <w:shd w:val="clear" w:color="auto" w:fill="F5F7F5"/>
          </w:tcPr>
          <w:p>
            <w:pPr>
              <w:spacing w:after="0"/>
            </w:pPr>
            <w:r>
              <w:rPr>
                <w:b w:val="0"/>
                <w:i w:val="0"/>
                <w:color w:val="16261F"/>
                <w:sz w:val="17"/>
              </w:rPr>
              <w:t>Brief unavailability</w:t>
            </w:r>
          </w:p>
        </w:tc>
      </w:tr>
      <w:tr>
        <w:tc>
          <w:tcPr>
            <w:tcW w:type="dxa" w:w="1800"/>
            <w:tcMar>
              <w:top w:w="60" w:type="dxa"/>
              <w:left w:w="110" w:type="dxa"/>
              <w:bottom w:w="60" w:type="dxa"/>
              <w:right w:w="110" w:type="dxa"/>
            </w:tcMar>
          </w:tcPr>
          <w:p>
            <w:pPr>
              <w:spacing w:after="0"/>
            </w:pPr>
            <w:r>
              <w:rPr>
                <w:b w:val="0"/>
                <w:i w:val="0"/>
                <w:color w:val="16261F"/>
                <w:sz w:val="17"/>
              </w:rPr>
              <w:t>Object storage unavailable</w:t>
            </w:r>
          </w:p>
        </w:tc>
        <w:tc>
          <w:tcPr>
            <w:tcW w:type="dxa" w:w="2016"/>
            <w:tcMar>
              <w:top w:w="60" w:type="dxa"/>
              <w:left w:w="110" w:type="dxa"/>
              <w:bottom w:w="60" w:type="dxa"/>
              <w:right w:w="110" w:type="dxa"/>
            </w:tcMar>
          </w:tcPr>
          <w:p>
            <w:pPr>
              <w:spacing w:after="0"/>
            </w:pPr>
            <w:r>
              <w:rPr>
                <w:b w:val="0"/>
                <w:i w:val="0"/>
                <w:color w:val="16261F"/>
                <w:sz w:val="17"/>
              </w:rPr>
              <w:t>Put or get failure</w:t>
            </w:r>
          </w:p>
        </w:tc>
        <w:tc>
          <w:tcPr>
            <w:tcW w:type="dxa" w:w="3096"/>
            <w:tcMar>
              <w:top w:w="60" w:type="dxa"/>
              <w:left w:w="110" w:type="dxa"/>
              <w:bottom w:w="60" w:type="dxa"/>
              <w:right w:w="110" w:type="dxa"/>
            </w:tcMar>
          </w:tcPr>
          <w:p>
            <w:pPr>
              <w:spacing w:after="0"/>
            </w:pPr>
            <w:r>
              <w:rPr>
                <w:b w:val="0"/>
                <w:i w:val="0"/>
                <w:color w:val="16261F"/>
                <w:sz w:val="17"/>
              </w:rPr>
              <w:t>PDF generation defers; payment path unaffected</w:t>
            </w:r>
          </w:p>
        </w:tc>
        <w:tc>
          <w:tcPr>
            <w:tcW w:type="dxa" w:w="2448"/>
            <w:tcMar>
              <w:top w:w="60" w:type="dxa"/>
              <w:left w:w="110" w:type="dxa"/>
              <w:bottom w:w="60" w:type="dxa"/>
              <w:right w:w="110" w:type="dxa"/>
            </w:tcMar>
          </w:tcPr>
          <w:p>
            <w:pPr>
              <w:spacing w:after="0"/>
            </w:pPr>
            <w:r>
              <w:rPr>
                <w:b w:val="0"/>
                <w:i w:val="0"/>
                <w:color w:val="16261F"/>
                <w:sz w:val="17"/>
              </w:rPr>
              <w:t>PDF temporarily unavailable</w:t>
            </w:r>
          </w:p>
        </w:tc>
      </w:tr>
      <w:tr>
        <w:tc>
          <w:tcPr>
            <w:tcW w:type="dxa" w:w="1800"/>
            <w:tcMar>
              <w:top w:w="60" w:type="dxa"/>
              <w:left w:w="110" w:type="dxa"/>
              <w:bottom w:w="60" w:type="dxa"/>
              <w:right w:w="110" w:type="dxa"/>
            </w:tcMar>
            <w:shd w:val="clear" w:color="auto" w:fill="F5F7F5"/>
          </w:tcPr>
          <w:p>
            <w:pPr>
              <w:spacing w:after="0"/>
            </w:pPr>
            <w:r>
              <w:rPr>
                <w:b w:val="0"/>
                <w:i w:val="0"/>
                <w:color w:val="16261F"/>
                <w:sz w:val="17"/>
              </w:rPr>
              <w:t>Worker pool saturated</w:t>
            </w:r>
          </w:p>
        </w:tc>
        <w:tc>
          <w:tcPr>
            <w:tcW w:type="dxa" w:w="2016"/>
            <w:tcMar>
              <w:top w:w="60" w:type="dxa"/>
              <w:left w:w="110" w:type="dxa"/>
              <w:bottom w:w="60" w:type="dxa"/>
              <w:right w:w="110" w:type="dxa"/>
            </w:tcMar>
            <w:shd w:val="clear" w:color="auto" w:fill="F5F7F5"/>
          </w:tcPr>
          <w:p>
            <w:pPr>
              <w:spacing w:after="0"/>
            </w:pPr>
            <w:r>
              <w:rPr>
                <w:b w:val="0"/>
                <w:i w:val="0"/>
                <w:color w:val="16261F"/>
                <w:sz w:val="17"/>
              </w:rPr>
              <w:t>Queue depth alert</w:t>
            </w:r>
          </w:p>
        </w:tc>
        <w:tc>
          <w:tcPr>
            <w:tcW w:type="dxa" w:w="3096"/>
            <w:tcMar>
              <w:top w:w="60" w:type="dxa"/>
              <w:left w:w="110" w:type="dxa"/>
              <w:bottom w:w="60" w:type="dxa"/>
              <w:right w:w="110" w:type="dxa"/>
            </w:tcMar>
            <w:shd w:val="clear" w:color="auto" w:fill="F5F7F5"/>
          </w:tcPr>
          <w:p>
            <w:pPr>
              <w:spacing w:after="0"/>
            </w:pPr>
            <w:r>
              <w:rPr>
                <w:b w:val="0"/>
                <w:i w:val="0"/>
                <w:color w:val="16261F"/>
                <w:sz w:val="17"/>
              </w:rPr>
              <w:t>Auto scale-out; shed lowest-priority queue first</w:t>
            </w:r>
          </w:p>
        </w:tc>
        <w:tc>
          <w:tcPr>
            <w:tcW w:type="dxa" w:w="2448"/>
            <w:tcMar>
              <w:top w:w="60" w:type="dxa"/>
              <w:left w:w="110" w:type="dxa"/>
              <w:bottom w:w="60" w:type="dxa"/>
              <w:right w:w="110" w:type="dxa"/>
            </w:tcMar>
            <w:shd w:val="clear" w:color="auto" w:fill="F5F7F5"/>
          </w:tcPr>
          <w:p>
            <w:pPr>
              <w:spacing w:after="0"/>
            </w:pPr>
            <w:r>
              <w:rPr>
                <w:b w:val="0"/>
                <w:i w:val="0"/>
                <w:color w:val="16261F"/>
                <w:sz w:val="17"/>
              </w:rPr>
              <w:t>Insights degrade before anything else</w:t>
            </w:r>
          </w:p>
        </w:tc>
      </w:tr>
      <w:tr>
        <w:tc>
          <w:tcPr>
            <w:tcW w:type="dxa" w:w="1800"/>
            <w:tcMar>
              <w:top w:w="60" w:type="dxa"/>
              <w:left w:w="110" w:type="dxa"/>
              <w:bottom w:w="60" w:type="dxa"/>
              <w:right w:w="110" w:type="dxa"/>
            </w:tcMar>
          </w:tcPr>
          <w:p>
            <w:pPr>
              <w:spacing w:after="0"/>
            </w:pPr>
            <w:r>
              <w:rPr>
                <w:b w:val="0"/>
                <w:i w:val="0"/>
                <w:color w:val="16261F"/>
                <w:sz w:val="17"/>
              </w:rPr>
              <w:t>Certificate expiry imminent</w:t>
            </w:r>
          </w:p>
        </w:tc>
        <w:tc>
          <w:tcPr>
            <w:tcW w:type="dxa" w:w="2016"/>
            <w:tcMar>
              <w:top w:w="60" w:type="dxa"/>
              <w:left w:w="110" w:type="dxa"/>
              <w:bottom w:w="60" w:type="dxa"/>
              <w:right w:w="110" w:type="dxa"/>
            </w:tcMar>
          </w:tcPr>
          <w:p>
            <w:pPr>
              <w:spacing w:after="0"/>
            </w:pPr>
            <w:r>
              <w:rPr>
                <w:b w:val="0"/>
                <w:i w:val="0"/>
                <w:color w:val="16261F"/>
                <w:sz w:val="17"/>
              </w:rPr>
              <w:t>Daily check</w:t>
            </w:r>
          </w:p>
        </w:tc>
        <w:tc>
          <w:tcPr>
            <w:tcW w:type="dxa" w:w="3096"/>
            <w:tcMar>
              <w:top w:w="60" w:type="dxa"/>
              <w:left w:w="110" w:type="dxa"/>
              <w:bottom w:w="60" w:type="dxa"/>
              <w:right w:w="110" w:type="dxa"/>
            </w:tcMar>
          </w:tcPr>
          <w:p>
            <w:pPr>
              <w:spacing w:after="0"/>
            </w:pPr>
            <w:r>
              <w:rPr>
                <w:b w:val="0"/>
                <w:i w:val="0"/>
                <w:color w:val="16261F"/>
                <w:sz w:val="17"/>
              </w:rPr>
              <w:t>Auto-renew; alert at 14 days</w:t>
            </w:r>
          </w:p>
        </w:tc>
        <w:tc>
          <w:tcPr>
            <w:tcW w:type="dxa" w:w="2448"/>
            <w:tcMar>
              <w:top w:w="60" w:type="dxa"/>
              <w:left w:w="110" w:type="dxa"/>
              <w:bottom w:w="60" w:type="dxa"/>
              <w:right w:w="110" w:type="dxa"/>
            </w:tcMar>
          </w:tcPr>
          <w:p>
            <w:pPr>
              <w:spacing w:after="0"/>
            </w:pPr>
            <w:r>
              <w:rPr>
                <w:b w:val="0"/>
                <w:i w:val="0"/>
                <w:color w:val="16261F"/>
                <w:sz w:val="17"/>
              </w:rPr>
              <w:t>None if renewal succeeds</w:t>
            </w:r>
          </w:p>
        </w:tc>
      </w:tr>
      <w:tr>
        <w:tc>
          <w:tcPr>
            <w:tcW w:type="dxa" w:w="1800"/>
            <w:tcMar>
              <w:top w:w="60" w:type="dxa"/>
              <w:left w:w="110" w:type="dxa"/>
              <w:bottom w:w="60" w:type="dxa"/>
              <w:right w:w="110" w:type="dxa"/>
            </w:tcMar>
            <w:shd w:val="clear" w:color="auto" w:fill="F5F7F5"/>
          </w:tcPr>
          <w:p>
            <w:pPr>
              <w:spacing w:after="0"/>
            </w:pPr>
            <w:r>
              <w:rPr>
                <w:b w:val="0"/>
                <w:i w:val="0"/>
                <w:color w:val="16261F"/>
                <w:sz w:val="17"/>
              </w:rPr>
              <w:t>Duplicate webhook delivery</w:t>
            </w:r>
          </w:p>
        </w:tc>
        <w:tc>
          <w:tcPr>
            <w:tcW w:type="dxa" w:w="2016"/>
            <w:tcMar>
              <w:top w:w="60" w:type="dxa"/>
              <w:left w:w="110" w:type="dxa"/>
              <w:bottom w:w="60" w:type="dxa"/>
              <w:right w:w="110" w:type="dxa"/>
            </w:tcMar>
            <w:shd w:val="clear" w:color="auto" w:fill="F5F7F5"/>
          </w:tcPr>
          <w:p>
            <w:pPr>
              <w:spacing w:after="0"/>
            </w:pPr>
            <w:r>
              <w:rPr>
                <w:b w:val="0"/>
                <w:i w:val="0"/>
                <w:color w:val="16261F"/>
                <w:sz w:val="17"/>
              </w:rPr>
              <w:t>Unique index conflict on gateway_reference</w:t>
            </w:r>
          </w:p>
        </w:tc>
        <w:tc>
          <w:tcPr>
            <w:tcW w:type="dxa" w:w="3096"/>
            <w:tcMar>
              <w:top w:w="60" w:type="dxa"/>
              <w:left w:w="110" w:type="dxa"/>
              <w:bottom w:w="60" w:type="dxa"/>
              <w:right w:w="110" w:type="dxa"/>
            </w:tcMar>
            <w:shd w:val="clear" w:color="auto" w:fill="F5F7F5"/>
          </w:tcPr>
          <w:p>
            <w:pPr>
              <w:spacing w:after="0"/>
            </w:pPr>
            <w:r>
              <w:rPr>
                <w:b w:val="0"/>
                <w:i w:val="0"/>
                <w:color w:val="16261F"/>
                <w:sz w:val="17"/>
              </w:rPr>
              <w:t>Discard silently; log at debug</w:t>
            </w:r>
          </w:p>
        </w:tc>
        <w:tc>
          <w:tcPr>
            <w:tcW w:type="dxa" w:w="2448"/>
            <w:tcMar>
              <w:top w:w="60" w:type="dxa"/>
              <w:left w:w="110" w:type="dxa"/>
              <w:bottom w:w="60" w:type="dxa"/>
              <w:right w:w="110" w:type="dxa"/>
            </w:tcMar>
            <w:shd w:val="clear" w:color="auto" w:fill="F5F7F5"/>
          </w:tcPr>
          <w:p>
            <w:pPr>
              <w:spacing w:after="0"/>
            </w:pPr>
            <w:r>
              <w:rPr>
                <w:b w:val="0"/>
                <w:i w:val="0"/>
                <w:color w:val="16261F"/>
                <w:sz w:val="17"/>
              </w:rPr>
              <w:t>None</w:t>
            </w:r>
          </w:p>
        </w:tc>
      </w:tr>
    </w:tbl>
    <w:p>
      <w:r>
        <w:br w:type="page"/>
      </w:r>
    </w:p>
    <w:p>
      <w:pPr>
        <w:pStyle w:val="Heading1"/>
      </w:pPr>
      <w:r>
        <w:t>17. Deployment architecture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CDN / Edge    │  TLS, WAF, rate limit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Admin app       │        │  Payment app     │             </w:t>
            </w:r>
          </w:p>
          <w:p>
            <w:pPr>
              <w:spacing w:after="0" w:line="240" w:lineRule="auto"/>
            </w:pPr>
            <w:r>
              <w:rPr>
                <w:rFonts w:ascii="Consolas" w:hAnsi="Consolas"/>
                <w:color w:val="16261F"/>
                <w:sz w:val="17"/>
              </w:rPr>
              <w:t xml:space="preserve">         │  2+ instances    │        │  2+ instances    │             </w:t>
            </w:r>
          </w:p>
          <w:p>
            <w:pPr>
              <w:spacing w:after="0" w:line="240" w:lineRule="auto"/>
            </w:pPr>
            <w:r>
              <w:rPr>
                <w:rFonts w:ascii="Consolas" w:hAnsi="Consolas"/>
                <w:color w:val="16261F"/>
                <w:sz w:val="17"/>
              </w:rPr>
              <w:t xml:space="preserve">         │  autoscaled      │        │  autoscaled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Managed Postgres  │  primary + standby          </w:t>
            </w:r>
          </w:p>
          <w:p>
            <w:pPr>
              <w:spacing w:after="0" w:line="240" w:lineRule="auto"/>
            </w:pPr>
            <w:r>
              <w:rPr>
                <w:rFonts w:ascii="Consolas" w:hAnsi="Consolas"/>
                <w:color w:val="16261F"/>
                <w:sz w:val="17"/>
              </w:rPr>
              <w:t xml:space="preserve">                   │   PITR, RLS enabled │  + read replica (reports)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Worker pools   │    │  Redis / queue   │                  </w:t>
            </w:r>
          </w:p>
          <w:p>
            <w:pPr>
              <w:spacing w:after="0" w:line="240" w:lineRule="auto"/>
            </w:pPr>
            <w:r>
              <w:rPr>
                <w:rFonts w:ascii="Consolas" w:hAnsi="Consolas"/>
                <w:color w:val="16261F"/>
                <w:sz w:val="17"/>
              </w:rPr>
              <w:t xml:space="preserve">         │  per queue,     │◄──►│  + cache         │                  </w:t>
            </w:r>
          </w:p>
          <w:p>
            <w:pPr>
              <w:spacing w:after="0" w:line="240" w:lineRule="auto"/>
            </w:pPr>
            <w:r>
              <w:rPr>
                <w:rFonts w:ascii="Consolas" w:hAnsi="Consolas"/>
                <w:color w:val="16261F"/>
                <w:sz w:val="17"/>
              </w:rPr>
              <w:t xml:space="preserve">         │  independently  │    └──────────────────┘                  </w:t>
            </w:r>
          </w:p>
          <w:p>
            <w:pPr>
              <w:spacing w:after="0" w:line="240" w:lineRule="auto"/>
            </w:pPr>
            <w:r>
              <w:rPr>
                <w:rFonts w:ascii="Consolas" w:hAnsi="Consolas"/>
                <w:color w:val="16261F"/>
                <w:sz w:val="17"/>
              </w:rPr>
              <w:t xml:space="preserve">         │  scaled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Object storage  │    │  Secret manager  │                  </w:t>
            </w:r>
          </w:p>
          <w:p>
            <w:pPr>
              <w:spacing w:after="0" w:line="240" w:lineRule="auto"/>
            </w:pPr>
            <w:r>
              <w:rPr>
                <w:rFonts w:ascii="Consolas" w:hAnsi="Consolas"/>
                <w:color w:val="16261F"/>
                <w:sz w:val="17"/>
              </w:rPr>
              <w:t xml:space="preserve">         └─────────────────┘    └──────────────────┘                  </w:t>
            </w:r>
          </w:p>
        </w:tc>
      </w:tr>
    </w:tbl>
    <w:p>
      <w:pPr>
        <w:spacing w:after="40"/>
      </w:pPr>
    </w:p>
    <w:p>
      <w:pPr>
        <w:pStyle w:val="Heading2"/>
      </w:pPr>
      <w:r>
        <w:t>17.1 Environments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440"/>
            <w:shd w:val="clear" w:color="auto" w:fill="16261F"/>
            <w:tcMar>
              <w:top w:w="70" w:type="dxa"/>
              <w:left w:w="110" w:type="dxa"/>
              <w:bottom w:w="70" w:type="dxa"/>
              <w:right w:w="110" w:type="dxa"/>
            </w:tcMar>
          </w:tcPr>
          <w:p>
            <w:pPr>
              <w:spacing w:after="0"/>
            </w:pPr>
            <w:r>
              <w:rPr>
                <w:rFonts w:ascii="Calibri" w:hAnsi="Calibri"/>
                <w:b/>
                <w:color w:val="FFFFFF"/>
                <w:sz w:val="17"/>
              </w:rPr>
              <w:t>Environment</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7"/>
              </w:rPr>
              <w:t>Purpose</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7"/>
              </w:rPr>
              <w:t>Data</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7"/>
              </w:rPr>
              <w:t>Integrations</w:t>
            </w:r>
          </w:p>
        </w:tc>
      </w:tr>
      <w:tr>
        <w:tc>
          <w:tcPr>
            <w:tcW w:type="dxa" w:w="1440"/>
            <w:tcMar>
              <w:top w:w="60" w:type="dxa"/>
              <w:left w:w="110" w:type="dxa"/>
              <w:bottom w:w="60" w:type="dxa"/>
              <w:right w:w="110" w:type="dxa"/>
            </w:tcMar>
          </w:tcPr>
          <w:p>
            <w:pPr>
              <w:spacing w:after="0"/>
            </w:pPr>
            <w:r>
              <w:rPr>
                <w:b w:val="0"/>
                <w:i w:val="0"/>
                <w:color w:val="16261F"/>
                <w:sz w:val="18"/>
              </w:rPr>
              <w:t>Local</w:t>
            </w:r>
          </w:p>
        </w:tc>
        <w:tc>
          <w:tcPr>
            <w:tcW w:type="dxa" w:w="2592"/>
            <w:tcMar>
              <w:top w:w="60" w:type="dxa"/>
              <w:left w:w="110" w:type="dxa"/>
              <w:bottom w:w="60" w:type="dxa"/>
              <w:right w:w="110" w:type="dxa"/>
            </w:tcMar>
          </w:tcPr>
          <w:p>
            <w:pPr>
              <w:spacing w:after="0"/>
            </w:pPr>
            <w:r>
              <w:rPr>
                <w:b w:val="0"/>
                <w:i w:val="0"/>
                <w:color w:val="16261F"/>
                <w:sz w:val="18"/>
              </w:rPr>
              <w:t>Development</w:t>
            </w:r>
          </w:p>
        </w:tc>
        <w:tc>
          <w:tcPr>
            <w:tcW w:type="dxa" w:w="2880"/>
            <w:tcMar>
              <w:top w:w="60" w:type="dxa"/>
              <w:left w:w="110" w:type="dxa"/>
              <w:bottom w:w="60" w:type="dxa"/>
              <w:right w:w="110" w:type="dxa"/>
            </w:tcMar>
          </w:tcPr>
          <w:p>
            <w:pPr>
              <w:spacing w:after="0"/>
            </w:pPr>
            <w:r>
              <w:rPr>
                <w:b w:val="0"/>
                <w:i w:val="0"/>
                <w:color w:val="16261F"/>
                <w:sz w:val="18"/>
              </w:rPr>
              <w:t>Seeded synthetic multi-brand dataset</w:t>
            </w:r>
          </w:p>
        </w:tc>
        <w:tc>
          <w:tcPr>
            <w:tcW w:type="dxa" w:w="2448"/>
            <w:tcMar>
              <w:top w:w="60" w:type="dxa"/>
              <w:left w:w="110" w:type="dxa"/>
              <w:bottom w:w="60" w:type="dxa"/>
              <w:right w:w="110" w:type="dxa"/>
            </w:tcMar>
          </w:tcPr>
          <w:p>
            <w:pPr>
              <w:spacing w:after="0"/>
            </w:pPr>
            <w:r>
              <w:rPr>
                <w:b w:val="0"/>
                <w:i w:val="0"/>
                <w:color w:val="16261F"/>
                <w:sz w:val="18"/>
              </w:rPr>
              <w:t>All fakes; no network calls</w:t>
            </w:r>
          </w:p>
        </w:tc>
      </w:tr>
      <w:tr>
        <w:tc>
          <w:tcPr>
            <w:tcW w:type="dxa" w:w="1440"/>
            <w:tcMar>
              <w:top w:w="60" w:type="dxa"/>
              <w:left w:w="110" w:type="dxa"/>
              <w:bottom w:w="60" w:type="dxa"/>
              <w:right w:w="110" w:type="dxa"/>
            </w:tcMar>
            <w:shd w:val="clear" w:color="auto" w:fill="F5F7F5"/>
          </w:tcPr>
          <w:p>
            <w:pPr>
              <w:spacing w:after="0"/>
            </w:pPr>
            <w:r>
              <w:rPr>
                <w:b w:val="0"/>
                <w:i w:val="0"/>
                <w:color w:val="16261F"/>
                <w:sz w:val="18"/>
              </w:rPr>
              <w:t>CI</w:t>
            </w:r>
          </w:p>
        </w:tc>
        <w:tc>
          <w:tcPr>
            <w:tcW w:type="dxa" w:w="2592"/>
            <w:tcMar>
              <w:top w:w="60" w:type="dxa"/>
              <w:left w:w="110" w:type="dxa"/>
              <w:bottom w:w="60" w:type="dxa"/>
              <w:right w:w="110" w:type="dxa"/>
            </w:tcMar>
            <w:shd w:val="clear" w:color="auto" w:fill="F5F7F5"/>
          </w:tcPr>
          <w:p>
            <w:pPr>
              <w:spacing w:after="0"/>
            </w:pPr>
            <w:r>
              <w:rPr>
                <w:b w:val="0"/>
                <w:i w:val="0"/>
                <w:color w:val="16261F"/>
                <w:sz w:val="18"/>
              </w:rPr>
              <w:t>Automated verification on every commit</w:t>
            </w:r>
          </w:p>
        </w:tc>
        <w:tc>
          <w:tcPr>
            <w:tcW w:type="dxa" w:w="2880"/>
            <w:tcMar>
              <w:top w:w="60" w:type="dxa"/>
              <w:left w:w="110" w:type="dxa"/>
              <w:bottom w:w="60" w:type="dxa"/>
              <w:right w:w="110" w:type="dxa"/>
            </w:tcMar>
            <w:shd w:val="clear" w:color="auto" w:fill="F5F7F5"/>
          </w:tcPr>
          <w:p>
            <w:pPr>
              <w:spacing w:after="0"/>
            </w:pPr>
            <w:r>
              <w:rPr>
                <w:b w:val="0"/>
                <w:i w:val="0"/>
                <w:color w:val="16261F"/>
                <w:sz w:val="18"/>
              </w:rPr>
              <w:t>Ephemeral, created and destroyed per run</w:t>
            </w:r>
          </w:p>
        </w:tc>
        <w:tc>
          <w:tcPr>
            <w:tcW w:type="dxa" w:w="2448"/>
            <w:tcMar>
              <w:top w:w="60" w:type="dxa"/>
              <w:left w:w="110" w:type="dxa"/>
              <w:bottom w:w="60" w:type="dxa"/>
              <w:right w:w="110" w:type="dxa"/>
            </w:tcMar>
            <w:shd w:val="clear" w:color="auto" w:fill="F5F7F5"/>
          </w:tcPr>
          <w:p>
            <w:pPr>
              <w:spacing w:after="0"/>
            </w:pPr>
            <w:r>
              <w:rPr>
                <w:b w:val="0"/>
                <w:i w:val="0"/>
                <w:color w:val="16261F"/>
                <w:sz w:val="18"/>
              </w:rPr>
              <w:t>All fakes plus recorded contract fixtures</w:t>
            </w:r>
          </w:p>
        </w:tc>
      </w:tr>
      <w:tr>
        <w:tc>
          <w:tcPr>
            <w:tcW w:type="dxa" w:w="1440"/>
            <w:tcMar>
              <w:top w:w="60" w:type="dxa"/>
              <w:left w:w="110" w:type="dxa"/>
              <w:bottom w:w="60" w:type="dxa"/>
              <w:right w:w="110" w:type="dxa"/>
            </w:tcMar>
          </w:tcPr>
          <w:p>
            <w:pPr>
              <w:spacing w:after="0"/>
            </w:pPr>
            <w:r>
              <w:rPr>
                <w:b w:val="0"/>
                <w:i w:val="0"/>
                <w:color w:val="16261F"/>
                <w:sz w:val="18"/>
              </w:rPr>
              <w:t>Staging</w:t>
            </w:r>
          </w:p>
        </w:tc>
        <w:tc>
          <w:tcPr>
            <w:tcW w:type="dxa" w:w="2592"/>
            <w:tcMar>
              <w:top w:w="60" w:type="dxa"/>
              <w:left w:w="110" w:type="dxa"/>
              <w:bottom w:w="60" w:type="dxa"/>
              <w:right w:w="110" w:type="dxa"/>
            </w:tcMar>
          </w:tcPr>
          <w:p>
            <w:pPr>
              <w:spacing w:after="0"/>
            </w:pPr>
            <w:r>
              <w:rPr>
                <w:b w:val="0"/>
                <w:i w:val="0"/>
                <w:color w:val="16261F"/>
                <w:sz w:val="18"/>
              </w:rPr>
              <w:t>UAT and pre-release verification</w:t>
            </w:r>
          </w:p>
        </w:tc>
        <w:tc>
          <w:tcPr>
            <w:tcW w:type="dxa" w:w="2880"/>
            <w:tcMar>
              <w:top w:w="60" w:type="dxa"/>
              <w:left w:w="110" w:type="dxa"/>
              <w:bottom w:w="60" w:type="dxa"/>
              <w:right w:w="110" w:type="dxa"/>
            </w:tcMar>
          </w:tcPr>
          <w:p>
            <w:pPr>
              <w:spacing w:after="0"/>
            </w:pPr>
            <w:r>
              <w:rPr>
                <w:b w:val="0"/>
                <w:i w:val="0"/>
                <w:color w:val="16261F"/>
                <w:sz w:val="18"/>
              </w:rPr>
              <w:t>Anonymised; never a production copy (NFR-PRV-008)</w:t>
            </w:r>
          </w:p>
        </w:tc>
        <w:tc>
          <w:tcPr>
            <w:tcW w:type="dxa" w:w="2448"/>
            <w:tcMar>
              <w:top w:w="60" w:type="dxa"/>
              <w:left w:w="110" w:type="dxa"/>
              <w:bottom w:w="60" w:type="dxa"/>
              <w:right w:w="110" w:type="dxa"/>
            </w:tcMar>
          </w:tcPr>
          <w:p>
            <w:pPr>
              <w:spacing w:after="0"/>
            </w:pPr>
            <w:r>
              <w:rPr>
                <w:b w:val="0"/>
                <w:i w:val="0"/>
                <w:color w:val="16261F"/>
                <w:sz w:val="18"/>
              </w:rPr>
              <w:t>Provider sandboxes</w:t>
            </w:r>
          </w:p>
        </w:tc>
      </w:tr>
      <w:tr>
        <w:tc>
          <w:tcPr>
            <w:tcW w:type="dxa" w:w="1440"/>
            <w:tcMar>
              <w:top w:w="60" w:type="dxa"/>
              <w:left w:w="110" w:type="dxa"/>
              <w:bottom w:w="60" w:type="dxa"/>
              <w:right w:w="110" w:type="dxa"/>
            </w:tcMar>
            <w:shd w:val="clear" w:color="auto" w:fill="F5F7F5"/>
          </w:tcPr>
          <w:p>
            <w:pPr>
              <w:spacing w:after="0"/>
            </w:pPr>
            <w:r>
              <w:rPr>
                <w:b w:val="0"/>
                <w:i w:val="0"/>
                <w:color w:val="16261F"/>
                <w:sz w:val="18"/>
              </w:rPr>
              <w:t>Production</w:t>
            </w:r>
          </w:p>
        </w:tc>
        <w:tc>
          <w:tcPr>
            <w:tcW w:type="dxa" w:w="2592"/>
            <w:tcMar>
              <w:top w:w="60" w:type="dxa"/>
              <w:left w:w="110" w:type="dxa"/>
              <w:bottom w:w="60" w:type="dxa"/>
              <w:right w:w="110" w:type="dxa"/>
            </w:tcMar>
            <w:shd w:val="clear" w:color="auto" w:fill="F5F7F5"/>
          </w:tcPr>
          <w:p>
            <w:pPr>
              <w:spacing w:after="0"/>
            </w:pPr>
            <w:r>
              <w:rPr>
                <w:b w:val="0"/>
                <w:i w:val="0"/>
                <w:color w:val="16261F"/>
                <w:sz w:val="18"/>
              </w:rPr>
              <w:t>Live service</w:t>
            </w:r>
          </w:p>
        </w:tc>
        <w:tc>
          <w:tcPr>
            <w:tcW w:type="dxa" w:w="2880"/>
            <w:tcMar>
              <w:top w:w="60" w:type="dxa"/>
              <w:left w:w="110" w:type="dxa"/>
              <w:bottom w:w="60" w:type="dxa"/>
              <w:right w:w="110" w:type="dxa"/>
            </w:tcMar>
            <w:shd w:val="clear" w:color="auto" w:fill="F5F7F5"/>
          </w:tcPr>
          <w:p>
            <w:pPr>
              <w:spacing w:after="0"/>
            </w:pPr>
            <w:r>
              <w:rPr>
                <w:b w:val="0"/>
                <w:i w:val="0"/>
                <w:color w:val="16261F"/>
                <w:sz w:val="18"/>
              </w:rPr>
              <w:t>Live</w:t>
            </w:r>
          </w:p>
        </w:tc>
        <w:tc>
          <w:tcPr>
            <w:tcW w:type="dxa" w:w="2448"/>
            <w:tcMar>
              <w:top w:w="60" w:type="dxa"/>
              <w:left w:w="110" w:type="dxa"/>
              <w:bottom w:w="60" w:type="dxa"/>
              <w:right w:w="110" w:type="dxa"/>
            </w:tcMar>
            <w:shd w:val="clear" w:color="auto" w:fill="F5F7F5"/>
          </w:tcPr>
          <w:p>
            <w:pPr>
              <w:spacing w:after="0"/>
            </w:pPr>
            <w:r>
              <w:rPr>
                <w:b w:val="0"/>
                <w:i w:val="0"/>
                <w:color w:val="16261F"/>
                <w:sz w:val="18"/>
              </w:rPr>
              <w:t>Live providers</w:t>
            </w:r>
          </w:p>
        </w:tc>
      </w:tr>
    </w:tbl>
    <w:p>
      <w:r>
        <w:br w:type="page"/>
      </w:r>
    </w:p>
    <w:p>
      <w:pPr>
        <w:pStyle w:val="Heading1"/>
      </w:pPr>
      <w:r>
        <w:t>18. Architecture decision record</w:t>
      </w:r>
    </w:p>
    <w:p>
      <w:pPr>
        <w:spacing w:after="140"/>
      </w:pPr>
      <w:r>
        <w:rPr>
          <w:b w:val="0"/>
          <w:i w:val="0"/>
          <w:color w:val="16261F"/>
          <w:sz w:val="21"/>
        </w:rPr>
        <w:t>Decisions of consequence, with what was rejected and why. Recorded so that a future engineer inherits the reasoning and not merely the result.</w:t>
      </w:r>
    </w:p>
    <w:p>
      <w:pPr>
        <w:pStyle w:val="Heading3"/>
      </w:pPr>
      <w:r>
        <w:t>ADR-001 — Modular monolith with separate workers</w:t>
      </w:r>
    </w:p>
    <w:p>
      <w:pPr>
        <w:spacing w:after="60"/>
      </w:pPr>
      <w:r>
        <w:rPr>
          <w:b/>
          <w:i w:val="0"/>
          <w:color w:val="5B6B63"/>
          <w:sz w:val="19"/>
        </w:rPr>
        <w:t xml:space="preserve">Rejected: </w:t>
      </w:r>
      <w:r>
        <w:rPr>
          <w:b w:val="0"/>
          <w:i w:val="0"/>
          <w:color w:val="5B6B63"/>
          <w:sz w:val="19"/>
        </w:rPr>
        <w:t>Microservices per bounded context; single process including workers</w:t>
      </w:r>
    </w:p>
    <w:p>
      <w:pPr>
        <w:spacing w:after="140"/>
      </w:pPr>
      <w:r>
        <w:rPr>
          <w:b w:val="0"/>
          <w:i w:val="0"/>
          <w:color w:val="16261F"/>
          <w:sz w:val="20"/>
        </w:rPr>
        <w:t>At the projected load a distributed architecture buys scaling headroom the system will not need for years, while immediately importing network partitions, distributed transactions and operational overhead. Module boundaries are kept clean internally so extraction stays possible if volume ever justifies it.</w:t>
      </w:r>
    </w:p>
    <w:p>
      <w:pPr>
        <w:pStyle w:val="Heading3"/>
      </w:pPr>
      <w:r>
        <w:t>ADR-002 — Separate admin and payment web applications</w:t>
      </w:r>
    </w:p>
    <w:p>
      <w:pPr>
        <w:spacing w:after="60"/>
      </w:pPr>
      <w:r>
        <w:rPr>
          <w:b/>
          <w:i w:val="0"/>
          <w:color w:val="5B6B63"/>
          <w:sz w:val="19"/>
        </w:rPr>
        <w:t xml:space="preserve">Rejected: </w:t>
      </w:r>
      <w:r>
        <w:rPr>
          <w:b w:val="0"/>
          <w:i w:val="0"/>
          <w:color w:val="5B6B63"/>
          <w:sz w:val="19"/>
        </w:rPr>
        <w:t>Single application serving both audiences</w:t>
      </w:r>
    </w:p>
    <w:p>
      <w:pPr>
        <w:spacing w:after="140"/>
      </w:pPr>
      <w:r>
        <w:rPr>
          <w:b w:val="0"/>
          <w:i w:val="0"/>
          <w:color w:val="16261F"/>
          <w:sz w:val="20"/>
        </w:rPr>
        <w:t>The payment path has a higher availability target, a stricter security posture, a tighter payload budget and a different deploy cadence. Sharing a deployment would force the strictest constraint onto everything, or — far worse in practice — quietly relax it on the payment page.</w:t>
      </w:r>
    </w:p>
    <w:p>
      <w:pPr>
        <w:pStyle w:val="Heading3"/>
      </w:pPr>
      <w:r>
        <w:t>ADR-003 — PostgreSQL row-level security for brand isolation</w:t>
      </w:r>
    </w:p>
    <w:p>
      <w:pPr>
        <w:spacing w:after="60"/>
      </w:pPr>
      <w:r>
        <w:rPr>
          <w:b/>
          <w:i w:val="0"/>
          <w:color w:val="5B6B63"/>
          <w:sz w:val="19"/>
        </w:rPr>
        <w:t xml:space="preserve">Rejected: </w:t>
      </w:r>
      <w:r>
        <w:rPr>
          <w:b w:val="0"/>
          <w:i w:val="0"/>
          <w:color w:val="5B6B63"/>
          <w:sz w:val="19"/>
        </w:rPr>
        <w:t>Application-layer filtering only; schema per tenant; database per tenant</w:t>
      </w:r>
    </w:p>
    <w:p>
      <w:pPr>
        <w:spacing w:after="140"/>
      </w:pPr>
      <w:r>
        <w:rPr>
          <w:b w:val="0"/>
          <w:i w:val="0"/>
          <w:color w:val="16261F"/>
          <w:sz w:val="20"/>
        </w:rPr>
        <w:t>Application filtering fails open when a developer forgets a clause. Schema or database per tenant multiplies migration and connection overhead across hundreds of brands. RLS fails closed and costs one policy per table.</w:t>
      </w:r>
    </w:p>
    <w:p>
      <w:pPr>
        <w:pStyle w:val="Heading3"/>
      </w:pPr>
      <w:r>
        <w:t>ADR-004 — Server-side sessions rather than stateless JWT</w:t>
      </w:r>
    </w:p>
    <w:p>
      <w:pPr>
        <w:spacing w:after="60"/>
      </w:pPr>
      <w:r>
        <w:rPr>
          <w:b/>
          <w:i w:val="0"/>
          <w:color w:val="5B6B63"/>
          <w:sz w:val="19"/>
        </w:rPr>
        <w:t xml:space="preserve">Rejected: </w:t>
      </w:r>
      <w:r>
        <w:rPr>
          <w:b w:val="0"/>
          <w:i w:val="0"/>
          <w:color w:val="5B6B63"/>
          <w:sz w:val="19"/>
        </w:rPr>
        <w:t>Self-contained signed tokens</w:t>
      </w:r>
    </w:p>
    <w:p>
      <w:pPr>
        <w:spacing w:after="140"/>
      </w:pPr>
      <w:r>
        <w:rPr>
          <w:b w:val="0"/>
          <w:i w:val="0"/>
          <w:color w:val="16261F"/>
          <w:sz w:val="20"/>
        </w:rPr>
        <w:t>FR-AUTH-010, FR-ORG-014 and NFR-SEC-013 all require immediate server-side revocation. A self-contained token remains valid until expiry by construction. Refresh-token workarounds reintroduce server state anyway, with more moving parts.</w:t>
      </w:r>
    </w:p>
    <w:p>
      <w:pPr>
        <w:pStyle w:val="Heading3"/>
      </w:pPr>
      <w:r>
        <w:t>ADR-005 — Integer minor units for all monetary values</w:t>
      </w:r>
    </w:p>
    <w:p>
      <w:pPr>
        <w:spacing w:after="60"/>
      </w:pPr>
      <w:r>
        <w:rPr>
          <w:b/>
          <w:i w:val="0"/>
          <w:color w:val="5B6B63"/>
          <w:sz w:val="19"/>
        </w:rPr>
        <w:t xml:space="preserve">Rejected: </w:t>
      </w:r>
      <w:r>
        <w:rPr>
          <w:b w:val="0"/>
          <w:i w:val="0"/>
          <w:color w:val="5B6B63"/>
          <w:sz w:val="19"/>
        </w:rPr>
        <w:t>Decimal type; floating point</w:t>
      </w:r>
    </w:p>
    <w:p>
      <w:pPr>
        <w:spacing w:after="140"/>
      </w:pPr>
      <w:r>
        <w:rPr>
          <w:b w:val="0"/>
          <w:i w:val="0"/>
          <w:color w:val="16261F"/>
          <w:sz w:val="20"/>
        </w:rPr>
        <w:t>Integer arithmetic removes an entire defect class outright. A decimal type is acceptable server-side but has no faithful representation in JavaScript, so values would decay at the API boundary. Floating point is prohibited outright by NFR-INT-001.</w:t>
      </w:r>
    </w:p>
    <w:p>
      <w:pPr>
        <w:pStyle w:val="Heading3"/>
      </w:pPr>
      <w:r>
        <w:t>ADR-006 — Ports and adapters for every external system</w:t>
      </w:r>
    </w:p>
    <w:p>
      <w:pPr>
        <w:spacing w:after="60"/>
      </w:pPr>
      <w:r>
        <w:rPr>
          <w:b/>
          <w:i w:val="0"/>
          <w:color w:val="5B6B63"/>
          <w:sz w:val="19"/>
        </w:rPr>
        <w:t xml:space="preserve">Rejected: </w:t>
      </w:r>
      <w:r>
        <w:rPr>
          <w:b w:val="0"/>
          <w:i w:val="0"/>
          <w:color w:val="5B6B63"/>
          <w:sz w:val="19"/>
        </w:rPr>
        <w:t>Direct provider SDK calls from application services</w:t>
      </w:r>
    </w:p>
    <w:p>
      <w:pPr>
        <w:spacing w:after="140"/>
      </w:pPr>
      <w:r>
        <w:rPr>
          <w:b w:val="0"/>
          <w:i w:val="0"/>
          <w:color w:val="16261F"/>
          <w:sz w:val="20"/>
        </w:rPr>
        <w:t>The Numbers Gateway contract is unverified (DEP-01). The port boundary means the entire domain and its test suite can be completed while only the adapter waits on the answer. It also makes NFR-MNT-004 verifiable rather than aspirational.</w:t>
      </w:r>
    </w:p>
    <w:p>
      <w:pPr>
        <w:pStyle w:val="Heading3"/>
      </w:pPr>
      <w:r>
        <w:t>ADR-007 — Rates frozen onto the invoice at issue</w:t>
      </w:r>
    </w:p>
    <w:p>
      <w:pPr>
        <w:spacing w:after="60"/>
      </w:pPr>
      <w:r>
        <w:rPr>
          <w:b/>
          <w:i w:val="0"/>
          <w:color w:val="5B6B63"/>
          <w:sz w:val="19"/>
        </w:rPr>
        <w:t xml:space="preserve">Rejected: </w:t>
      </w:r>
      <w:r>
        <w:rPr>
          <w:b w:val="0"/>
          <w:i w:val="0"/>
          <w:color w:val="5B6B63"/>
          <w:sz w:val="19"/>
        </w:rPr>
        <w:t>Referencing the live brand configuration at read time</w:t>
      </w:r>
    </w:p>
    <w:p>
      <w:pPr>
        <w:spacing w:after="140"/>
      </w:pPr>
      <w:r>
        <w:rPr>
          <w:b w:val="0"/>
          <w:i w:val="0"/>
          <w:color w:val="16261F"/>
          <w:sz w:val="20"/>
        </w:rPr>
        <w:t>A historical invoice must reproduce identically years later. Referencing live configuration means changing a tax rate silently rewrites every past document — an audit failure and, for a financial record, indefensible.</w:t>
      </w:r>
    </w:p>
    <w:p>
      <w:pPr>
        <w:pStyle w:val="Heading3"/>
      </w:pPr>
      <w:r>
        <w:t>ADR-008 — Balance stored on the invoice</w:t>
      </w:r>
    </w:p>
    <w:p>
      <w:pPr>
        <w:spacing w:after="60"/>
      </w:pPr>
      <w:r>
        <w:rPr>
          <w:b/>
          <w:i w:val="0"/>
          <w:color w:val="5B6B63"/>
          <w:sz w:val="19"/>
        </w:rPr>
        <w:t xml:space="preserve">Rejected: </w:t>
      </w:r>
      <w:r>
        <w:rPr>
          <w:b w:val="0"/>
          <w:i w:val="0"/>
          <w:color w:val="5B6B63"/>
          <w:sz w:val="19"/>
        </w:rPr>
        <w:t>Deriving balance by aggregating payments on every read</w:t>
      </w:r>
    </w:p>
    <w:p>
      <w:pPr>
        <w:spacing w:after="140"/>
      </w:pPr>
      <w:r>
        <w:rPr>
          <w:b w:val="0"/>
          <w:i w:val="0"/>
          <w:color w:val="16261F"/>
          <w:sz w:val="20"/>
        </w:rPr>
        <w:t>Every list, dashboard and report needs the balance. Aggregating on read costs a scan per row. The balance is updated in the same transaction as the payment insert, and a nightly reconciliation job verifies it (NFR-INT-021), giving the read performance without unverified drift.</w:t>
      </w:r>
    </w:p>
    <w:p>
      <w:pPr>
        <w:pStyle w:val="Heading3"/>
      </w:pPr>
      <w:r>
        <w:t>ADR-009 — Queue-per-concern with independent worker pools</w:t>
      </w:r>
    </w:p>
    <w:p>
      <w:pPr>
        <w:spacing w:after="60"/>
      </w:pPr>
      <w:r>
        <w:rPr>
          <w:b/>
          <w:i w:val="0"/>
          <w:color w:val="5B6B63"/>
          <w:sz w:val="19"/>
        </w:rPr>
        <w:t xml:space="preserve">Rejected: </w:t>
      </w:r>
      <w:r>
        <w:rPr>
          <w:b w:val="0"/>
          <w:i w:val="0"/>
          <w:color w:val="5B6B63"/>
          <w:sz w:val="19"/>
        </w:rPr>
        <w:t>A single queue with priority ordering</w:t>
      </w:r>
    </w:p>
    <w:p>
      <w:pPr>
        <w:spacing w:after="140"/>
      </w:pPr>
      <w:r>
        <w:rPr>
          <w:b w:val="0"/>
          <w:i w:val="0"/>
          <w:color w:val="16261F"/>
          <w:sz w:val="20"/>
        </w:rPr>
        <w:t>A single queue lets a backlog of low-value work delay payment webhooks. Separate pools make the priority structural rather than a scheduling hint.</w:t>
      </w:r>
    </w:p>
    <w:p>
      <w:pPr>
        <w:pStyle w:val="Heading3"/>
      </w:pPr>
      <w:r>
        <w:t>ADR-010 — Prototype treated as design reference only</w:t>
      </w:r>
    </w:p>
    <w:p>
      <w:pPr>
        <w:spacing w:after="60"/>
      </w:pPr>
      <w:r>
        <w:rPr>
          <w:b/>
          <w:i w:val="0"/>
          <w:color w:val="5B6B63"/>
          <w:sz w:val="19"/>
        </w:rPr>
        <w:t xml:space="preserve">Rejected: </w:t>
      </w:r>
      <w:r>
        <w:rPr>
          <w:b w:val="0"/>
          <w:i w:val="0"/>
          <w:color w:val="5B6B63"/>
          <w:sz w:val="19"/>
        </w:rPr>
        <w:t>Evolving the prototype into the production codebase</w:t>
      </w:r>
    </w:p>
    <w:p>
      <w:pPr>
        <w:spacing w:after="140"/>
      </w:pPr>
      <w:r>
        <w:rPr>
          <w:b w:val="0"/>
          <w:i w:val="0"/>
          <w:color w:val="16261F"/>
          <w:sz w:val="20"/>
        </w:rPr>
        <w:t>The prototype is browser-transpiled JSX with CDN dependencies, in-memory seed data, no access control, no persistence and no responsive layout. Its value is the interaction design and the visual system, both of which are preserved. Its code is not a foundation, and carrying it forward would import GAP-007 and GAP-010.</w:t>
      </w:r>
    </w:p>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TDD-001 · Architecture &amp; Technical Design</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