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40"/>
      </w:pPr>
      <w:r>
        <w:rPr>
          <w:rFonts w:ascii="Calibri" w:hAnsi="Calibri"/>
          <w:b/>
          <w:color w:val="2D6A6A"/>
          <w:sz w:val="22"/>
        </w:rPr>
        <w:t>FENWICK HOLDINGS INC.</w:t>
      </w:r>
    </w:p>
    <w:p>
      <w:pPr>
        <w:spacing w:after="520"/>
      </w:pPr>
      <w:r>
        <w:rPr>
          <w:color w:val="5B6B63"/>
          <w:sz w:val="22"/>
        </w:rPr>
        <w:t>Multi-Brand Invoicing &amp; Payment Platform</w:t>
      </w:r>
    </w:p>
    <w:p>
      <w:pPr>
        <w:spacing w:after="120"/>
      </w:pPr>
      <w:r>
        <w:rPr>
          <w:rFonts w:ascii="Calibri" w:hAnsi="Calibri"/>
          <w:b/>
          <w:color w:val="16261F"/>
          <w:sz w:val="60"/>
        </w:rPr>
        <w:t>Technology Stack</w:t>
      </w:r>
    </w:p>
    <w:p>
      <w:pPr>
        <w:spacing w:after="600"/>
      </w:pPr>
      <w:r>
        <w:rPr>
          <w:color w:val="5B6B63"/>
          <w:sz w:val="26"/>
        </w:rPr>
        <w:t>Recommended technologies, rationale, alternatives considered and cost model</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2448"/>
            <w:tcMar>
              <w:top w:w="30" w:type="dxa"/>
              <w:left w:w="0" w:type="dxa"/>
              <w:bottom w:w="30" w:type="dxa"/>
              <w:right w:w="80" w:type="dxa"/>
            </w:tcMar>
          </w:tcPr>
          <w:p>
            <w:r>
              <w:rPr>
                <w:color w:val="5B6B63"/>
                <w:sz w:val="19"/>
              </w:rPr>
              <w:t>Document code</w:t>
            </w:r>
          </w:p>
        </w:tc>
        <w:tc>
          <w:tcPr>
            <w:tcW w:type="dxa" w:w="6192"/>
            <w:tcMar>
              <w:top w:w="30" w:type="dxa"/>
              <w:left w:w="0" w:type="dxa"/>
              <w:bottom w:w="30" w:type="dxa"/>
              <w:right w:w="0" w:type="dxa"/>
            </w:tcMar>
          </w:tcPr>
          <w:p>
            <w:r>
              <w:rPr>
                <w:b/>
                <w:color w:val="16261F"/>
                <w:sz w:val="19"/>
              </w:rPr>
              <w:t>TSD-001</w:t>
            </w:r>
          </w:p>
        </w:tc>
      </w:tr>
      <w:tr>
        <w:tc>
          <w:tcPr>
            <w:tcW w:type="dxa" w:w="2448"/>
            <w:tcMar>
              <w:top w:w="30" w:type="dxa"/>
              <w:left w:w="0" w:type="dxa"/>
              <w:bottom w:w="30" w:type="dxa"/>
              <w:right w:w="80" w:type="dxa"/>
            </w:tcMar>
          </w:tcPr>
          <w:p>
            <w:r>
              <w:rPr>
                <w:color w:val="5B6B63"/>
                <w:sz w:val="19"/>
              </w:rPr>
              <w:t>Version</w:t>
            </w:r>
          </w:p>
        </w:tc>
        <w:tc>
          <w:tcPr>
            <w:tcW w:type="dxa" w:w="6192"/>
            <w:tcMar>
              <w:top w:w="30" w:type="dxa"/>
              <w:left w:w="0" w:type="dxa"/>
              <w:bottom w:w="30" w:type="dxa"/>
              <w:right w:w="0" w:type="dxa"/>
            </w:tcMar>
          </w:tcPr>
          <w:p>
            <w:r>
              <w:rPr>
                <w:b/>
                <w:color w:val="16261F"/>
                <w:sz w:val="19"/>
              </w:rPr>
              <w:t>1.0</w:t>
            </w:r>
          </w:p>
        </w:tc>
      </w:tr>
      <w:tr>
        <w:tc>
          <w:tcPr>
            <w:tcW w:type="dxa" w:w="2448"/>
            <w:tcMar>
              <w:top w:w="30" w:type="dxa"/>
              <w:left w:w="0" w:type="dxa"/>
              <w:bottom w:w="30" w:type="dxa"/>
              <w:right w:w="80" w:type="dxa"/>
            </w:tcMar>
          </w:tcPr>
          <w:p>
            <w:r>
              <w:rPr>
                <w:color w:val="5B6B63"/>
                <w:sz w:val="19"/>
              </w:rPr>
              <w:t>Date</w:t>
            </w:r>
          </w:p>
        </w:tc>
        <w:tc>
          <w:tcPr>
            <w:tcW w:type="dxa" w:w="6192"/>
            <w:tcMar>
              <w:top w:w="30" w:type="dxa"/>
              <w:left w:w="0" w:type="dxa"/>
              <w:bottom w:w="30" w:type="dxa"/>
              <w:right w:w="0" w:type="dxa"/>
            </w:tcMar>
          </w:tcPr>
          <w:p>
            <w:r>
              <w:rPr>
                <w:b/>
                <w:color w:val="16261F"/>
                <w:sz w:val="19"/>
              </w:rPr>
              <w:t>24 July 2026</w:t>
            </w:r>
          </w:p>
        </w:tc>
      </w:tr>
      <w:tr>
        <w:tc>
          <w:tcPr>
            <w:tcW w:type="dxa" w:w="2448"/>
            <w:tcMar>
              <w:top w:w="30" w:type="dxa"/>
              <w:left w:w="0" w:type="dxa"/>
              <w:bottom w:w="30" w:type="dxa"/>
              <w:right w:w="80" w:type="dxa"/>
            </w:tcMar>
          </w:tcPr>
          <w:p>
            <w:r>
              <w:rPr>
                <w:color w:val="5B6B63"/>
                <w:sz w:val="19"/>
              </w:rPr>
              <w:t>Owner</w:t>
            </w:r>
          </w:p>
        </w:tc>
        <w:tc>
          <w:tcPr>
            <w:tcW w:type="dxa" w:w="6192"/>
            <w:tcMar>
              <w:top w:w="30" w:type="dxa"/>
              <w:left w:w="0" w:type="dxa"/>
              <w:bottom w:w="30" w:type="dxa"/>
              <w:right w:w="0" w:type="dxa"/>
            </w:tcMar>
          </w:tcPr>
          <w:p>
            <w:r>
              <w:rPr>
                <w:b/>
                <w:color w:val="16261F"/>
                <w:sz w:val="19"/>
              </w:rPr>
              <w:t>Product Engineering</w:t>
            </w:r>
          </w:p>
        </w:tc>
      </w:tr>
      <w:tr>
        <w:tc>
          <w:tcPr>
            <w:tcW w:type="dxa" w:w="2448"/>
            <w:tcMar>
              <w:top w:w="30" w:type="dxa"/>
              <w:left w:w="0" w:type="dxa"/>
              <w:bottom w:w="30" w:type="dxa"/>
              <w:right w:w="80" w:type="dxa"/>
            </w:tcMar>
          </w:tcPr>
          <w:p>
            <w:r>
              <w:rPr>
                <w:color w:val="5B6B63"/>
                <w:sz w:val="19"/>
              </w:rPr>
              <w:t>Audience</w:t>
            </w:r>
          </w:p>
        </w:tc>
        <w:tc>
          <w:tcPr>
            <w:tcW w:type="dxa" w:w="6192"/>
            <w:tcMar>
              <w:top w:w="30" w:type="dxa"/>
              <w:left w:w="0" w:type="dxa"/>
              <w:bottom w:w="30" w:type="dxa"/>
              <w:right w:w="0" w:type="dxa"/>
            </w:tcMar>
          </w:tcPr>
          <w:p>
            <w:r>
              <w:rPr>
                <w:b/>
                <w:color w:val="16261F"/>
                <w:sz w:val="19"/>
              </w:rPr>
              <w:t>Client stakeholders, engineering, QA</w:t>
            </w:r>
          </w:p>
        </w:tc>
      </w:tr>
      <w:tr>
        <w:tc>
          <w:tcPr>
            <w:tcW w:type="dxa" w:w="2448"/>
            <w:tcMar>
              <w:top w:w="30" w:type="dxa"/>
              <w:left w:w="0" w:type="dxa"/>
              <w:bottom w:w="30" w:type="dxa"/>
              <w:right w:w="80" w:type="dxa"/>
            </w:tcMar>
          </w:tcPr>
          <w:p>
            <w:r>
              <w:rPr>
                <w:color w:val="5B6B63"/>
                <w:sz w:val="19"/>
              </w:rPr>
              <w:t>Status</w:t>
            </w:r>
          </w:p>
        </w:tc>
        <w:tc>
          <w:tcPr>
            <w:tcW w:type="dxa" w:w="6192"/>
            <w:tcMar>
              <w:top w:w="30" w:type="dxa"/>
              <w:left w:w="0" w:type="dxa"/>
              <w:bottom w:w="30" w:type="dxa"/>
              <w:right w:w="0" w:type="dxa"/>
            </w:tcMar>
          </w:tcPr>
          <w:p>
            <w:r>
              <w:rPr>
                <w:b/>
                <w:color w:val="16261F"/>
                <w:sz w:val="19"/>
              </w:rPr>
              <w:t>For client review</w:t>
            </w:r>
          </w:p>
        </w:tc>
      </w:tr>
    </w:tbl>
    <w:p>
      <w:r>
        <w:br w:type="page"/>
      </w:r>
    </w:p>
    <w:p>
      <w:pPr>
        <w:pStyle w:val="Heading1"/>
      </w:pPr>
      <w:r>
        <w:t>Contents</w:t>
      </w:r>
    </w:p>
    <w:tbl>
      <w:tblPr>
        <w:tblW w:type="auto" w:w="0"/>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720"/>
            <w:tcMar>
              <w:top w:w="25" w:type="dxa"/>
              <w:left w:w="0" w:type="dxa"/>
              <w:bottom w:w="25" w:type="dxa"/>
              <w:right w:w="40" w:type="dxa"/>
            </w:tcMar>
          </w:tcPr>
          <w:p>
            <w:r>
              <w:rPr>
                <w:b/>
                <w:color w:val="2D6A6A"/>
                <w:sz w:val="20"/>
              </w:rPr>
              <w:t>1</w:t>
            </w:r>
          </w:p>
        </w:tc>
        <w:tc>
          <w:tcPr>
            <w:tcW w:type="dxa" w:w="7920"/>
            <w:tcMar>
              <w:top w:w="25" w:type="dxa"/>
              <w:left w:w="0" w:type="dxa"/>
              <w:bottom w:w="25" w:type="dxa"/>
              <w:right w:w="0" w:type="dxa"/>
            </w:tcMar>
          </w:tcPr>
          <w:p>
            <w:r>
              <w:rPr>
                <w:color w:val="16261F"/>
                <w:sz w:val="20"/>
              </w:rPr>
              <w:t>Purpose and selection criteria</w:t>
            </w:r>
          </w:p>
        </w:tc>
      </w:tr>
      <w:tr>
        <w:tc>
          <w:tcPr>
            <w:tcW w:type="dxa" w:w="720"/>
            <w:tcMar>
              <w:top w:w="25" w:type="dxa"/>
              <w:left w:w="0" w:type="dxa"/>
              <w:bottom w:w="25" w:type="dxa"/>
              <w:right w:w="40" w:type="dxa"/>
            </w:tcMar>
          </w:tcPr>
          <w:p>
            <w:r>
              <w:rPr>
                <w:b/>
                <w:color w:val="2D6A6A"/>
                <w:sz w:val="20"/>
              </w:rPr>
              <w:t>2</w:t>
            </w:r>
          </w:p>
        </w:tc>
        <w:tc>
          <w:tcPr>
            <w:tcW w:type="dxa" w:w="7920"/>
            <w:tcMar>
              <w:top w:w="25" w:type="dxa"/>
              <w:left w:w="0" w:type="dxa"/>
              <w:bottom w:w="25" w:type="dxa"/>
              <w:right w:w="0" w:type="dxa"/>
            </w:tcMar>
          </w:tcPr>
          <w:p>
            <w:r>
              <w:rPr>
                <w:color w:val="16261F"/>
                <w:sz w:val="20"/>
              </w:rPr>
              <w:t>Stack at a glance</w:t>
            </w:r>
          </w:p>
        </w:tc>
      </w:tr>
      <w:tr>
        <w:tc>
          <w:tcPr>
            <w:tcW w:type="dxa" w:w="720"/>
            <w:tcMar>
              <w:top w:w="25" w:type="dxa"/>
              <w:left w:w="0" w:type="dxa"/>
              <w:bottom w:w="25" w:type="dxa"/>
              <w:right w:w="40" w:type="dxa"/>
            </w:tcMar>
          </w:tcPr>
          <w:p>
            <w:r>
              <w:rPr>
                <w:b/>
                <w:color w:val="2D6A6A"/>
                <w:sz w:val="20"/>
              </w:rPr>
              <w:t>3</w:t>
            </w:r>
          </w:p>
        </w:tc>
        <w:tc>
          <w:tcPr>
            <w:tcW w:type="dxa" w:w="7920"/>
            <w:tcMar>
              <w:top w:w="25" w:type="dxa"/>
              <w:left w:w="0" w:type="dxa"/>
              <w:bottom w:w="25" w:type="dxa"/>
              <w:right w:w="0" w:type="dxa"/>
            </w:tcMar>
          </w:tcPr>
          <w:p>
            <w:r>
              <w:rPr>
                <w:color w:val="16261F"/>
                <w:sz w:val="20"/>
              </w:rPr>
              <w:t>Frontend</w:t>
            </w:r>
          </w:p>
        </w:tc>
      </w:tr>
      <w:tr>
        <w:tc>
          <w:tcPr>
            <w:tcW w:type="dxa" w:w="720"/>
            <w:tcMar>
              <w:top w:w="25" w:type="dxa"/>
              <w:left w:w="0" w:type="dxa"/>
              <w:bottom w:w="25" w:type="dxa"/>
              <w:right w:w="40" w:type="dxa"/>
            </w:tcMar>
          </w:tcPr>
          <w:p>
            <w:r>
              <w:rPr>
                <w:b/>
                <w:color w:val="2D6A6A"/>
                <w:sz w:val="20"/>
              </w:rPr>
              <w:t>4</w:t>
            </w:r>
          </w:p>
        </w:tc>
        <w:tc>
          <w:tcPr>
            <w:tcW w:type="dxa" w:w="7920"/>
            <w:tcMar>
              <w:top w:w="25" w:type="dxa"/>
              <w:left w:w="0" w:type="dxa"/>
              <w:bottom w:w="25" w:type="dxa"/>
              <w:right w:w="0" w:type="dxa"/>
            </w:tcMar>
          </w:tcPr>
          <w:p>
            <w:r>
              <w:rPr>
                <w:color w:val="16261F"/>
                <w:sz w:val="20"/>
              </w:rPr>
              <w:t>Backend</w:t>
            </w:r>
          </w:p>
        </w:tc>
      </w:tr>
      <w:tr>
        <w:tc>
          <w:tcPr>
            <w:tcW w:type="dxa" w:w="720"/>
            <w:tcMar>
              <w:top w:w="25" w:type="dxa"/>
              <w:left w:w="0" w:type="dxa"/>
              <w:bottom w:w="25" w:type="dxa"/>
              <w:right w:w="40" w:type="dxa"/>
            </w:tcMar>
          </w:tcPr>
          <w:p>
            <w:r>
              <w:rPr>
                <w:b/>
                <w:color w:val="2D6A6A"/>
                <w:sz w:val="20"/>
              </w:rPr>
              <w:t>5</w:t>
            </w:r>
          </w:p>
        </w:tc>
        <w:tc>
          <w:tcPr>
            <w:tcW w:type="dxa" w:w="7920"/>
            <w:tcMar>
              <w:top w:w="25" w:type="dxa"/>
              <w:left w:w="0" w:type="dxa"/>
              <w:bottom w:w="25" w:type="dxa"/>
              <w:right w:w="0" w:type="dxa"/>
            </w:tcMar>
          </w:tcPr>
          <w:p>
            <w:r>
              <w:rPr>
                <w:color w:val="16261F"/>
                <w:sz w:val="20"/>
              </w:rPr>
              <w:t>Data layer</w:t>
            </w:r>
          </w:p>
        </w:tc>
      </w:tr>
      <w:tr>
        <w:tc>
          <w:tcPr>
            <w:tcW w:type="dxa" w:w="720"/>
            <w:tcMar>
              <w:top w:w="25" w:type="dxa"/>
              <w:left w:w="0" w:type="dxa"/>
              <w:bottom w:w="25" w:type="dxa"/>
              <w:right w:w="40" w:type="dxa"/>
            </w:tcMar>
          </w:tcPr>
          <w:p>
            <w:r>
              <w:rPr>
                <w:b/>
                <w:color w:val="2D6A6A"/>
                <w:sz w:val="20"/>
              </w:rPr>
              <w:t>6</w:t>
            </w:r>
          </w:p>
        </w:tc>
        <w:tc>
          <w:tcPr>
            <w:tcW w:type="dxa" w:w="7920"/>
            <w:tcMar>
              <w:top w:w="25" w:type="dxa"/>
              <w:left w:w="0" w:type="dxa"/>
              <w:bottom w:w="25" w:type="dxa"/>
              <w:right w:w="0" w:type="dxa"/>
            </w:tcMar>
          </w:tcPr>
          <w:p>
            <w:r>
              <w:rPr>
                <w:color w:val="16261F"/>
                <w:sz w:val="20"/>
              </w:rPr>
              <w:t>Asynchronous processing</w:t>
            </w:r>
          </w:p>
        </w:tc>
      </w:tr>
      <w:tr>
        <w:tc>
          <w:tcPr>
            <w:tcW w:type="dxa" w:w="720"/>
            <w:tcMar>
              <w:top w:w="25" w:type="dxa"/>
              <w:left w:w="0" w:type="dxa"/>
              <w:bottom w:w="25" w:type="dxa"/>
              <w:right w:w="40" w:type="dxa"/>
            </w:tcMar>
          </w:tcPr>
          <w:p>
            <w:r>
              <w:rPr>
                <w:b/>
                <w:color w:val="2D6A6A"/>
                <w:sz w:val="20"/>
              </w:rPr>
              <w:t>7</w:t>
            </w:r>
          </w:p>
        </w:tc>
        <w:tc>
          <w:tcPr>
            <w:tcW w:type="dxa" w:w="7920"/>
            <w:tcMar>
              <w:top w:w="25" w:type="dxa"/>
              <w:left w:w="0" w:type="dxa"/>
              <w:bottom w:w="25" w:type="dxa"/>
              <w:right w:w="0" w:type="dxa"/>
            </w:tcMar>
          </w:tcPr>
          <w:p>
            <w:r>
              <w:rPr>
                <w:color w:val="16261F"/>
                <w:sz w:val="20"/>
              </w:rPr>
              <w:t>Integration libraries</w:t>
            </w:r>
          </w:p>
        </w:tc>
      </w:tr>
      <w:tr>
        <w:tc>
          <w:tcPr>
            <w:tcW w:type="dxa" w:w="720"/>
            <w:tcMar>
              <w:top w:w="25" w:type="dxa"/>
              <w:left w:w="0" w:type="dxa"/>
              <w:bottom w:w="25" w:type="dxa"/>
              <w:right w:w="40" w:type="dxa"/>
            </w:tcMar>
          </w:tcPr>
          <w:p>
            <w:r>
              <w:rPr>
                <w:b/>
                <w:color w:val="2D6A6A"/>
                <w:sz w:val="20"/>
              </w:rPr>
              <w:t>8</w:t>
            </w:r>
          </w:p>
        </w:tc>
        <w:tc>
          <w:tcPr>
            <w:tcW w:type="dxa" w:w="7920"/>
            <w:tcMar>
              <w:top w:w="25" w:type="dxa"/>
              <w:left w:w="0" w:type="dxa"/>
              <w:bottom w:w="25" w:type="dxa"/>
              <w:right w:w="0" w:type="dxa"/>
            </w:tcMar>
          </w:tcPr>
          <w:p>
            <w:r>
              <w:rPr>
                <w:color w:val="16261F"/>
                <w:sz w:val="20"/>
              </w:rPr>
              <w:t>Document and email generation</w:t>
            </w:r>
          </w:p>
        </w:tc>
      </w:tr>
      <w:tr>
        <w:tc>
          <w:tcPr>
            <w:tcW w:type="dxa" w:w="720"/>
            <w:tcMar>
              <w:top w:w="25" w:type="dxa"/>
              <w:left w:w="0" w:type="dxa"/>
              <w:bottom w:w="25" w:type="dxa"/>
              <w:right w:w="40" w:type="dxa"/>
            </w:tcMar>
          </w:tcPr>
          <w:p>
            <w:r>
              <w:rPr>
                <w:b/>
                <w:color w:val="2D6A6A"/>
                <w:sz w:val="20"/>
              </w:rPr>
              <w:t>9</w:t>
            </w:r>
          </w:p>
        </w:tc>
        <w:tc>
          <w:tcPr>
            <w:tcW w:type="dxa" w:w="7920"/>
            <w:tcMar>
              <w:top w:w="25" w:type="dxa"/>
              <w:left w:w="0" w:type="dxa"/>
              <w:bottom w:w="25" w:type="dxa"/>
              <w:right w:w="0" w:type="dxa"/>
            </w:tcMar>
          </w:tcPr>
          <w:p>
            <w:r>
              <w:rPr>
                <w:color w:val="16261F"/>
                <w:sz w:val="20"/>
              </w:rPr>
              <w:t>Infrastructure and hosting</w:t>
            </w:r>
          </w:p>
        </w:tc>
      </w:tr>
      <w:tr>
        <w:tc>
          <w:tcPr>
            <w:tcW w:type="dxa" w:w="720"/>
            <w:tcMar>
              <w:top w:w="25" w:type="dxa"/>
              <w:left w:w="0" w:type="dxa"/>
              <w:bottom w:w="25" w:type="dxa"/>
              <w:right w:w="40" w:type="dxa"/>
            </w:tcMar>
          </w:tcPr>
          <w:p>
            <w:r>
              <w:rPr>
                <w:b/>
                <w:color w:val="2D6A6A"/>
                <w:sz w:val="20"/>
              </w:rPr>
              <w:t>10</w:t>
            </w:r>
          </w:p>
        </w:tc>
        <w:tc>
          <w:tcPr>
            <w:tcW w:type="dxa" w:w="7920"/>
            <w:tcMar>
              <w:top w:w="25" w:type="dxa"/>
              <w:left w:w="0" w:type="dxa"/>
              <w:bottom w:w="25" w:type="dxa"/>
              <w:right w:w="0" w:type="dxa"/>
            </w:tcMar>
          </w:tcPr>
          <w:p>
            <w:r>
              <w:rPr>
                <w:color w:val="16261F"/>
                <w:sz w:val="20"/>
              </w:rPr>
              <w:t>Security and secret management</w:t>
            </w:r>
          </w:p>
        </w:tc>
      </w:tr>
      <w:tr>
        <w:tc>
          <w:tcPr>
            <w:tcW w:type="dxa" w:w="720"/>
            <w:tcMar>
              <w:top w:w="25" w:type="dxa"/>
              <w:left w:w="0" w:type="dxa"/>
              <w:bottom w:w="25" w:type="dxa"/>
              <w:right w:w="40" w:type="dxa"/>
            </w:tcMar>
          </w:tcPr>
          <w:p>
            <w:r>
              <w:rPr>
                <w:b/>
                <w:color w:val="2D6A6A"/>
                <w:sz w:val="20"/>
              </w:rPr>
              <w:t>11</w:t>
            </w:r>
          </w:p>
        </w:tc>
        <w:tc>
          <w:tcPr>
            <w:tcW w:type="dxa" w:w="7920"/>
            <w:tcMar>
              <w:top w:w="25" w:type="dxa"/>
              <w:left w:w="0" w:type="dxa"/>
              <w:bottom w:w="25" w:type="dxa"/>
              <w:right w:w="0" w:type="dxa"/>
            </w:tcMar>
          </w:tcPr>
          <w:p>
            <w:r>
              <w:rPr>
                <w:color w:val="16261F"/>
                <w:sz w:val="20"/>
              </w:rPr>
              <w:t>Observability</w:t>
            </w:r>
          </w:p>
        </w:tc>
      </w:tr>
      <w:tr>
        <w:tc>
          <w:tcPr>
            <w:tcW w:type="dxa" w:w="720"/>
            <w:tcMar>
              <w:top w:w="25" w:type="dxa"/>
              <w:left w:w="0" w:type="dxa"/>
              <w:bottom w:w="25" w:type="dxa"/>
              <w:right w:w="40" w:type="dxa"/>
            </w:tcMar>
          </w:tcPr>
          <w:p>
            <w:r>
              <w:rPr>
                <w:b/>
                <w:color w:val="2D6A6A"/>
                <w:sz w:val="20"/>
              </w:rPr>
              <w:t>12</w:t>
            </w:r>
          </w:p>
        </w:tc>
        <w:tc>
          <w:tcPr>
            <w:tcW w:type="dxa" w:w="7920"/>
            <w:tcMar>
              <w:top w:w="25" w:type="dxa"/>
              <w:left w:w="0" w:type="dxa"/>
              <w:bottom w:w="25" w:type="dxa"/>
              <w:right w:w="0" w:type="dxa"/>
            </w:tcMar>
          </w:tcPr>
          <w:p>
            <w:r>
              <w:rPr>
                <w:color w:val="16261F"/>
                <w:sz w:val="20"/>
              </w:rPr>
              <w:t>Testing stack</w:t>
            </w:r>
          </w:p>
        </w:tc>
      </w:tr>
      <w:tr>
        <w:tc>
          <w:tcPr>
            <w:tcW w:type="dxa" w:w="720"/>
            <w:tcMar>
              <w:top w:w="25" w:type="dxa"/>
              <w:left w:w="0" w:type="dxa"/>
              <w:bottom w:w="25" w:type="dxa"/>
              <w:right w:w="40" w:type="dxa"/>
            </w:tcMar>
          </w:tcPr>
          <w:p>
            <w:r>
              <w:rPr>
                <w:b/>
                <w:color w:val="2D6A6A"/>
                <w:sz w:val="20"/>
              </w:rPr>
              <w:t>13</w:t>
            </w:r>
          </w:p>
        </w:tc>
        <w:tc>
          <w:tcPr>
            <w:tcW w:type="dxa" w:w="7920"/>
            <w:tcMar>
              <w:top w:w="25" w:type="dxa"/>
              <w:left w:w="0" w:type="dxa"/>
              <w:bottom w:w="25" w:type="dxa"/>
              <w:right w:w="0" w:type="dxa"/>
            </w:tcMar>
          </w:tcPr>
          <w:p>
            <w:r>
              <w:rPr>
                <w:color w:val="16261F"/>
                <w:sz w:val="20"/>
              </w:rPr>
              <w:t>Alternatives considered and rejected</w:t>
            </w:r>
          </w:p>
        </w:tc>
      </w:tr>
      <w:tr>
        <w:tc>
          <w:tcPr>
            <w:tcW w:type="dxa" w:w="720"/>
            <w:tcMar>
              <w:top w:w="25" w:type="dxa"/>
              <w:left w:w="0" w:type="dxa"/>
              <w:bottom w:w="25" w:type="dxa"/>
              <w:right w:w="40" w:type="dxa"/>
            </w:tcMar>
          </w:tcPr>
          <w:p>
            <w:r>
              <w:rPr>
                <w:b/>
                <w:color w:val="2D6A6A"/>
                <w:sz w:val="20"/>
              </w:rPr>
              <w:t>14</w:t>
            </w:r>
          </w:p>
        </w:tc>
        <w:tc>
          <w:tcPr>
            <w:tcW w:type="dxa" w:w="7920"/>
            <w:tcMar>
              <w:top w:w="25" w:type="dxa"/>
              <w:left w:w="0" w:type="dxa"/>
              <w:bottom w:w="25" w:type="dxa"/>
              <w:right w:w="0" w:type="dxa"/>
            </w:tcMar>
          </w:tcPr>
          <w:p>
            <w:r>
              <w:rPr>
                <w:color w:val="16261F"/>
                <w:sz w:val="20"/>
              </w:rPr>
              <w:t>Indicative cost model</w:t>
            </w:r>
          </w:p>
        </w:tc>
      </w:tr>
      <w:tr>
        <w:tc>
          <w:tcPr>
            <w:tcW w:type="dxa" w:w="720"/>
            <w:tcMar>
              <w:top w:w="25" w:type="dxa"/>
              <w:left w:w="0" w:type="dxa"/>
              <w:bottom w:w="25" w:type="dxa"/>
              <w:right w:w="40" w:type="dxa"/>
            </w:tcMar>
          </w:tcPr>
          <w:p>
            <w:r>
              <w:rPr>
                <w:b/>
                <w:color w:val="2D6A6A"/>
                <w:sz w:val="20"/>
              </w:rPr>
              <w:t>15</w:t>
            </w:r>
          </w:p>
        </w:tc>
        <w:tc>
          <w:tcPr>
            <w:tcW w:type="dxa" w:w="7920"/>
            <w:tcMar>
              <w:top w:w="25" w:type="dxa"/>
              <w:left w:w="0" w:type="dxa"/>
              <w:bottom w:w="25" w:type="dxa"/>
              <w:right w:w="0" w:type="dxa"/>
            </w:tcMar>
          </w:tcPr>
          <w:p>
            <w:r>
              <w:rPr>
                <w:color w:val="16261F"/>
                <w:sz w:val="20"/>
              </w:rPr>
              <w:t>Skills matrix and team shape</w:t>
            </w:r>
          </w:p>
        </w:tc>
      </w:tr>
      <w:tr>
        <w:tc>
          <w:tcPr>
            <w:tcW w:type="dxa" w:w="720"/>
            <w:tcMar>
              <w:top w:w="25" w:type="dxa"/>
              <w:left w:w="0" w:type="dxa"/>
              <w:bottom w:w="25" w:type="dxa"/>
              <w:right w:w="40" w:type="dxa"/>
            </w:tcMar>
          </w:tcPr>
          <w:p>
            <w:r>
              <w:rPr>
                <w:b/>
                <w:color w:val="2D6A6A"/>
                <w:sz w:val="20"/>
              </w:rPr>
              <w:t>16</w:t>
            </w:r>
          </w:p>
        </w:tc>
        <w:tc>
          <w:tcPr>
            <w:tcW w:type="dxa" w:w="7920"/>
            <w:tcMar>
              <w:top w:w="25" w:type="dxa"/>
              <w:left w:w="0" w:type="dxa"/>
              <w:bottom w:w="25" w:type="dxa"/>
              <w:right w:w="0" w:type="dxa"/>
            </w:tcMar>
          </w:tcPr>
          <w:p>
            <w:r>
              <w:rPr>
                <w:color w:val="16261F"/>
                <w:sz w:val="20"/>
              </w:rPr>
              <w:t>Adoption risks</w:t>
            </w:r>
          </w:p>
        </w:tc>
      </w:tr>
    </w:tbl>
    <w:p>
      <w:pPr>
        <w:spacing w:after="280"/>
      </w:pPr>
    </w:p>
    <w:p>
      <w:pPr>
        <w:pStyle w:val="Heading2"/>
      </w:pPr>
      <w:r>
        <w:t>Revision history</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2340"/>
        <w:gridCol w:w="2340"/>
        <w:gridCol w:w="2340"/>
        <w:gridCol w:w="2340"/>
      </w:tblGrid>
      <w:tr>
        <w:trPr>
          <w:tblHeader w:val="true"/>
        </w:trPr>
        <w:tc>
          <w:tcPr>
            <w:tcW w:type="dxa" w:w="1152"/>
            <w:shd w:val="clear" w:color="auto" w:fill="16261F"/>
            <w:tcMar>
              <w:top w:w="70" w:type="dxa"/>
              <w:left w:w="110" w:type="dxa"/>
              <w:bottom w:w="70" w:type="dxa"/>
              <w:right w:w="110" w:type="dxa"/>
            </w:tcMar>
          </w:tcPr>
          <w:p>
            <w:pPr>
              <w:spacing w:after="0"/>
            </w:pPr>
            <w:r>
              <w:rPr>
                <w:rFonts w:ascii="Calibri" w:hAnsi="Calibri"/>
                <w:b/>
                <w:color w:val="FFFFFF"/>
                <w:sz w:val="18"/>
              </w:rPr>
              <w:t>Version</w:t>
            </w:r>
          </w:p>
        </w:tc>
        <w:tc>
          <w:tcPr>
            <w:tcW w:type="dxa" w:w="1584"/>
            <w:shd w:val="clear" w:color="auto" w:fill="16261F"/>
            <w:tcMar>
              <w:top w:w="70" w:type="dxa"/>
              <w:left w:w="110" w:type="dxa"/>
              <w:bottom w:w="70" w:type="dxa"/>
              <w:right w:w="110" w:type="dxa"/>
            </w:tcMar>
          </w:tcPr>
          <w:p>
            <w:pPr>
              <w:spacing w:after="0"/>
            </w:pPr>
            <w:r>
              <w:rPr>
                <w:rFonts w:ascii="Calibri" w:hAnsi="Calibri"/>
                <w:b/>
                <w:color w:val="FFFFFF"/>
                <w:sz w:val="18"/>
              </w:rPr>
              <w:t>Date</w:t>
            </w:r>
          </w:p>
        </w:tc>
        <w:tc>
          <w:tcPr>
            <w:tcW w:type="dxa" w:w="2736"/>
            <w:shd w:val="clear" w:color="auto" w:fill="16261F"/>
            <w:tcMar>
              <w:top w:w="70" w:type="dxa"/>
              <w:left w:w="110" w:type="dxa"/>
              <w:bottom w:w="70" w:type="dxa"/>
              <w:right w:w="110" w:type="dxa"/>
            </w:tcMar>
          </w:tcPr>
          <w:p>
            <w:pPr>
              <w:spacing w:after="0"/>
            </w:pPr>
            <w:r>
              <w:rPr>
                <w:rFonts w:ascii="Calibri" w:hAnsi="Calibri"/>
                <w:b/>
                <w:color w:val="FFFFFF"/>
                <w:sz w:val="18"/>
              </w:rPr>
              <w:t>Author</w:t>
            </w:r>
          </w:p>
        </w:tc>
        <w:tc>
          <w:tcPr>
            <w:tcW w:type="dxa" w:w="3888"/>
            <w:shd w:val="clear" w:color="auto" w:fill="16261F"/>
            <w:tcMar>
              <w:top w:w="70" w:type="dxa"/>
              <w:left w:w="110" w:type="dxa"/>
              <w:bottom w:w="70" w:type="dxa"/>
              <w:right w:w="110" w:type="dxa"/>
            </w:tcMar>
          </w:tcPr>
          <w:p>
            <w:pPr>
              <w:spacing w:after="0"/>
            </w:pPr>
            <w:r>
              <w:rPr>
                <w:rFonts w:ascii="Calibri" w:hAnsi="Calibri"/>
                <w:b/>
                <w:color w:val="FFFFFF"/>
                <w:sz w:val="18"/>
              </w:rPr>
              <w:t>Summary of change</w:t>
            </w:r>
          </w:p>
        </w:tc>
      </w:tr>
      <w:tr>
        <w:tc>
          <w:tcPr>
            <w:tcW w:type="dxa" w:w="1152"/>
            <w:tcMar>
              <w:top w:w="60" w:type="dxa"/>
              <w:left w:w="110" w:type="dxa"/>
              <w:bottom w:w="60" w:type="dxa"/>
              <w:right w:w="110" w:type="dxa"/>
            </w:tcMar>
          </w:tcPr>
          <w:p>
            <w:pPr>
              <w:spacing w:after="0"/>
            </w:pPr>
            <w:r>
              <w:rPr>
                <w:b w:val="0"/>
                <w:i w:val="0"/>
                <w:color w:val="16261F"/>
                <w:sz w:val="19"/>
              </w:rPr>
              <w:t>1.0</w:t>
            </w:r>
          </w:p>
        </w:tc>
        <w:tc>
          <w:tcPr>
            <w:tcW w:type="dxa" w:w="1584"/>
            <w:tcMar>
              <w:top w:w="60" w:type="dxa"/>
              <w:left w:w="110" w:type="dxa"/>
              <w:bottom w:w="60" w:type="dxa"/>
              <w:right w:w="110" w:type="dxa"/>
            </w:tcMar>
          </w:tcPr>
          <w:p>
            <w:pPr>
              <w:spacing w:after="0"/>
            </w:pPr>
            <w:r>
              <w:rPr>
                <w:b w:val="0"/>
                <w:i w:val="0"/>
                <w:color w:val="16261F"/>
                <w:sz w:val="19"/>
              </w:rPr>
              <w:t>24 Jul 2026</w:t>
            </w:r>
          </w:p>
        </w:tc>
        <w:tc>
          <w:tcPr>
            <w:tcW w:type="dxa" w:w="2736"/>
            <w:tcMar>
              <w:top w:w="60" w:type="dxa"/>
              <w:left w:w="110" w:type="dxa"/>
              <w:bottom w:w="60" w:type="dxa"/>
              <w:right w:w="110" w:type="dxa"/>
            </w:tcMar>
          </w:tcPr>
          <w:p>
            <w:pPr>
              <w:spacing w:after="0"/>
            </w:pPr>
            <w:r>
              <w:rPr>
                <w:b w:val="0"/>
                <w:i w:val="0"/>
                <w:color w:val="16261F"/>
                <w:sz w:val="19"/>
              </w:rPr>
              <w:t>Product Engineering</w:t>
            </w:r>
          </w:p>
        </w:tc>
        <w:tc>
          <w:tcPr>
            <w:tcW w:type="dxa" w:w="3888"/>
            <w:tcMar>
              <w:top w:w="60" w:type="dxa"/>
              <w:left w:w="110" w:type="dxa"/>
              <w:bottom w:w="60" w:type="dxa"/>
              <w:right w:w="110" w:type="dxa"/>
            </w:tcMar>
          </w:tcPr>
          <w:p>
            <w:pPr>
              <w:spacing w:after="0"/>
            </w:pPr>
            <w:r>
              <w:rPr>
                <w:b w:val="0"/>
                <w:i w:val="0"/>
                <w:color w:val="16261F"/>
                <w:sz w:val="19"/>
              </w:rPr>
              <w:t>Initial issue for client review.</w:t>
            </w:r>
          </w:p>
        </w:tc>
      </w:tr>
    </w:tbl>
    <w:p>
      <w:r>
        <w:br w:type="page"/>
      </w:r>
    </w:p>
    <w:p>
      <w:pPr>
        <w:pStyle w:val="Heading1"/>
      </w:pPr>
      <w:r>
        <w:t>1. Purpose and selection criteria</w:t>
      </w:r>
    </w:p>
    <w:p>
      <w:pPr>
        <w:spacing w:after="140"/>
      </w:pPr>
      <w:r>
        <w:rPr>
          <w:b w:val="0"/>
          <w:i w:val="0"/>
          <w:color w:val="16261F"/>
          <w:sz w:val="21"/>
        </w:rPr>
        <w:t>This document records the technology chosen for each layer of the platform described in TDD-001, why it was chosen, and what was rejected. Recommendations are stated with conviction; where a genuine trade-off exists it is named rather than smoothed over.</w:t>
      </w:r>
    </w:p>
    <w:p>
      <w:pPr>
        <w:pStyle w:val="Heading2"/>
      </w:pPr>
      <w:r>
        <w:t>1.1 Selection criteria, in priority order</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3120"/>
        <w:gridCol w:w="3120"/>
        <w:gridCol w:w="3120"/>
      </w:tblGrid>
      <w:tr>
        <w:trPr>
          <w:tblHeader w:val="true"/>
        </w:trPr>
        <w:tc>
          <w:tcPr>
            <w:tcW w:type="dxa" w:w="504"/>
            <w:shd w:val="clear" w:color="auto" w:fill="16261F"/>
            <w:tcMar>
              <w:top w:w="70" w:type="dxa"/>
              <w:left w:w="110" w:type="dxa"/>
              <w:bottom w:w="70" w:type="dxa"/>
              <w:right w:w="110" w:type="dxa"/>
            </w:tcMar>
          </w:tcPr>
          <w:p>
            <w:pPr>
              <w:spacing w:after="0"/>
            </w:pPr>
            <w:r>
              <w:rPr>
                <w:rFonts w:ascii="Calibri" w:hAnsi="Calibri"/>
                <w:b/>
                <w:color w:val="FFFFFF"/>
                <w:sz w:val="17"/>
              </w:rPr>
              <w:t>#</w:t>
            </w:r>
          </w:p>
        </w:tc>
        <w:tc>
          <w:tcPr>
            <w:tcW w:type="dxa" w:w="2520"/>
            <w:shd w:val="clear" w:color="auto" w:fill="16261F"/>
            <w:tcMar>
              <w:top w:w="70" w:type="dxa"/>
              <w:left w:w="110" w:type="dxa"/>
              <w:bottom w:w="70" w:type="dxa"/>
              <w:right w:w="110" w:type="dxa"/>
            </w:tcMar>
          </w:tcPr>
          <w:p>
            <w:pPr>
              <w:spacing w:after="0"/>
            </w:pPr>
            <w:r>
              <w:rPr>
                <w:rFonts w:ascii="Calibri" w:hAnsi="Calibri"/>
                <w:b/>
                <w:color w:val="FFFFFF"/>
                <w:sz w:val="17"/>
              </w:rPr>
              <w:t>Criterion</w:t>
            </w:r>
          </w:p>
        </w:tc>
        <w:tc>
          <w:tcPr>
            <w:tcW w:type="dxa" w:w="6336"/>
            <w:shd w:val="clear" w:color="auto" w:fill="16261F"/>
            <w:tcMar>
              <w:top w:w="70" w:type="dxa"/>
              <w:left w:w="110" w:type="dxa"/>
              <w:bottom w:w="70" w:type="dxa"/>
              <w:right w:w="110" w:type="dxa"/>
            </w:tcMar>
          </w:tcPr>
          <w:p>
            <w:pPr>
              <w:spacing w:after="0"/>
            </w:pPr>
            <w:r>
              <w:rPr>
                <w:rFonts w:ascii="Calibri" w:hAnsi="Calibri"/>
                <w:b/>
                <w:color w:val="FFFFFF"/>
                <w:sz w:val="17"/>
              </w:rPr>
              <w:t>Why it ranks here</w:t>
            </w:r>
          </w:p>
        </w:tc>
      </w:tr>
      <w:tr>
        <w:tc>
          <w:tcPr>
            <w:tcW w:type="dxa" w:w="504"/>
            <w:tcMar>
              <w:top w:w="60" w:type="dxa"/>
              <w:left w:w="110" w:type="dxa"/>
              <w:bottom w:w="60" w:type="dxa"/>
              <w:right w:w="110" w:type="dxa"/>
            </w:tcMar>
          </w:tcPr>
          <w:p>
            <w:pPr>
              <w:spacing w:after="0"/>
            </w:pPr>
            <w:r>
              <w:rPr>
                <w:b w:val="0"/>
                <w:i w:val="0"/>
                <w:color w:val="16261F"/>
                <w:sz w:val="18"/>
              </w:rPr>
              <w:t>1</w:t>
            </w:r>
          </w:p>
        </w:tc>
        <w:tc>
          <w:tcPr>
            <w:tcW w:type="dxa" w:w="2520"/>
            <w:tcMar>
              <w:top w:w="60" w:type="dxa"/>
              <w:left w:w="110" w:type="dxa"/>
              <w:bottom w:w="60" w:type="dxa"/>
              <w:right w:w="110" w:type="dxa"/>
            </w:tcMar>
          </w:tcPr>
          <w:p>
            <w:pPr>
              <w:spacing w:after="0"/>
            </w:pPr>
            <w:r>
              <w:rPr>
                <w:b w:val="0"/>
                <w:i w:val="0"/>
                <w:color w:val="16261F"/>
                <w:sz w:val="18"/>
              </w:rPr>
              <w:t>Correctness under financial constraints</w:t>
            </w:r>
          </w:p>
        </w:tc>
        <w:tc>
          <w:tcPr>
            <w:tcW w:type="dxa" w:w="6336"/>
            <w:tcMar>
              <w:top w:w="60" w:type="dxa"/>
              <w:left w:w="110" w:type="dxa"/>
              <w:bottom w:w="60" w:type="dxa"/>
              <w:right w:w="110" w:type="dxa"/>
            </w:tcMar>
          </w:tcPr>
          <w:p>
            <w:pPr>
              <w:spacing w:after="0"/>
            </w:pPr>
            <w:r>
              <w:rPr>
                <w:b w:val="0"/>
                <w:i w:val="0"/>
                <w:color w:val="16261F"/>
                <w:sz w:val="18"/>
              </w:rPr>
              <w:t>The system computes and moves money. A technology that makes exact arithmetic, transactional integrity or auditability harder is disqualified regardless of other merits.</w:t>
            </w:r>
          </w:p>
        </w:tc>
      </w:tr>
      <w:tr>
        <w:tc>
          <w:tcPr>
            <w:tcW w:type="dxa" w:w="504"/>
            <w:tcMar>
              <w:top w:w="60" w:type="dxa"/>
              <w:left w:w="110" w:type="dxa"/>
              <w:bottom w:w="60" w:type="dxa"/>
              <w:right w:w="110" w:type="dxa"/>
            </w:tcMar>
            <w:shd w:val="clear" w:color="auto" w:fill="F5F7F5"/>
          </w:tcPr>
          <w:p>
            <w:pPr>
              <w:spacing w:after="0"/>
            </w:pPr>
            <w:r>
              <w:rPr>
                <w:b w:val="0"/>
                <w:i w:val="0"/>
                <w:color w:val="16261F"/>
                <w:sz w:val="18"/>
              </w:rPr>
              <w:t>2</w:t>
            </w:r>
          </w:p>
        </w:tc>
        <w:tc>
          <w:tcPr>
            <w:tcW w:type="dxa" w:w="2520"/>
            <w:tcMar>
              <w:top w:w="60" w:type="dxa"/>
              <w:left w:w="110" w:type="dxa"/>
              <w:bottom w:w="60" w:type="dxa"/>
              <w:right w:w="110" w:type="dxa"/>
            </w:tcMar>
            <w:shd w:val="clear" w:color="auto" w:fill="F5F7F5"/>
          </w:tcPr>
          <w:p>
            <w:pPr>
              <w:spacing w:after="0"/>
            </w:pPr>
            <w:r>
              <w:rPr>
                <w:b w:val="0"/>
                <w:i w:val="0"/>
                <w:color w:val="16261F"/>
                <w:sz w:val="18"/>
              </w:rPr>
              <w:t>Security posture and compliance fit</w:t>
            </w:r>
          </w:p>
        </w:tc>
        <w:tc>
          <w:tcPr>
            <w:tcW w:type="dxa" w:w="6336"/>
            <w:tcMar>
              <w:top w:w="60" w:type="dxa"/>
              <w:left w:w="110" w:type="dxa"/>
              <w:bottom w:w="60" w:type="dxa"/>
              <w:right w:w="110" w:type="dxa"/>
            </w:tcMar>
            <w:shd w:val="clear" w:color="auto" w:fill="F5F7F5"/>
          </w:tcPr>
          <w:p>
            <w:pPr>
              <w:spacing w:after="0"/>
            </w:pPr>
            <w:r>
              <w:rPr>
                <w:b w:val="0"/>
                <w:i w:val="0"/>
                <w:color w:val="16261F"/>
                <w:sz w:val="18"/>
              </w:rPr>
              <w:t>PCI scope, secret handling and tenant isolation are load-bearing. Technologies with weak defaults or poor isolation primitives cost more than they save.</w:t>
            </w:r>
          </w:p>
        </w:tc>
      </w:tr>
      <w:tr>
        <w:tc>
          <w:tcPr>
            <w:tcW w:type="dxa" w:w="504"/>
            <w:tcMar>
              <w:top w:w="60" w:type="dxa"/>
              <w:left w:w="110" w:type="dxa"/>
              <w:bottom w:w="60" w:type="dxa"/>
              <w:right w:w="110" w:type="dxa"/>
            </w:tcMar>
          </w:tcPr>
          <w:p>
            <w:pPr>
              <w:spacing w:after="0"/>
            </w:pPr>
            <w:r>
              <w:rPr>
                <w:b w:val="0"/>
                <w:i w:val="0"/>
                <w:color w:val="16261F"/>
                <w:sz w:val="18"/>
              </w:rPr>
              <w:t>3</w:t>
            </w:r>
          </w:p>
        </w:tc>
        <w:tc>
          <w:tcPr>
            <w:tcW w:type="dxa" w:w="2520"/>
            <w:tcMar>
              <w:top w:w="60" w:type="dxa"/>
              <w:left w:w="110" w:type="dxa"/>
              <w:bottom w:w="60" w:type="dxa"/>
              <w:right w:w="110" w:type="dxa"/>
            </w:tcMar>
          </w:tcPr>
          <w:p>
            <w:pPr>
              <w:spacing w:after="0"/>
            </w:pPr>
            <w:r>
              <w:rPr>
                <w:b w:val="0"/>
                <w:i w:val="0"/>
                <w:color w:val="16261F"/>
                <w:sz w:val="18"/>
              </w:rPr>
              <w:t>Team capability and hiring pool</w:t>
            </w:r>
          </w:p>
        </w:tc>
        <w:tc>
          <w:tcPr>
            <w:tcW w:type="dxa" w:w="6336"/>
            <w:tcMar>
              <w:top w:w="60" w:type="dxa"/>
              <w:left w:w="110" w:type="dxa"/>
              <w:bottom w:w="60" w:type="dxa"/>
              <w:right w:w="110" w:type="dxa"/>
            </w:tcMar>
          </w:tcPr>
          <w:p>
            <w:pPr>
              <w:spacing w:after="0"/>
            </w:pPr>
            <w:r>
              <w:rPr>
                <w:b w:val="0"/>
                <w:i w:val="0"/>
                <w:color w:val="16261F"/>
                <w:sz w:val="18"/>
              </w:rPr>
              <w:t>A stack the team cannot maintain is a liability whatever its benchmarks. Availability of engineers matters more than peak performance at this scale.</w:t>
            </w:r>
          </w:p>
        </w:tc>
      </w:tr>
      <w:tr>
        <w:tc>
          <w:tcPr>
            <w:tcW w:type="dxa" w:w="504"/>
            <w:tcMar>
              <w:top w:w="60" w:type="dxa"/>
              <w:left w:w="110" w:type="dxa"/>
              <w:bottom w:w="60" w:type="dxa"/>
              <w:right w:w="110" w:type="dxa"/>
            </w:tcMar>
            <w:shd w:val="clear" w:color="auto" w:fill="F5F7F5"/>
          </w:tcPr>
          <w:p>
            <w:pPr>
              <w:spacing w:after="0"/>
            </w:pPr>
            <w:r>
              <w:rPr>
                <w:b w:val="0"/>
                <w:i w:val="0"/>
                <w:color w:val="16261F"/>
                <w:sz w:val="18"/>
              </w:rPr>
              <w:t>4</w:t>
            </w:r>
          </w:p>
        </w:tc>
        <w:tc>
          <w:tcPr>
            <w:tcW w:type="dxa" w:w="2520"/>
            <w:tcMar>
              <w:top w:w="60" w:type="dxa"/>
              <w:left w:w="110" w:type="dxa"/>
              <w:bottom w:w="60" w:type="dxa"/>
              <w:right w:w="110" w:type="dxa"/>
            </w:tcMar>
            <w:shd w:val="clear" w:color="auto" w:fill="F5F7F5"/>
          </w:tcPr>
          <w:p>
            <w:pPr>
              <w:spacing w:after="0"/>
            </w:pPr>
            <w:r>
              <w:rPr>
                <w:b w:val="0"/>
                <w:i w:val="0"/>
                <w:color w:val="16261F"/>
                <w:sz w:val="18"/>
              </w:rPr>
              <w:t>Operational simplicity</w:t>
            </w:r>
          </w:p>
        </w:tc>
        <w:tc>
          <w:tcPr>
            <w:tcW w:type="dxa" w:w="6336"/>
            <w:tcMar>
              <w:top w:w="60" w:type="dxa"/>
              <w:left w:w="110" w:type="dxa"/>
              <w:bottom w:w="60" w:type="dxa"/>
              <w:right w:w="110" w:type="dxa"/>
            </w:tcMar>
            <w:shd w:val="clear" w:color="auto" w:fill="F5F7F5"/>
          </w:tcPr>
          <w:p>
            <w:pPr>
              <w:spacing w:after="0"/>
            </w:pPr>
            <w:r>
              <w:rPr>
                <w:b w:val="0"/>
                <w:i w:val="0"/>
                <w:color w:val="16261F"/>
                <w:sz w:val="18"/>
              </w:rPr>
              <w:t>At the projected load, operational overhead dominates compute cost. Managed services are preferred over self-hosted for anything not differentiating.</w:t>
            </w:r>
          </w:p>
        </w:tc>
      </w:tr>
      <w:tr>
        <w:tc>
          <w:tcPr>
            <w:tcW w:type="dxa" w:w="504"/>
            <w:tcMar>
              <w:top w:w="60" w:type="dxa"/>
              <w:left w:w="110" w:type="dxa"/>
              <w:bottom w:w="60" w:type="dxa"/>
              <w:right w:w="110" w:type="dxa"/>
            </w:tcMar>
          </w:tcPr>
          <w:p>
            <w:pPr>
              <w:spacing w:after="0"/>
            </w:pPr>
            <w:r>
              <w:rPr>
                <w:b w:val="0"/>
                <w:i w:val="0"/>
                <w:color w:val="16261F"/>
                <w:sz w:val="18"/>
              </w:rPr>
              <w:t>5</w:t>
            </w:r>
          </w:p>
        </w:tc>
        <w:tc>
          <w:tcPr>
            <w:tcW w:type="dxa" w:w="2520"/>
            <w:tcMar>
              <w:top w:w="60" w:type="dxa"/>
              <w:left w:w="110" w:type="dxa"/>
              <w:bottom w:w="60" w:type="dxa"/>
              <w:right w:w="110" w:type="dxa"/>
            </w:tcMar>
          </w:tcPr>
          <w:p>
            <w:pPr>
              <w:spacing w:after="0"/>
            </w:pPr>
            <w:r>
              <w:rPr>
                <w:b w:val="0"/>
                <w:i w:val="0"/>
                <w:color w:val="16261F"/>
                <w:sz w:val="18"/>
              </w:rPr>
              <w:t>Ecosystem maturity for the specific problem</w:t>
            </w:r>
          </w:p>
        </w:tc>
        <w:tc>
          <w:tcPr>
            <w:tcW w:type="dxa" w:w="6336"/>
            <w:tcMar>
              <w:top w:w="60" w:type="dxa"/>
              <w:left w:w="110" w:type="dxa"/>
              <w:bottom w:w="60" w:type="dxa"/>
              <w:right w:w="110" w:type="dxa"/>
            </w:tcMar>
          </w:tcPr>
          <w:p>
            <w:pPr>
              <w:spacing w:after="0"/>
            </w:pPr>
            <w:r>
              <w:rPr>
                <w:b w:val="0"/>
                <w:i w:val="0"/>
                <w:color w:val="16261F"/>
                <w:sz w:val="18"/>
              </w:rPr>
              <w:t>Payments, accounting integration, PDF generation and email deliverability all have well-trodden paths. Novelty here is a cost, not a feature.</w:t>
            </w:r>
          </w:p>
        </w:tc>
      </w:tr>
      <w:tr>
        <w:tc>
          <w:tcPr>
            <w:tcW w:type="dxa" w:w="504"/>
            <w:tcMar>
              <w:top w:w="60" w:type="dxa"/>
              <w:left w:w="110" w:type="dxa"/>
              <w:bottom w:w="60" w:type="dxa"/>
              <w:right w:w="110" w:type="dxa"/>
            </w:tcMar>
            <w:shd w:val="clear" w:color="auto" w:fill="F5F7F5"/>
          </w:tcPr>
          <w:p>
            <w:pPr>
              <w:spacing w:after="0"/>
            </w:pPr>
            <w:r>
              <w:rPr>
                <w:b w:val="0"/>
                <w:i w:val="0"/>
                <w:color w:val="16261F"/>
                <w:sz w:val="18"/>
              </w:rPr>
              <w:t>6</w:t>
            </w:r>
          </w:p>
        </w:tc>
        <w:tc>
          <w:tcPr>
            <w:tcW w:type="dxa" w:w="2520"/>
            <w:tcMar>
              <w:top w:w="60" w:type="dxa"/>
              <w:left w:w="110" w:type="dxa"/>
              <w:bottom w:w="60" w:type="dxa"/>
              <w:right w:w="110" w:type="dxa"/>
            </w:tcMar>
            <w:shd w:val="clear" w:color="auto" w:fill="F5F7F5"/>
          </w:tcPr>
          <w:p>
            <w:pPr>
              <w:spacing w:after="0"/>
            </w:pPr>
            <w:r>
              <w:rPr>
                <w:b w:val="0"/>
                <w:i w:val="0"/>
                <w:color w:val="16261F"/>
                <w:sz w:val="18"/>
              </w:rPr>
              <w:t>Total cost of ownership</w:t>
            </w:r>
          </w:p>
        </w:tc>
        <w:tc>
          <w:tcPr>
            <w:tcW w:type="dxa" w:w="6336"/>
            <w:tcMar>
              <w:top w:w="60" w:type="dxa"/>
              <w:left w:w="110" w:type="dxa"/>
              <w:bottom w:w="60" w:type="dxa"/>
              <w:right w:w="110" w:type="dxa"/>
            </w:tcMar>
            <w:shd w:val="clear" w:color="auto" w:fill="F5F7F5"/>
          </w:tcPr>
          <w:p>
            <w:pPr>
              <w:spacing w:after="0"/>
            </w:pPr>
            <w:r>
              <w:rPr>
                <w:b w:val="0"/>
                <w:i w:val="0"/>
                <w:color w:val="16261F"/>
                <w:sz w:val="18"/>
              </w:rPr>
              <w:t>Licence and hosting cost, weighted against engineering time. Engineering time is the larger number at this scale.</w:t>
            </w:r>
          </w:p>
        </w:tc>
      </w:tr>
      <w:tr>
        <w:tc>
          <w:tcPr>
            <w:tcW w:type="dxa" w:w="504"/>
            <w:tcMar>
              <w:top w:w="60" w:type="dxa"/>
              <w:left w:w="110" w:type="dxa"/>
              <w:bottom w:w="60" w:type="dxa"/>
              <w:right w:w="110" w:type="dxa"/>
            </w:tcMar>
          </w:tcPr>
          <w:p>
            <w:pPr>
              <w:spacing w:after="0"/>
            </w:pPr>
            <w:r>
              <w:rPr>
                <w:b w:val="0"/>
                <w:i w:val="0"/>
                <w:color w:val="16261F"/>
                <w:sz w:val="18"/>
              </w:rPr>
              <w:t>7</w:t>
            </w:r>
          </w:p>
        </w:tc>
        <w:tc>
          <w:tcPr>
            <w:tcW w:type="dxa" w:w="2520"/>
            <w:tcMar>
              <w:top w:w="60" w:type="dxa"/>
              <w:left w:w="110" w:type="dxa"/>
              <w:bottom w:w="60" w:type="dxa"/>
              <w:right w:w="110" w:type="dxa"/>
            </w:tcMar>
          </w:tcPr>
          <w:p>
            <w:pPr>
              <w:spacing w:after="0"/>
            </w:pPr>
            <w:r>
              <w:rPr>
                <w:b w:val="0"/>
                <w:i w:val="0"/>
                <w:color w:val="16261F"/>
                <w:sz w:val="18"/>
              </w:rPr>
              <w:t>Raw performance</w:t>
            </w:r>
          </w:p>
        </w:tc>
        <w:tc>
          <w:tcPr>
            <w:tcW w:type="dxa" w:w="6336"/>
            <w:tcMar>
              <w:top w:w="60" w:type="dxa"/>
              <w:left w:w="110" w:type="dxa"/>
              <w:bottom w:w="60" w:type="dxa"/>
              <w:right w:w="110" w:type="dxa"/>
            </w:tcMar>
          </w:tcPr>
          <w:p>
            <w:pPr>
              <w:spacing w:after="0"/>
            </w:pPr>
            <w:r>
              <w:rPr>
                <w:b w:val="0"/>
                <w:i w:val="0"/>
                <w:color w:val="16261F"/>
                <w:sz w:val="18"/>
              </w:rPr>
              <w:t>Ranked last deliberately. At 5,000 invoices per month, no mainstream stack is the bottleneck. Choosing for benchmarks here would be optimising the wrong variable.</w:t>
            </w:r>
          </w:p>
        </w:tc>
      </w:tr>
    </w:tbl>
    <w:p>
      <w:pPr>
        <w:pBdr>
          <w:left w:val="single" w:sz="18" w:space="10" w:color="2D6A6A"/>
        </w:pBdr>
        <w:shd w:val="clear" w:color="auto" w:fill="EDF1EE"/>
        <w:spacing w:before="160" w:after="180"/>
        <w:ind w:left="173"/>
      </w:pPr>
      <w:r>
        <w:rPr>
          <w:b/>
          <w:color w:val="2D6A6A"/>
          <w:sz w:val="17"/>
        </w:rPr>
        <w:t xml:space="preserve">A NOTE ON THE PROTOTYPE  </w:t>
      </w:r>
      <w:r>
        <w:rPr>
          <w:color w:val="16261F"/>
          <w:sz w:val="20"/>
        </w:rPr>
        <w:t>The prototype uses React 18, Tailwind and lucide icons via CDN with in-browser Babel transpilation. The component model and visual system are worth keeping and are reflected below. The delivery mechanism — CDN scripts and runtime transpilation — is a demonstration convenience and is not production-viable: no type checking, no bundling, no dependency pinning, and a hard dependency on third-party CDN availability at page load.</w:t>
      </w:r>
    </w:p>
    <w:p>
      <w:r>
        <w:br w:type="page"/>
      </w:r>
    </w:p>
    <w:p>
      <w:pPr>
        <w:pStyle w:val="Heading1"/>
      </w:pPr>
      <w:r>
        <w:t>2. Stack at a glance</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2340"/>
        <w:gridCol w:w="2340"/>
        <w:gridCol w:w="2340"/>
        <w:gridCol w:w="2340"/>
      </w:tblGrid>
      <w:tr>
        <w:trPr>
          <w:tblHeader w:val="true"/>
        </w:trPr>
        <w:tc>
          <w:tcPr>
            <w:tcW w:type="dxa" w:w="2160"/>
            <w:shd w:val="clear" w:color="auto" w:fill="16261F"/>
            <w:tcMar>
              <w:top w:w="70" w:type="dxa"/>
              <w:left w:w="110" w:type="dxa"/>
              <w:bottom w:w="70" w:type="dxa"/>
              <w:right w:w="110" w:type="dxa"/>
            </w:tcMar>
          </w:tcPr>
          <w:p>
            <w:pPr>
              <w:spacing w:after="0"/>
            </w:pPr>
            <w:r>
              <w:rPr>
                <w:rFonts w:ascii="Calibri" w:hAnsi="Calibri"/>
                <w:b/>
                <w:color w:val="FFFFFF"/>
                <w:sz w:val="17"/>
              </w:rPr>
              <w:t>Layer</w:t>
            </w:r>
          </w:p>
        </w:tc>
        <w:tc>
          <w:tcPr>
            <w:tcW w:type="dxa" w:w="3600"/>
            <w:shd w:val="clear" w:color="auto" w:fill="16261F"/>
            <w:tcMar>
              <w:top w:w="70" w:type="dxa"/>
              <w:left w:w="110" w:type="dxa"/>
              <w:bottom w:w="70" w:type="dxa"/>
              <w:right w:w="110" w:type="dxa"/>
            </w:tcMar>
          </w:tcPr>
          <w:p>
            <w:pPr>
              <w:spacing w:after="0"/>
            </w:pPr>
            <w:r>
              <w:rPr>
                <w:rFonts w:ascii="Calibri" w:hAnsi="Calibri"/>
                <w:b/>
                <w:color w:val="FFFFFF"/>
                <w:sz w:val="17"/>
              </w:rPr>
              <w:t>Recommendation</w:t>
            </w:r>
          </w:p>
        </w:tc>
        <w:tc>
          <w:tcPr>
            <w:tcW w:type="dxa" w:w="1440"/>
            <w:shd w:val="clear" w:color="auto" w:fill="16261F"/>
            <w:tcMar>
              <w:top w:w="70" w:type="dxa"/>
              <w:left w:w="110" w:type="dxa"/>
              <w:bottom w:w="70" w:type="dxa"/>
              <w:right w:w="110" w:type="dxa"/>
            </w:tcMar>
          </w:tcPr>
          <w:p>
            <w:pPr>
              <w:spacing w:after="0"/>
            </w:pPr>
            <w:r>
              <w:rPr>
                <w:rFonts w:ascii="Calibri" w:hAnsi="Calibri"/>
                <w:b/>
                <w:color w:val="FFFFFF"/>
                <w:sz w:val="17"/>
              </w:rPr>
              <w:t>Version</w:t>
            </w:r>
          </w:p>
        </w:tc>
        <w:tc>
          <w:tcPr>
            <w:tcW w:type="dxa" w:w="1440"/>
            <w:shd w:val="clear" w:color="auto" w:fill="16261F"/>
            <w:tcMar>
              <w:top w:w="70" w:type="dxa"/>
              <w:left w:w="110" w:type="dxa"/>
              <w:bottom w:w="70" w:type="dxa"/>
              <w:right w:w="110" w:type="dxa"/>
            </w:tcMar>
          </w:tcPr>
          <w:p>
            <w:pPr>
              <w:spacing w:after="0"/>
              <w:jc w:val="center"/>
            </w:pPr>
            <w:r>
              <w:rPr>
                <w:rFonts w:ascii="Calibri" w:hAnsi="Calibri"/>
                <w:b/>
                <w:color w:val="FFFFFF"/>
                <w:sz w:val="17"/>
              </w:rPr>
              <w:t>Confidence</w:t>
            </w:r>
          </w:p>
        </w:tc>
      </w:tr>
      <w:tr>
        <w:tc>
          <w:tcPr>
            <w:tcW w:type="dxa" w:w="2160"/>
            <w:tcMar>
              <w:top w:w="60" w:type="dxa"/>
              <w:left w:w="110" w:type="dxa"/>
              <w:bottom w:w="60" w:type="dxa"/>
              <w:right w:w="110" w:type="dxa"/>
            </w:tcMar>
          </w:tcPr>
          <w:p>
            <w:pPr>
              <w:spacing w:after="0"/>
            </w:pPr>
            <w:r>
              <w:rPr>
                <w:b w:val="0"/>
                <w:i w:val="0"/>
                <w:color w:val="16261F"/>
                <w:sz w:val="18"/>
              </w:rPr>
              <w:t>Language</w:t>
            </w:r>
          </w:p>
        </w:tc>
        <w:tc>
          <w:tcPr>
            <w:tcW w:type="dxa" w:w="3600"/>
            <w:tcMar>
              <w:top w:w="60" w:type="dxa"/>
              <w:left w:w="110" w:type="dxa"/>
              <w:bottom w:w="60" w:type="dxa"/>
              <w:right w:w="110" w:type="dxa"/>
            </w:tcMar>
          </w:tcPr>
          <w:p>
            <w:pPr>
              <w:spacing w:after="0"/>
            </w:pPr>
            <w:r>
              <w:rPr>
                <w:b w:val="0"/>
                <w:i w:val="0"/>
                <w:color w:val="16261F"/>
                <w:sz w:val="18"/>
              </w:rPr>
              <w:t>TypeScript (strict mode)</w:t>
            </w:r>
          </w:p>
        </w:tc>
        <w:tc>
          <w:tcPr>
            <w:tcW w:type="dxa" w:w="1440"/>
            <w:tcMar>
              <w:top w:w="60" w:type="dxa"/>
              <w:left w:w="110" w:type="dxa"/>
              <w:bottom w:w="60" w:type="dxa"/>
              <w:right w:w="110" w:type="dxa"/>
            </w:tcMar>
          </w:tcPr>
          <w:p>
            <w:pPr>
              <w:spacing w:after="0"/>
            </w:pPr>
            <w:r>
              <w:rPr>
                <w:b w:val="0"/>
                <w:i w:val="0"/>
                <w:color w:val="16261F"/>
                <w:sz w:val="18"/>
              </w:rPr>
              <w:t>5.x</w:t>
            </w:r>
          </w:p>
        </w:tc>
        <w:tc>
          <w:tcPr>
            <w:tcW w:type="dxa" w:w="1440"/>
            <w:tcMar>
              <w:top w:w="60" w:type="dxa"/>
              <w:left w:w="110" w:type="dxa"/>
              <w:bottom w:w="60" w:type="dxa"/>
              <w:right w:w="110" w:type="dxa"/>
            </w:tcMar>
          </w:tcPr>
          <w:p>
            <w:pPr>
              <w:spacing w:after="0"/>
              <w:jc w:val="center"/>
            </w:pPr>
            <w:r>
              <w:rPr>
                <w:b/>
                <w:i w:val="0"/>
                <w:color w:val="1F8B5C"/>
                <w:sz w:val="18"/>
              </w:rPr>
              <w:t>High</w:t>
            </w:r>
          </w:p>
        </w:tc>
      </w:tr>
      <w:tr>
        <w:tc>
          <w:tcPr>
            <w:tcW w:type="dxa" w:w="2160"/>
            <w:tcMar>
              <w:top w:w="60" w:type="dxa"/>
              <w:left w:w="110" w:type="dxa"/>
              <w:bottom w:w="60" w:type="dxa"/>
              <w:right w:w="110" w:type="dxa"/>
            </w:tcMar>
            <w:shd w:val="clear" w:color="auto" w:fill="F5F7F5"/>
          </w:tcPr>
          <w:p>
            <w:pPr>
              <w:spacing w:after="0"/>
            </w:pPr>
            <w:r>
              <w:rPr>
                <w:b w:val="0"/>
                <w:i w:val="0"/>
                <w:color w:val="16261F"/>
                <w:sz w:val="18"/>
              </w:rPr>
              <w:t>Frontend framework</w:t>
            </w:r>
          </w:p>
        </w:tc>
        <w:tc>
          <w:tcPr>
            <w:tcW w:type="dxa" w:w="3600"/>
            <w:tcMar>
              <w:top w:w="60" w:type="dxa"/>
              <w:left w:w="110" w:type="dxa"/>
              <w:bottom w:w="60" w:type="dxa"/>
              <w:right w:w="110" w:type="dxa"/>
            </w:tcMar>
            <w:shd w:val="clear" w:color="auto" w:fill="F5F7F5"/>
          </w:tcPr>
          <w:p>
            <w:pPr>
              <w:spacing w:after="0"/>
            </w:pPr>
            <w:r>
              <w:rPr>
                <w:b w:val="0"/>
                <w:i w:val="0"/>
                <w:color w:val="16261F"/>
                <w:sz w:val="18"/>
              </w:rPr>
              <w:t>React</w:t>
            </w:r>
          </w:p>
        </w:tc>
        <w:tc>
          <w:tcPr>
            <w:tcW w:type="dxa" w:w="1440"/>
            <w:tcMar>
              <w:top w:w="60" w:type="dxa"/>
              <w:left w:w="110" w:type="dxa"/>
              <w:bottom w:w="60" w:type="dxa"/>
              <w:right w:w="110" w:type="dxa"/>
            </w:tcMar>
            <w:shd w:val="clear" w:color="auto" w:fill="F5F7F5"/>
          </w:tcPr>
          <w:p>
            <w:pPr>
              <w:spacing w:after="0"/>
            </w:pPr>
            <w:r>
              <w:rPr>
                <w:b w:val="0"/>
                <w:i w:val="0"/>
                <w:color w:val="16261F"/>
                <w:sz w:val="18"/>
              </w:rPr>
              <w:t>18.x</w:t>
            </w:r>
          </w:p>
        </w:tc>
        <w:tc>
          <w:tcPr>
            <w:tcW w:type="dxa" w:w="1440"/>
            <w:tcMar>
              <w:top w:w="60" w:type="dxa"/>
              <w:left w:w="110" w:type="dxa"/>
              <w:bottom w:w="60" w:type="dxa"/>
              <w:right w:w="110" w:type="dxa"/>
            </w:tcMar>
            <w:shd w:val="clear" w:color="auto" w:fill="F5F7F5"/>
          </w:tcPr>
          <w:p>
            <w:pPr>
              <w:spacing w:after="0"/>
              <w:jc w:val="center"/>
            </w:pPr>
            <w:r>
              <w:rPr>
                <w:b/>
                <w:i w:val="0"/>
                <w:color w:val="1F8B5C"/>
                <w:sz w:val="18"/>
              </w:rPr>
              <w:t>High</w:t>
            </w:r>
          </w:p>
        </w:tc>
      </w:tr>
      <w:tr>
        <w:tc>
          <w:tcPr>
            <w:tcW w:type="dxa" w:w="2160"/>
            <w:tcMar>
              <w:top w:w="60" w:type="dxa"/>
              <w:left w:w="110" w:type="dxa"/>
              <w:bottom w:w="60" w:type="dxa"/>
              <w:right w:w="110" w:type="dxa"/>
            </w:tcMar>
          </w:tcPr>
          <w:p>
            <w:pPr>
              <w:spacing w:after="0"/>
            </w:pPr>
            <w:r>
              <w:rPr>
                <w:b w:val="0"/>
                <w:i w:val="0"/>
                <w:color w:val="16261F"/>
                <w:sz w:val="18"/>
              </w:rPr>
              <w:t>Admin app framework</w:t>
            </w:r>
          </w:p>
        </w:tc>
        <w:tc>
          <w:tcPr>
            <w:tcW w:type="dxa" w:w="3600"/>
            <w:tcMar>
              <w:top w:w="60" w:type="dxa"/>
              <w:left w:w="110" w:type="dxa"/>
              <w:bottom w:w="60" w:type="dxa"/>
              <w:right w:w="110" w:type="dxa"/>
            </w:tcMar>
          </w:tcPr>
          <w:p>
            <w:pPr>
              <w:spacing w:after="0"/>
            </w:pPr>
            <w:r>
              <w:rPr>
                <w:b w:val="0"/>
                <w:i w:val="0"/>
                <w:color w:val="16261F"/>
                <w:sz w:val="18"/>
              </w:rPr>
              <w:t>Next.js (App Router)</w:t>
            </w:r>
          </w:p>
        </w:tc>
        <w:tc>
          <w:tcPr>
            <w:tcW w:type="dxa" w:w="1440"/>
            <w:tcMar>
              <w:top w:w="60" w:type="dxa"/>
              <w:left w:w="110" w:type="dxa"/>
              <w:bottom w:w="60" w:type="dxa"/>
              <w:right w:w="110" w:type="dxa"/>
            </w:tcMar>
          </w:tcPr>
          <w:p>
            <w:pPr>
              <w:spacing w:after="0"/>
            </w:pPr>
            <w:r>
              <w:rPr>
                <w:b w:val="0"/>
                <w:i w:val="0"/>
                <w:color w:val="16261F"/>
                <w:sz w:val="18"/>
              </w:rPr>
              <w:t>15.x</w:t>
            </w:r>
          </w:p>
        </w:tc>
        <w:tc>
          <w:tcPr>
            <w:tcW w:type="dxa" w:w="1440"/>
            <w:tcMar>
              <w:top w:w="60" w:type="dxa"/>
              <w:left w:w="110" w:type="dxa"/>
              <w:bottom w:w="60" w:type="dxa"/>
              <w:right w:w="110" w:type="dxa"/>
            </w:tcMar>
          </w:tcPr>
          <w:p>
            <w:pPr>
              <w:spacing w:after="0"/>
              <w:jc w:val="center"/>
            </w:pPr>
            <w:r>
              <w:rPr>
                <w:b/>
                <w:i w:val="0"/>
                <w:color w:val="1F8B5C"/>
                <w:sz w:val="18"/>
              </w:rPr>
              <w:t>High</w:t>
            </w:r>
          </w:p>
        </w:tc>
      </w:tr>
      <w:tr>
        <w:tc>
          <w:tcPr>
            <w:tcW w:type="dxa" w:w="2160"/>
            <w:tcMar>
              <w:top w:w="60" w:type="dxa"/>
              <w:left w:w="110" w:type="dxa"/>
              <w:bottom w:w="60" w:type="dxa"/>
              <w:right w:w="110" w:type="dxa"/>
            </w:tcMar>
            <w:shd w:val="clear" w:color="auto" w:fill="F5F7F5"/>
          </w:tcPr>
          <w:p>
            <w:pPr>
              <w:spacing w:after="0"/>
            </w:pPr>
            <w:r>
              <w:rPr>
                <w:b w:val="0"/>
                <w:i w:val="0"/>
                <w:color w:val="16261F"/>
                <w:sz w:val="18"/>
              </w:rPr>
              <w:t>Payment app</w:t>
            </w:r>
          </w:p>
        </w:tc>
        <w:tc>
          <w:tcPr>
            <w:tcW w:type="dxa" w:w="3600"/>
            <w:tcMar>
              <w:top w:w="60" w:type="dxa"/>
              <w:left w:w="110" w:type="dxa"/>
              <w:bottom w:w="60" w:type="dxa"/>
              <w:right w:w="110" w:type="dxa"/>
            </w:tcMar>
            <w:shd w:val="clear" w:color="auto" w:fill="F5F7F5"/>
          </w:tcPr>
          <w:p>
            <w:pPr>
              <w:spacing w:after="0"/>
            </w:pPr>
            <w:r>
              <w:rPr>
                <w:b w:val="0"/>
                <w:i w:val="0"/>
                <w:color w:val="16261F"/>
                <w:sz w:val="18"/>
              </w:rPr>
              <w:t>Next.js, separate deployment</w:t>
            </w:r>
          </w:p>
        </w:tc>
        <w:tc>
          <w:tcPr>
            <w:tcW w:type="dxa" w:w="1440"/>
            <w:tcMar>
              <w:top w:w="60" w:type="dxa"/>
              <w:left w:w="110" w:type="dxa"/>
              <w:bottom w:w="60" w:type="dxa"/>
              <w:right w:w="110" w:type="dxa"/>
            </w:tcMar>
            <w:shd w:val="clear" w:color="auto" w:fill="F5F7F5"/>
          </w:tcPr>
          <w:p>
            <w:pPr>
              <w:spacing w:after="0"/>
            </w:pPr>
            <w:r>
              <w:rPr>
                <w:b w:val="0"/>
                <w:i w:val="0"/>
                <w:color w:val="16261F"/>
                <w:sz w:val="18"/>
              </w:rPr>
              <w:t>15.x</w:t>
            </w:r>
          </w:p>
        </w:tc>
        <w:tc>
          <w:tcPr>
            <w:tcW w:type="dxa" w:w="1440"/>
            <w:tcMar>
              <w:top w:w="60" w:type="dxa"/>
              <w:left w:w="110" w:type="dxa"/>
              <w:bottom w:w="60" w:type="dxa"/>
              <w:right w:w="110" w:type="dxa"/>
            </w:tcMar>
            <w:shd w:val="clear" w:color="auto" w:fill="F5F7F5"/>
          </w:tcPr>
          <w:p>
            <w:pPr>
              <w:spacing w:after="0"/>
              <w:jc w:val="center"/>
            </w:pPr>
            <w:r>
              <w:rPr>
                <w:b/>
                <w:i w:val="0"/>
                <w:color w:val="1F8B5C"/>
                <w:sz w:val="18"/>
              </w:rPr>
              <w:t>High</w:t>
            </w:r>
          </w:p>
        </w:tc>
      </w:tr>
      <w:tr>
        <w:tc>
          <w:tcPr>
            <w:tcW w:type="dxa" w:w="2160"/>
            <w:tcMar>
              <w:top w:w="60" w:type="dxa"/>
              <w:left w:w="110" w:type="dxa"/>
              <w:bottom w:w="60" w:type="dxa"/>
              <w:right w:w="110" w:type="dxa"/>
            </w:tcMar>
          </w:tcPr>
          <w:p>
            <w:pPr>
              <w:spacing w:after="0"/>
            </w:pPr>
            <w:r>
              <w:rPr>
                <w:b w:val="0"/>
                <w:i w:val="0"/>
                <w:color w:val="16261F"/>
                <w:sz w:val="18"/>
              </w:rPr>
              <w:t>Styling</w:t>
            </w:r>
          </w:p>
        </w:tc>
        <w:tc>
          <w:tcPr>
            <w:tcW w:type="dxa" w:w="3600"/>
            <w:tcMar>
              <w:top w:w="60" w:type="dxa"/>
              <w:left w:w="110" w:type="dxa"/>
              <w:bottom w:w="60" w:type="dxa"/>
              <w:right w:w="110" w:type="dxa"/>
            </w:tcMar>
          </w:tcPr>
          <w:p>
            <w:pPr>
              <w:spacing w:after="0"/>
            </w:pPr>
            <w:r>
              <w:rPr>
                <w:b w:val="0"/>
                <w:i w:val="0"/>
                <w:color w:val="16261F"/>
                <w:sz w:val="18"/>
              </w:rPr>
              <w:t>Tailwind CSS + design tokens</w:t>
            </w:r>
          </w:p>
        </w:tc>
        <w:tc>
          <w:tcPr>
            <w:tcW w:type="dxa" w:w="1440"/>
            <w:tcMar>
              <w:top w:w="60" w:type="dxa"/>
              <w:left w:w="110" w:type="dxa"/>
              <w:bottom w:w="60" w:type="dxa"/>
              <w:right w:w="110" w:type="dxa"/>
            </w:tcMar>
          </w:tcPr>
          <w:p>
            <w:pPr>
              <w:spacing w:after="0"/>
            </w:pPr>
            <w:r>
              <w:rPr>
                <w:b w:val="0"/>
                <w:i w:val="0"/>
                <w:color w:val="16261F"/>
                <w:sz w:val="18"/>
              </w:rPr>
              <w:t>3.x</w:t>
            </w:r>
          </w:p>
        </w:tc>
        <w:tc>
          <w:tcPr>
            <w:tcW w:type="dxa" w:w="1440"/>
            <w:tcMar>
              <w:top w:w="60" w:type="dxa"/>
              <w:left w:w="110" w:type="dxa"/>
              <w:bottom w:w="60" w:type="dxa"/>
              <w:right w:w="110" w:type="dxa"/>
            </w:tcMar>
          </w:tcPr>
          <w:p>
            <w:pPr>
              <w:spacing w:after="0"/>
              <w:jc w:val="center"/>
            </w:pPr>
            <w:r>
              <w:rPr>
                <w:b/>
                <w:i w:val="0"/>
                <w:color w:val="1F8B5C"/>
                <w:sz w:val="18"/>
              </w:rPr>
              <w:t>High</w:t>
            </w:r>
          </w:p>
        </w:tc>
      </w:tr>
      <w:tr>
        <w:tc>
          <w:tcPr>
            <w:tcW w:type="dxa" w:w="2160"/>
            <w:tcMar>
              <w:top w:w="60" w:type="dxa"/>
              <w:left w:w="110" w:type="dxa"/>
              <w:bottom w:w="60" w:type="dxa"/>
              <w:right w:w="110" w:type="dxa"/>
            </w:tcMar>
            <w:shd w:val="clear" w:color="auto" w:fill="F5F7F5"/>
          </w:tcPr>
          <w:p>
            <w:pPr>
              <w:spacing w:after="0"/>
            </w:pPr>
            <w:r>
              <w:rPr>
                <w:b w:val="0"/>
                <w:i w:val="0"/>
                <w:color w:val="16261F"/>
                <w:sz w:val="18"/>
              </w:rPr>
              <w:t>UI primitives</w:t>
            </w:r>
          </w:p>
        </w:tc>
        <w:tc>
          <w:tcPr>
            <w:tcW w:type="dxa" w:w="3600"/>
            <w:tcMar>
              <w:top w:w="60" w:type="dxa"/>
              <w:left w:w="110" w:type="dxa"/>
              <w:bottom w:w="60" w:type="dxa"/>
              <w:right w:w="110" w:type="dxa"/>
            </w:tcMar>
            <w:shd w:val="clear" w:color="auto" w:fill="F5F7F5"/>
          </w:tcPr>
          <w:p>
            <w:pPr>
              <w:spacing w:after="0"/>
            </w:pPr>
            <w:r>
              <w:rPr>
                <w:b w:val="0"/>
                <w:i w:val="0"/>
                <w:color w:val="16261F"/>
                <w:sz w:val="18"/>
              </w:rPr>
              <w:t>Radix UI</w:t>
            </w:r>
          </w:p>
        </w:tc>
        <w:tc>
          <w:tcPr>
            <w:tcW w:type="dxa" w:w="1440"/>
            <w:tcMar>
              <w:top w:w="60" w:type="dxa"/>
              <w:left w:w="110" w:type="dxa"/>
              <w:bottom w:w="60" w:type="dxa"/>
              <w:right w:w="110" w:type="dxa"/>
            </w:tcMar>
            <w:shd w:val="clear" w:color="auto" w:fill="F5F7F5"/>
          </w:tcPr>
          <w:p>
            <w:pPr>
              <w:spacing w:after="0"/>
            </w:pPr>
            <w:r>
              <w:rPr>
                <w:b w:val="0"/>
                <w:i w:val="0"/>
                <w:color w:val="16261F"/>
                <w:sz w:val="18"/>
              </w:rPr>
              <w:t>current</w:t>
            </w:r>
          </w:p>
        </w:tc>
        <w:tc>
          <w:tcPr>
            <w:tcW w:type="dxa" w:w="1440"/>
            <w:tcMar>
              <w:top w:w="60" w:type="dxa"/>
              <w:left w:w="110" w:type="dxa"/>
              <w:bottom w:w="60" w:type="dxa"/>
              <w:right w:w="110" w:type="dxa"/>
            </w:tcMar>
            <w:shd w:val="clear" w:color="auto" w:fill="F5F7F5"/>
          </w:tcPr>
          <w:p>
            <w:pPr>
              <w:spacing w:after="0"/>
              <w:jc w:val="center"/>
            </w:pPr>
            <w:r>
              <w:rPr>
                <w:b/>
                <w:i w:val="0"/>
                <w:color w:val="C7862B"/>
                <w:sz w:val="18"/>
              </w:rPr>
              <w:t>Medium</w:t>
            </w:r>
          </w:p>
        </w:tc>
      </w:tr>
      <w:tr>
        <w:tc>
          <w:tcPr>
            <w:tcW w:type="dxa" w:w="2160"/>
            <w:tcMar>
              <w:top w:w="60" w:type="dxa"/>
              <w:left w:w="110" w:type="dxa"/>
              <w:bottom w:w="60" w:type="dxa"/>
              <w:right w:w="110" w:type="dxa"/>
            </w:tcMar>
          </w:tcPr>
          <w:p>
            <w:pPr>
              <w:spacing w:after="0"/>
            </w:pPr>
            <w:r>
              <w:rPr>
                <w:b w:val="0"/>
                <w:i w:val="0"/>
                <w:color w:val="16261F"/>
                <w:sz w:val="18"/>
              </w:rPr>
              <w:t>Backend runtime</w:t>
            </w:r>
          </w:p>
        </w:tc>
        <w:tc>
          <w:tcPr>
            <w:tcW w:type="dxa" w:w="3600"/>
            <w:tcMar>
              <w:top w:w="60" w:type="dxa"/>
              <w:left w:w="110" w:type="dxa"/>
              <w:bottom w:w="60" w:type="dxa"/>
              <w:right w:w="110" w:type="dxa"/>
            </w:tcMar>
          </w:tcPr>
          <w:p>
            <w:pPr>
              <w:spacing w:after="0"/>
            </w:pPr>
            <w:r>
              <w:rPr>
                <w:b w:val="0"/>
                <w:i w:val="0"/>
                <w:color w:val="16261F"/>
                <w:sz w:val="18"/>
              </w:rPr>
              <w:t>Node.js LTS</w:t>
            </w:r>
          </w:p>
        </w:tc>
        <w:tc>
          <w:tcPr>
            <w:tcW w:type="dxa" w:w="1440"/>
            <w:tcMar>
              <w:top w:w="60" w:type="dxa"/>
              <w:left w:w="110" w:type="dxa"/>
              <w:bottom w:w="60" w:type="dxa"/>
              <w:right w:w="110" w:type="dxa"/>
            </w:tcMar>
          </w:tcPr>
          <w:p>
            <w:pPr>
              <w:spacing w:after="0"/>
            </w:pPr>
            <w:r>
              <w:rPr>
                <w:b w:val="0"/>
                <w:i w:val="0"/>
                <w:color w:val="16261F"/>
                <w:sz w:val="18"/>
              </w:rPr>
              <w:t>22.x</w:t>
            </w:r>
          </w:p>
        </w:tc>
        <w:tc>
          <w:tcPr>
            <w:tcW w:type="dxa" w:w="1440"/>
            <w:tcMar>
              <w:top w:w="60" w:type="dxa"/>
              <w:left w:w="110" w:type="dxa"/>
              <w:bottom w:w="60" w:type="dxa"/>
              <w:right w:w="110" w:type="dxa"/>
            </w:tcMar>
          </w:tcPr>
          <w:p>
            <w:pPr>
              <w:spacing w:after="0"/>
              <w:jc w:val="center"/>
            </w:pPr>
            <w:r>
              <w:rPr>
                <w:b/>
                <w:i w:val="0"/>
                <w:color w:val="1F8B5C"/>
                <w:sz w:val="18"/>
              </w:rPr>
              <w:t>High</w:t>
            </w:r>
          </w:p>
        </w:tc>
      </w:tr>
      <w:tr>
        <w:tc>
          <w:tcPr>
            <w:tcW w:type="dxa" w:w="2160"/>
            <w:tcMar>
              <w:top w:w="60" w:type="dxa"/>
              <w:left w:w="110" w:type="dxa"/>
              <w:bottom w:w="60" w:type="dxa"/>
              <w:right w:w="110" w:type="dxa"/>
            </w:tcMar>
            <w:shd w:val="clear" w:color="auto" w:fill="F5F7F5"/>
          </w:tcPr>
          <w:p>
            <w:pPr>
              <w:spacing w:after="0"/>
            </w:pPr>
            <w:r>
              <w:rPr>
                <w:b w:val="0"/>
                <w:i w:val="0"/>
                <w:color w:val="16261F"/>
                <w:sz w:val="18"/>
              </w:rPr>
              <w:t>API framework</w:t>
            </w:r>
          </w:p>
        </w:tc>
        <w:tc>
          <w:tcPr>
            <w:tcW w:type="dxa" w:w="3600"/>
            <w:tcMar>
              <w:top w:w="60" w:type="dxa"/>
              <w:left w:w="110" w:type="dxa"/>
              <w:bottom w:w="60" w:type="dxa"/>
              <w:right w:w="110" w:type="dxa"/>
            </w:tcMar>
            <w:shd w:val="clear" w:color="auto" w:fill="F5F7F5"/>
          </w:tcPr>
          <w:p>
            <w:pPr>
              <w:spacing w:after="0"/>
            </w:pPr>
            <w:r>
              <w:rPr>
                <w:b w:val="0"/>
                <w:i w:val="0"/>
                <w:color w:val="16261F"/>
                <w:sz w:val="18"/>
              </w:rPr>
              <w:t>NestJS</w:t>
            </w:r>
          </w:p>
        </w:tc>
        <w:tc>
          <w:tcPr>
            <w:tcW w:type="dxa" w:w="1440"/>
            <w:tcMar>
              <w:top w:w="60" w:type="dxa"/>
              <w:left w:w="110" w:type="dxa"/>
              <w:bottom w:w="60" w:type="dxa"/>
              <w:right w:w="110" w:type="dxa"/>
            </w:tcMar>
            <w:shd w:val="clear" w:color="auto" w:fill="F5F7F5"/>
          </w:tcPr>
          <w:p>
            <w:pPr>
              <w:spacing w:after="0"/>
            </w:pPr>
            <w:r>
              <w:rPr>
                <w:b w:val="0"/>
                <w:i w:val="0"/>
                <w:color w:val="16261F"/>
                <w:sz w:val="18"/>
              </w:rPr>
              <w:t>10.x</w:t>
            </w:r>
          </w:p>
        </w:tc>
        <w:tc>
          <w:tcPr>
            <w:tcW w:type="dxa" w:w="1440"/>
            <w:tcMar>
              <w:top w:w="60" w:type="dxa"/>
              <w:left w:w="110" w:type="dxa"/>
              <w:bottom w:w="60" w:type="dxa"/>
              <w:right w:w="110" w:type="dxa"/>
            </w:tcMar>
            <w:shd w:val="clear" w:color="auto" w:fill="F5F7F5"/>
          </w:tcPr>
          <w:p>
            <w:pPr>
              <w:spacing w:after="0"/>
              <w:jc w:val="center"/>
            </w:pPr>
            <w:r>
              <w:rPr>
                <w:b/>
                <w:i w:val="0"/>
                <w:color w:val="C7862B"/>
                <w:sz w:val="18"/>
              </w:rPr>
              <w:t>Medium</w:t>
            </w:r>
          </w:p>
        </w:tc>
      </w:tr>
      <w:tr>
        <w:tc>
          <w:tcPr>
            <w:tcW w:type="dxa" w:w="2160"/>
            <w:tcMar>
              <w:top w:w="60" w:type="dxa"/>
              <w:left w:w="110" w:type="dxa"/>
              <w:bottom w:w="60" w:type="dxa"/>
              <w:right w:w="110" w:type="dxa"/>
            </w:tcMar>
          </w:tcPr>
          <w:p>
            <w:pPr>
              <w:spacing w:after="0"/>
            </w:pPr>
            <w:r>
              <w:rPr>
                <w:b w:val="0"/>
                <w:i w:val="0"/>
                <w:color w:val="16261F"/>
                <w:sz w:val="18"/>
              </w:rPr>
              <w:t>API contract</w:t>
            </w:r>
          </w:p>
        </w:tc>
        <w:tc>
          <w:tcPr>
            <w:tcW w:type="dxa" w:w="3600"/>
            <w:tcMar>
              <w:top w:w="60" w:type="dxa"/>
              <w:left w:w="110" w:type="dxa"/>
              <w:bottom w:w="60" w:type="dxa"/>
              <w:right w:w="110" w:type="dxa"/>
            </w:tcMar>
          </w:tcPr>
          <w:p>
            <w:pPr>
              <w:spacing w:after="0"/>
            </w:pPr>
            <w:r>
              <w:rPr>
                <w:b w:val="0"/>
                <w:i w:val="0"/>
                <w:color w:val="16261F"/>
                <w:sz w:val="18"/>
              </w:rPr>
              <w:t>tRPC internal, OpenAPI external</w:t>
            </w:r>
          </w:p>
        </w:tc>
        <w:tc>
          <w:tcPr>
            <w:tcW w:type="dxa" w:w="1440"/>
            <w:tcMar>
              <w:top w:w="60" w:type="dxa"/>
              <w:left w:w="110" w:type="dxa"/>
              <w:bottom w:w="60" w:type="dxa"/>
              <w:right w:w="110" w:type="dxa"/>
            </w:tcMar>
          </w:tcPr>
          <w:p>
            <w:pPr>
              <w:spacing w:after="0"/>
            </w:pPr>
            <w:r>
              <w:rPr>
                <w:b w:val="0"/>
                <w:i w:val="0"/>
                <w:color w:val="16261F"/>
                <w:sz w:val="18"/>
              </w:rPr>
              <w:t>current</w:t>
            </w:r>
          </w:p>
        </w:tc>
        <w:tc>
          <w:tcPr>
            <w:tcW w:type="dxa" w:w="1440"/>
            <w:tcMar>
              <w:top w:w="60" w:type="dxa"/>
              <w:left w:w="110" w:type="dxa"/>
              <w:bottom w:w="60" w:type="dxa"/>
              <w:right w:w="110" w:type="dxa"/>
            </w:tcMar>
          </w:tcPr>
          <w:p>
            <w:pPr>
              <w:spacing w:after="0"/>
              <w:jc w:val="center"/>
            </w:pPr>
            <w:r>
              <w:rPr>
                <w:b/>
                <w:i w:val="0"/>
                <w:color w:val="C7862B"/>
                <w:sz w:val="18"/>
              </w:rPr>
              <w:t>Medium</w:t>
            </w:r>
          </w:p>
        </w:tc>
      </w:tr>
      <w:tr>
        <w:tc>
          <w:tcPr>
            <w:tcW w:type="dxa" w:w="2160"/>
            <w:tcMar>
              <w:top w:w="60" w:type="dxa"/>
              <w:left w:w="110" w:type="dxa"/>
              <w:bottom w:w="60" w:type="dxa"/>
              <w:right w:w="110" w:type="dxa"/>
            </w:tcMar>
            <w:shd w:val="clear" w:color="auto" w:fill="F5F7F5"/>
          </w:tcPr>
          <w:p>
            <w:pPr>
              <w:spacing w:after="0"/>
            </w:pPr>
            <w:r>
              <w:rPr>
                <w:b w:val="0"/>
                <w:i w:val="0"/>
                <w:color w:val="16261F"/>
                <w:sz w:val="18"/>
              </w:rPr>
              <w:t>Database</w:t>
            </w:r>
          </w:p>
        </w:tc>
        <w:tc>
          <w:tcPr>
            <w:tcW w:type="dxa" w:w="3600"/>
            <w:tcMar>
              <w:top w:w="60" w:type="dxa"/>
              <w:left w:w="110" w:type="dxa"/>
              <w:bottom w:w="60" w:type="dxa"/>
              <w:right w:w="110" w:type="dxa"/>
            </w:tcMar>
            <w:shd w:val="clear" w:color="auto" w:fill="F5F7F5"/>
          </w:tcPr>
          <w:p>
            <w:pPr>
              <w:spacing w:after="0"/>
            </w:pPr>
            <w:r>
              <w:rPr>
                <w:b w:val="0"/>
                <w:i w:val="0"/>
                <w:color w:val="16261F"/>
                <w:sz w:val="18"/>
              </w:rPr>
              <w:t>PostgreSQL</w:t>
            </w:r>
          </w:p>
        </w:tc>
        <w:tc>
          <w:tcPr>
            <w:tcW w:type="dxa" w:w="1440"/>
            <w:tcMar>
              <w:top w:w="60" w:type="dxa"/>
              <w:left w:w="110" w:type="dxa"/>
              <w:bottom w:w="60" w:type="dxa"/>
              <w:right w:w="110" w:type="dxa"/>
            </w:tcMar>
            <w:shd w:val="clear" w:color="auto" w:fill="F5F7F5"/>
          </w:tcPr>
          <w:p>
            <w:pPr>
              <w:spacing w:after="0"/>
            </w:pPr>
            <w:r>
              <w:rPr>
                <w:b w:val="0"/>
                <w:i w:val="0"/>
                <w:color w:val="16261F"/>
                <w:sz w:val="18"/>
              </w:rPr>
              <w:t>16.x</w:t>
            </w:r>
          </w:p>
        </w:tc>
        <w:tc>
          <w:tcPr>
            <w:tcW w:type="dxa" w:w="1440"/>
            <w:tcMar>
              <w:top w:w="60" w:type="dxa"/>
              <w:left w:w="110" w:type="dxa"/>
              <w:bottom w:w="60" w:type="dxa"/>
              <w:right w:w="110" w:type="dxa"/>
            </w:tcMar>
            <w:shd w:val="clear" w:color="auto" w:fill="F5F7F5"/>
          </w:tcPr>
          <w:p>
            <w:pPr>
              <w:spacing w:after="0"/>
              <w:jc w:val="center"/>
            </w:pPr>
            <w:r>
              <w:rPr>
                <w:b/>
                <w:i w:val="0"/>
                <w:color w:val="1F8B5C"/>
                <w:sz w:val="18"/>
              </w:rPr>
              <w:t>High</w:t>
            </w:r>
          </w:p>
        </w:tc>
      </w:tr>
      <w:tr>
        <w:tc>
          <w:tcPr>
            <w:tcW w:type="dxa" w:w="2160"/>
            <w:tcMar>
              <w:top w:w="60" w:type="dxa"/>
              <w:left w:w="110" w:type="dxa"/>
              <w:bottom w:w="60" w:type="dxa"/>
              <w:right w:w="110" w:type="dxa"/>
            </w:tcMar>
          </w:tcPr>
          <w:p>
            <w:pPr>
              <w:spacing w:after="0"/>
            </w:pPr>
            <w:r>
              <w:rPr>
                <w:b w:val="0"/>
                <w:i w:val="0"/>
                <w:color w:val="16261F"/>
                <w:sz w:val="18"/>
              </w:rPr>
              <w:t>ORM / query layer</w:t>
            </w:r>
          </w:p>
        </w:tc>
        <w:tc>
          <w:tcPr>
            <w:tcW w:type="dxa" w:w="3600"/>
            <w:tcMar>
              <w:top w:w="60" w:type="dxa"/>
              <w:left w:w="110" w:type="dxa"/>
              <w:bottom w:w="60" w:type="dxa"/>
              <w:right w:w="110" w:type="dxa"/>
            </w:tcMar>
          </w:tcPr>
          <w:p>
            <w:pPr>
              <w:spacing w:after="0"/>
            </w:pPr>
            <w:r>
              <w:rPr>
                <w:b w:val="0"/>
                <w:i w:val="0"/>
                <w:color w:val="16261F"/>
                <w:sz w:val="18"/>
              </w:rPr>
              <w:t>Prisma + raw SQL where needed</w:t>
            </w:r>
          </w:p>
        </w:tc>
        <w:tc>
          <w:tcPr>
            <w:tcW w:type="dxa" w:w="1440"/>
            <w:tcMar>
              <w:top w:w="60" w:type="dxa"/>
              <w:left w:w="110" w:type="dxa"/>
              <w:bottom w:w="60" w:type="dxa"/>
              <w:right w:w="110" w:type="dxa"/>
            </w:tcMar>
          </w:tcPr>
          <w:p>
            <w:pPr>
              <w:spacing w:after="0"/>
            </w:pPr>
            <w:r>
              <w:rPr>
                <w:b w:val="0"/>
                <w:i w:val="0"/>
                <w:color w:val="16261F"/>
                <w:sz w:val="18"/>
              </w:rPr>
              <w:t>5.x</w:t>
            </w:r>
          </w:p>
        </w:tc>
        <w:tc>
          <w:tcPr>
            <w:tcW w:type="dxa" w:w="1440"/>
            <w:tcMar>
              <w:top w:w="60" w:type="dxa"/>
              <w:left w:w="110" w:type="dxa"/>
              <w:bottom w:w="60" w:type="dxa"/>
              <w:right w:w="110" w:type="dxa"/>
            </w:tcMar>
          </w:tcPr>
          <w:p>
            <w:pPr>
              <w:spacing w:after="0"/>
              <w:jc w:val="center"/>
            </w:pPr>
            <w:r>
              <w:rPr>
                <w:b/>
                <w:i w:val="0"/>
                <w:color w:val="C7862B"/>
                <w:sz w:val="18"/>
              </w:rPr>
              <w:t>Medium</w:t>
            </w:r>
          </w:p>
        </w:tc>
      </w:tr>
      <w:tr>
        <w:tc>
          <w:tcPr>
            <w:tcW w:type="dxa" w:w="2160"/>
            <w:tcMar>
              <w:top w:w="60" w:type="dxa"/>
              <w:left w:w="110" w:type="dxa"/>
              <w:bottom w:w="60" w:type="dxa"/>
              <w:right w:w="110" w:type="dxa"/>
            </w:tcMar>
            <w:shd w:val="clear" w:color="auto" w:fill="F5F7F5"/>
          </w:tcPr>
          <w:p>
            <w:pPr>
              <w:spacing w:after="0"/>
            </w:pPr>
            <w:r>
              <w:rPr>
                <w:b w:val="0"/>
                <w:i w:val="0"/>
                <w:color w:val="16261F"/>
                <w:sz w:val="18"/>
              </w:rPr>
              <w:t>Cache and queue broker</w:t>
            </w:r>
          </w:p>
        </w:tc>
        <w:tc>
          <w:tcPr>
            <w:tcW w:type="dxa" w:w="3600"/>
            <w:tcMar>
              <w:top w:w="60" w:type="dxa"/>
              <w:left w:w="110" w:type="dxa"/>
              <w:bottom w:w="60" w:type="dxa"/>
              <w:right w:w="110" w:type="dxa"/>
            </w:tcMar>
            <w:shd w:val="clear" w:color="auto" w:fill="F5F7F5"/>
          </w:tcPr>
          <w:p>
            <w:pPr>
              <w:spacing w:after="0"/>
            </w:pPr>
            <w:r>
              <w:rPr>
                <w:b w:val="0"/>
                <w:i w:val="0"/>
                <w:color w:val="16261F"/>
                <w:sz w:val="18"/>
              </w:rPr>
              <w:t>Redis</w:t>
            </w:r>
          </w:p>
        </w:tc>
        <w:tc>
          <w:tcPr>
            <w:tcW w:type="dxa" w:w="1440"/>
            <w:tcMar>
              <w:top w:w="60" w:type="dxa"/>
              <w:left w:w="110" w:type="dxa"/>
              <w:bottom w:w="60" w:type="dxa"/>
              <w:right w:w="110" w:type="dxa"/>
            </w:tcMar>
            <w:shd w:val="clear" w:color="auto" w:fill="F5F7F5"/>
          </w:tcPr>
          <w:p>
            <w:pPr>
              <w:spacing w:after="0"/>
            </w:pPr>
            <w:r>
              <w:rPr>
                <w:b w:val="0"/>
                <w:i w:val="0"/>
                <w:color w:val="16261F"/>
                <w:sz w:val="18"/>
              </w:rPr>
              <w:t>7.x</w:t>
            </w:r>
          </w:p>
        </w:tc>
        <w:tc>
          <w:tcPr>
            <w:tcW w:type="dxa" w:w="1440"/>
            <w:tcMar>
              <w:top w:w="60" w:type="dxa"/>
              <w:left w:w="110" w:type="dxa"/>
              <w:bottom w:w="60" w:type="dxa"/>
              <w:right w:w="110" w:type="dxa"/>
            </w:tcMar>
            <w:shd w:val="clear" w:color="auto" w:fill="F5F7F5"/>
          </w:tcPr>
          <w:p>
            <w:pPr>
              <w:spacing w:after="0"/>
              <w:jc w:val="center"/>
            </w:pPr>
            <w:r>
              <w:rPr>
                <w:b/>
                <w:i w:val="0"/>
                <w:color w:val="1F8B5C"/>
                <w:sz w:val="18"/>
              </w:rPr>
              <w:t>High</w:t>
            </w:r>
          </w:p>
        </w:tc>
      </w:tr>
      <w:tr>
        <w:tc>
          <w:tcPr>
            <w:tcW w:type="dxa" w:w="2160"/>
            <w:tcMar>
              <w:top w:w="60" w:type="dxa"/>
              <w:left w:w="110" w:type="dxa"/>
              <w:bottom w:w="60" w:type="dxa"/>
              <w:right w:w="110" w:type="dxa"/>
            </w:tcMar>
          </w:tcPr>
          <w:p>
            <w:pPr>
              <w:spacing w:after="0"/>
            </w:pPr>
            <w:r>
              <w:rPr>
                <w:b w:val="0"/>
                <w:i w:val="0"/>
                <w:color w:val="16261F"/>
                <w:sz w:val="18"/>
              </w:rPr>
              <w:t>Job queue</w:t>
            </w:r>
          </w:p>
        </w:tc>
        <w:tc>
          <w:tcPr>
            <w:tcW w:type="dxa" w:w="3600"/>
            <w:tcMar>
              <w:top w:w="60" w:type="dxa"/>
              <w:left w:w="110" w:type="dxa"/>
              <w:bottom w:w="60" w:type="dxa"/>
              <w:right w:w="110" w:type="dxa"/>
            </w:tcMar>
          </w:tcPr>
          <w:p>
            <w:pPr>
              <w:spacing w:after="0"/>
            </w:pPr>
            <w:r>
              <w:rPr>
                <w:b w:val="0"/>
                <w:i w:val="0"/>
                <w:color w:val="16261F"/>
                <w:sz w:val="18"/>
              </w:rPr>
              <w:t>BullMQ</w:t>
            </w:r>
          </w:p>
        </w:tc>
        <w:tc>
          <w:tcPr>
            <w:tcW w:type="dxa" w:w="1440"/>
            <w:tcMar>
              <w:top w:w="60" w:type="dxa"/>
              <w:left w:w="110" w:type="dxa"/>
              <w:bottom w:w="60" w:type="dxa"/>
              <w:right w:w="110" w:type="dxa"/>
            </w:tcMar>
          </w:tcPr>
          <w:p>
            <w:pPr>
              <w:spacing w:after="0"/>
            </w:pPr>
            <w:r>
              <w:rPr>
                <w:b w:val="0"/>
                <w:i w:val="0"/>
                <w:color w:val="16261F"/>
                <w:sz w:val="18"/>
              </w:rPr>
              <w:t>5.x</w:t>
            </w:r>
          </w:p>
        </w:tc>
        <w:tc>
          <w:tcPr>
            <w:tcW w:type="dxa" w:w="1440"/>
            <w:tcMar>
              <w:top w:w="60" w:type="dxa"/>
              <w:left w:w="110" w:type="dxa"/>
              <w:bottom w:w="60" w:type="dxa"/>
              <w:right w:w="110" w:type="dxa"/>
            </w:tcMar>
          </w:tcPr>
          <w:p>
            <w:pPr>
              <w:spacing w:after="0"/>
              <w:jc w:val="center"/>
            </w:pPr>
            <w:r>
              <w:rPr>
                <w:b/>
                <w:i w:val="0"/>
                <w:color w:val="1F8B5C"/>
                <w:sz w:val="18"/>
              </w:rPr>
              <w:t>High</w:t>
            </w:r>
          </w:p>
        </w:tc>
      </w:tr>
      <w:tr>
        <w:tc>
          <w:tcPr>
            <w:tcW w:type="dxa" w:w="2160"/>
            <w:tcMar>
              <w:top w:w="60" w:type="dxa"/>
              <w:left w:w="110" w:type="dxa"/>
              <w:bottom w:w="60" w:type="dxa"/>
              <w:right w:w="110" w:type="dxa"/>
            </w:tcMar>
            <w:shd w:val="clear" w:color="auto" w:fill="F5F7F5"/>
          </w:tcPr>
          <w:p>
            <w:pPr>
              <w:spacing w:after="0"/>
            </w:pPr>
            <w:r>
              <w:rPr>
                <w:b w:val="0"/>
                <w:i w:val="0"/>
                <w:color w:val="16261F"/>
                <w:sz w:val="18"/>
              </w:rPr>
              <w:t>Money arithmetic</w:t>
            </w:r>
          </w:p>
        </w:tc>
        <w:tc>
          <w:tcPr>
            <w:tcW w:type="dxa" w:w="3600"/>
            <w:tcMar>
              <w:top w:w="60" w:type="dxa"/>
              <w:left w:w="110" w:type="dxa"/>
              <w:bottom w:w="60" w:type="dxa"/>
              <w:right w:w="110" w:type="dxa"/>
            </w:tcMar>
            <w:shd w:val="clear" w:color="auto" w:fill="F5F7F5"/>
          </w:tcPr>
          <w:p>
            <w:pPr>
              <w:spacing w:after="0"/>
            </w:pPr>
            <w:r>
              <w:rPr>
                <w:b w:val="0"/>
                <w:i w:val="0"/>
                <w:color w:val="16261F"/>
                <w:sz w:val="18"/>
              </w:rPr>
              <w:t>dinero.js or bespoke integer module</w:t>
            </w:r>
          </w:p>
        </w:tc>
        <w:tc>
          <w:tcPr>
            <w:tcW w:type="dxa" w:w="1440"/>
            <w:tcMar>
              <w:top w:w="60" w:type="dxa"/>
              <w:left w:w="110" w:type="dxa"/>
              <w:bottom w:w="60" w:type="dxa"/>
              <w:right w:w="110" w:type="dxa"/>
            </w:tcMar>
            <w:shd w:val="clear" w:color="auto" w:fill="F5F7F5"/>
          </w:tcPr>
          <w:p>
            <w:pPr>
              <w:spacing w:after="0"/>
            </w:pPr>
            <w:r>
              <w:rPr>
                <w:b w:val="0"/>
                <w:i w:val="0"/>
                <w:color w:val="16261F"/>
                <w:sz w:val="18"/>
              </w:rPr>
              <w:t>2.x</w:t>
            </w:r>
          </w:p>
        </w:tc>
        <w:tc>
          <w:tcPr>
            <w:tcW w:type="dxa" w:w="1440"/>
            <w:tcMar>
              <w:top w:w="60" w:type="dxa"/>
              <w:left w:w="110" w:type="dxa"/>
              <w:bottom w:w="60" w:type="dxa"/>
              <w:right w:w="110" w:type="dxa"/>
            </w:tcMar>
            <w:shd w:val="clear" w:color="auto" w:fill="F5F7F5"/>
          </w:tcPr>
          <w:p>
            <w:pPr>
              <w:spacing w:after="0"/>
              <w:jc w:val="center"/>
            </w:pPr>
            <w:r>
              <w:rPr>
                <w:b/>
                <w:i w:val="0"/>
                <w:color w:val="1F8B5C"/>
                <w:sz w:val="18"/>
              </w:rPr>
              <w:t>High</w:t>
            </w:r>
          </w:p>
        </w:tc>
      </w:tr>
      <w:tr>
        <w:tc>
          <w:tcPr>
            <w:tcW w:type="dxa" w:w="2160"/>
            <w:tcMar>
              <w:top w:w="60" w:type="dxa"/>
              <w:left w:w="110" w:type="dxa"/>
              <w:bottom w:w="60" w:type="dxa"/>
              <w:right w:w="110" w:type="dxa"/>
            </w:tcMar>
          </w:tcPr>
          <w:p>
            <w:pPr>
              <w:spacing w:after="0"/>
            </w:pPr>
            <w:r>
              <w:rPr>
                <w:b w:val="0"/>
                <w:i w:val="0"/>
                <w:color w:val="16261F"/>
                <w:sz w:val="18"/>
              </w:rPr>
              <w:t>Validation</w:t>
            </w:r>
          </w:p>
        </w:tc>
        <w:tc>
          <w:tcPr>
            <w:tcW w:type="dxa" w:w="3600"/>
            <w:tcMar>
              <w:top w:w="60" w:type="dxa"/>
              <w:left w:w="110" w:type="dxa"/>
              <w:bottom w:w="60" w:type="dxa"/>
              <w:right w:w="110" w:type="dxa"/>
            </w:tcMar>
          </w:tcPr>
          <w:p>
            <w:pPr>
              <w:spacing w:after="0"/>
            </w:pPr>
            <w:r>
              <w:rPr>
                <w:b w:val="0"/>
                <w:i w:val="0"/>
                <w:color w:val="16261F"/>
                <w:sz w:val="18"/>
              </w:rPr>
              <w:t>Zod</w:t>
            </w:r>
          </w:p>
        </w:tc>
        <w:tc>
          <w:tcPr>
            <w:tcW w:type="dxa" w:w="1440"/>
            <w:tcMar>
              <w:top w:w="60" w:type="dxa"/>
              <w:left w:w="110" w:type="dxa"/>
              <w:bottom w:w="60" w:type="dxa"/>
              <w:right w:w="110" w:type="dxa"/>
            </w:tcMar>
          </w:tcPr>
          <w:p>
            <w:pPr>
              <w:spacing w:after="0"/>
            </w:pPr>
            <w:r>
              <w:rPr>
                <w:b w:val="0"/>
                <w:i w:val="0"/>
                <w:color w:val="16261F"/>
                <w:sz w:val="18"/>
              </w:rPr>
              <w:t>3.x</w:t>
            </w:r>
          </w:p>
        </w:tc>
        <w:tc>
          <w:tcPr>
            <w:tcW w:type="dxa" w:w="1440"/>
            <w:tcMar>
              <w:top w:w="60" w:type="dxa"/>
              <w:left w:w="110" w:type="dxa"/>
              <w:bottom w:w="60" w:type="dxa"/>
              <w:right w:w="110" w:type="dxa"/>
            </w:tcMar>
          </w:tcPr>
          <w:p>
            <w:pPr>
              <w:spacing w:after="0"/>
              <w:jc w:val="center"/>
            </w:pPr>
            <w:r>
              <w:rPr>
                <w:b/>
                <w:i w:val="0"/>
                <w:color w:val="1F8B5C"/>
                <w:sz w:val="18"/>
              </w:rPr>
              <w:t>High</w:t>
            </w:r>
          </w:p>
        </w:tc>
      </w:tr>
      <w:tr>
        <w:tc>
          <w:tcPr>
            <w:tcW w:type="dxa" w:w="2160"/>
            <w:tcMar>
              <w:top w:w="60" w:type="dxa"/>
              <w:left w:w="110" w:type="dxa"/>
              <w:bottom w:w="60" w:type="dxa"/>
              <w:right w:w="110" w:type="dxa"/>
            </w:tcMar>
            <w:shd w:val="clear" w:color="auto" w:fill="F5F7F5"/>
          </w:tcPr>
          <w:p>
            <w:pPr>
              <w:spacing w:after="0"/>
            </w:pPr>
            <w:r>
              <w:rPr>
                <w:b w:val="0"/>
                <w:i w:val="0"/>
                <w:color w:val="16261F"/>
                <w:sz w:val="18"/>
              </w:rPr>
              <w:t>PDF generation</w:t>
            </w:r>
          </w:p>
        </w:tc>
        <w:tc>
          <w:tcPr>
            <w:tcW w:type="dxa" w:w="3600"/>
            <w:tcMar>
              <w:top w:w="60" w:type="dxa"/>
              <w:left w:w="110" w:type="dxa"/>
              <w:bottom w:w="60" w:type="dxa"/>
              <w:right w:w="110" w:type="dxa"/>
            </w:tcMar>
            <w:shd w:val="clear" w:color="auto" w:fill="F5F7F5"/>
          </w:tcPr>
          <w:p>
            <w:pPr>
              <w:spacing w:after="0"/>
            </w:pPr>
            <w:r>
              <w:rPr>
                <w:b w:val="0"/>
                <w:i w:val="0"/>
                <w:color w:val="16261F"/>
                <w:sz w:val="18"/>
              </w:rPr>
              <w:t>Playwright headless Chromium</w:t>
            </w:r>
          </w:p>
        </w:tc>
        <w:tc>
          <w:tcPr>
            <w:tcW w:type="dxa" w:w="1440"/>
            <w:tcMar>
              <w:top w:w="60" w:type="dxa"/>
              <w:left w:w="110" w:type="dxa"/>
              <w:bottom w:w="60" w:type="dxa"/>
              <w:right w:w="110" w:type="dxa"/>
            </w:tcMar>
            <w:shd w:val="clear" w:color="auto" w:fill="F5F7F5"/>
          </w:tcPr>
          <w:p>
            <w:pPr>
              <w:spacing w:after="0"/>
            </w:pPr>
            <w:r>
              <w:rPr>
                <w:b w:val="0"/>
                <w:i w:val="0"/>
                <w:color w:val="16261F"/>
                <w:sz w:val="18"/>
              </w:rPr>
              <w:t>current</w:t>
            </w:r>
          </w:p>
        </w:tc>
        <w:tc>
          <w:tcPr>
            <w:tcW w:type="dxa" w:w="1440"/>
            <w:tcMar>
              <w:top w:w="60" w:type="dxa"/>
              <w:left w:w="110" w:type="dxa"/>
              <w:bottom w:w="60" w:type="dxa"/>
              <w:right w:w="110" w:type="dxa"/>
            </w:tcMar>
            <w:shd w:val="clear" w:color="auto" w:fill="F5F7F5"/>
          </w:tcPr>
          <w:p>
            <w:pPr>
              <w:spacing w:after="0"/>
              <w:jc w:val="center"/>
            </w:pPr>
            <w:r>
              <w:rPr>
                <w:b/>
                <w:i w:val="0"/>
                <w:color w:val="1F8B5C"/>
                <w:sz w:val="18"/>
              </w:rPr>
              <w:t>High</w:t>
            </w:r>
          </w:p>
        </w:tc>
      </w:tr>
      <w:tr>
        <w:tc>
          <w:tcPr>
            <w:tcW w:type="dxa" w:w="2160"/>
            <w:tcMar>
              <w:top w:w="60" w:type="dxa"/>
              <w:left w:w="110" w:type="dxa"/>
              <w:bottom w:w="60" w:type="dxa"/>
              <w:right w:w="110" w:type="dxa"/>
            </w:tcMar>
          </w:tcPr>
          <w:p>
            <w:pPr>
              <w:spacing w:after="0"/>
            </w:pPr>
            <w:r>
              <w:rPr>
                <w:b w:val="0"/>
                <w:i w:val="0"/>
                <w:color w:val="16261F"/>
                <w:sz w:val="18"/>
              </w:rPr>
              <w:t>Email rendering</w:t>
            </w:r>
          </w:p>
        </w:tc>
        <w:tc>
          <w:tcPr>
            <w:tcW w:type="dxa" w:w="3600"/>
            <w:tcMar>
              <w:top w:w="60" w:type="dxa"/>
              <w:left w:w="110" w:type="dxa"/>
              <w:bottom w:w="60" w:type="dxa"/>
              <w:right w:w="110" w:type="dxa"/>
            </w:tcMar>
          </w:tcPr>
          <w:p>
            <w:pPr>
              <w:spacing w:after="0"/>
            </w:pPr>
            <w:r>
              <w:rPr>
                <w:b w:val="0"/>
                <w:i w:val="0"/>
                <w:color w:val="16261F"/>
                <w:sz w:val="18"/>
              </w:rPr>
              <w:t>React Email + MJML fallback</w:t>
            </w:r>
          </w:p>
        </w:tc>
        <w:tc>
          <w:tcPr>
            <w:tcW w:type="dxa" w:w="1440"/>
            <w:tcMar>
              <w:top w:w="60" w:type="dxa"/>
              <w:left w:w="110" w:type="dxa"/>
              <w:bottom w:w="60" w:type="dxa"/>
              <w:right w:w="110" w:type="dxa"/>
            </w:tcMar>
          </w:tcPr>
          <w:p>
            <w:pPr>
              <w:spacing w:after="0"/>
            </w:pPr>
            <w:r>
              <w:rPr>
                <w:b w:val="0"/>
                <w:i w:val="0"/>
                <w:color w:val="16261F"/>
                <w:sz w:val="18"/>
              </w:rPr>
              <w:t>current</w:t>
            </w:r>
          </w:p>
        </w:tc>
        <w:tc>
          <w:tcPr>
            <w:tcW w:type="dxa" w:w="1440"/>
            <w:tcMar>
              <w:top w:w="60" w:type="dxa"/>
              <w:left w:w="110" w:type="dxa"/>
              <w:bottom w:w="60" w:type="dxa"/>
              <w:right w:w="110" w:type="dxa"/>
            </w:tcMar>
          </w:tcPr>
          <w:p>
            <w:pPr>
              <w:spacing w:after="0"/>
              <w:jc w:val="center"/>
            </w:pPr>
            <w:r>
              <w:rPr>
                <w:b/>
                <w:i w:val="0"/>
                <w:color w:val="C7862B"/>
                <w:sz w:val="18"/>
              </w:rPr>
              <w:t>Medium</w:t>
            </w:r>
          </w:p>
        </w:tc>
      </w:tr>
      <w:tr>
        <w:tc>
          <w:tcPr>
            <w:tcW w:type="dxa" w:w="2160"/>
            <w:tcMar>
              <w:top w:w="60" w:type="dxa"/>
              <w:left w:w="110" w:type="dxa"/>
              <w:bottom w:w="60" w:type="dxa"/>
              <w:right w:w="110" w:type="dxa"/>
            </w:tcMar>
            <w:shd w:val="clear" w:color="auto" w:fill="F5F7F5"/>
          </w:tcPr>
          <w:p>
            <w:pPr>
              <w:spacing w:after="0"/>
            </w:pPr>
            <w:r>
              <w:rPr>
                <w:b w:val="0"/>
                <w:i w:val="0"/>
                <w:color w:val="16261F"/>
                <w:sz w:val="18"/>
              </w:rPr>
              <w:t>Email delivery</w:t>
            </w:r>
          </w:p>
        </w:tc>
        <w:tc>
          <w:tcPr>
            <w:tcW w:type="dxa" w:w="3600"/>
            <w:tcMar>
              <w:top w:w="60" w:type="dxa"/>
              <w:left w:w="110" w:type="dxa"/>
              <w:bottom w:w="60" w:type="dxa"/>
              <w:right w:w="110" w:type="dxa"/>
            </w:tcMar>
            <w:shd w:val="clear" w:color="auto" w:fill="F5F7F5"/>
          </w:tcPr>
          <w:p>
            <w:pPr>
              <w:spacing w:after="0"/>
            </w:pPr>
            <w:r>
              <w:rPr>
                <w:b w:val="0"/>
                <w:i w:val="0"/>
                <w:color w:val="16261F"/>
                <w:sz w:val="18"/>
              </w:rPr>
              <w:t>Postmark (primary) or SendGrid</w:t>
            </w:r>
          </w:p>
        </w:tc>
        <w:tc>
          <w:tcPr>
            <w:tcW w:type="dxa" w:w="1440"/>
            <w:tcMar>
              <w:top w:w="60" w:type="dxa"/>
              <w:left w:w="110" w:type="dxa"/>
              <w:bottom w:w="60" w:type="dxa"/>
              <w:right w:w="110" w:type="dxa"/>
            </w:tcMar>
            <w:shd w:val="clear" w:color="auto" w:fill="F5F7F5"/>
          </w:tcPr>
          <w:p>
            <w:pPr>
              <w:spacing w:after="0"/>
            </w:pPr>
            <w:r>
              <w:rPr>
                <w:b w:val="0"/>
                <w:i w:val="0"/>
                <w:color w:val="16261F"/>
                <w:sz w:val="18"/>
              </w:rPr>
              <w:t>—</w:t>
            </w:r>
          </w:p>
        </w:tc>
        <w:tc>
          <w:tcPr>
            <w:tcW w:type="dxa" w:w="1440"/>
            <w:tcMar>
              <w:top w:w="60" w:type="dxa"/>
              <w:left w:w="110" w:type="dxa"/>
              <w:bottom w:w="60" w:type="dxa"/>
              <w:right w:w="110" w:type="dxa"/>
            </w:tcMar>
            <w:shd w:val="clear" w:color="auto" w:fill="F5F7F5"/>
          </w:tcPr>
          <w:p>
            <w:pPr>
              <w:spacing w:after="0"/>
              <w:jc w:val="center"/>
            </w:pPr>
            <w:r>
              <w:rPr>
                <w:b/>
                <w:i w:val="0"/>
                <w:color w:val="1F8B5C"/>
                <w:sz w:val="18"/>
              </w:rPr>
              <w:t>High</w:t>
            </w:r>
          </w:p>
        </w:tc>
      </w:tr>
      <w:tr>
        <w:tc>
          <w:tcPr>
            <w:tcW w:type="dxa" w:w="2160"/>
            <w:tcMar>
              <w:top w:w="60" w:type="dxa"/>
              <w:left w:w="110" w:type="dxa"/>
              <w:bottom w:w="60" w:type="dxa"/>
              <w:right w:w="110" w:type="dxa"/>
            </w:tcMar>
          </w:tcPr>
          <w:p>
            <w:pPr>
              <w:spacing w:after="0"/>
            </w:pPr>
            <w:r>
              <w:rPr>
                <w:b w:val="0"/>
                <w:i w:val="0"/>
                <w:color w:val="16261F"/>
                <w:sz w:val="18"/>
              </w:rPr>
              <w:t>Object storage</w:t>
            </w:r>
          </w:p>
        </w:tc>
        <w:tc>
          <w:tcPr>
            <w:tcW w:type="dxa" w:w="3600"/>
            <w:tcMar>
              <w:top w:w="60" w:type="dxa"/>
              <w:left w:w="110" w:type="dxa"/>
              <w:bottom w:w="60" w:type="dxa"/>
              <w:right w:w="110" w:type="dxa"/>
            </w:tcMar>
          </w:tcPr>
          <w:p>
            <w:pPr>
              <w:spacing w:after="0"/>
            </w:pPr>
            <w:r>
              <w:rPr>
                <w:b w:val="0"/>
                <w:i w:val="0"/>
                <w:color w:val="16261F"/>
                <w:sz w:val="18"/>
              </w:rPr>
              <w:t>AWS S3 or Cloudflare R2</w:t>
            </w:r>
          </w:p>
        </w:tc>
        <w:tc>
          <w:tcPr>
            <w:tcW w:type="dxa" w:w="1440"/>
            <w:tcMar>
              <w:top w:w="60" w:type="dxa"/>
              <w:left w:w="110" w:type="dxa"/>
              <w:bottom w:w="60" w:type="dxa"/>
              <w:right w:w="110" w:type="dxa"/>
            </w:tcMar>
          </w:tcPr>
          <w:p>
            <w:pPr>
              <w:spacing w:after="0"/>
            </w:pPr>
            <w:r>
              <w:rPr>
                <w:b w:val="0"/>
                <w:i w:val="0"/>
                <w:color w:val="16261F"/>
                <w:sz w:val="18"/>
              </w:rPr>
              <w:t>—</w:t>
            </w:r>
          </w:p>
        </w:tc>
        <w:tc>
          <w:tcPr>
            <w:tcW w:type="dxa" w:w="1440"/>
            <w:tcMar>
              <w:top w:w="60" w:type="dxa"/>
              <w:left w:w="110" w:type="dxa"/>
              <w:bottom w:w="60" w:type="dxa"/>
              <w:right w:w="110" w:type="dxa"/>
            </w:tcMar>
          </w:tcPr>
          <w:p>
            <w:pPr>
              <w:spacing w:after="0"/>
              <w:jc w:val="center"/>
            </w:pPr>
            <w:r>
              <w:rPr>
                <w:b/>
                <w:i w:val="0"/>
                <w:color w:val="1F8B5C"/>
                <w:sz w:val="18"/>
              </w:rPr>
              <w:t>High</w:t>
            </w:r>
          </w:p>
        </w:tc>
      </w:tr>
      <w:tr>
        <w:tc>
          <w:tcPr>
            <w:tcW w:type="dxa" w:w="2160"/>
            <w:tcMar>
              <w:top w:w="60" w:type="dxa"/>
              <w:left w:w="110" w:type="dxa"/>
              <w:bottom w:w="60" w:type="dxa"/>
              <w:right w:w="110" w:type="dxa"/>
            </w:tcMar>
            <w:shd w:val="clear" w:color="auto" w:fill="F5F7F5"/>
          </w:tcPr>
          <w:p>
            <w:pPr>
              <w:spacing w:after="0"/>
            </w:pPr>
            <w:r>
              <w:rPr>
                <w:b w:val="0"/>
                <w:i w:val="0"/>
                <w:color w:val="16261F"/>
                <w:sz w:val="18"/>
              </w:rPr>
              <w:t>Hosting</w:t>
            </w:r>
          </w:p>
        </w:tc>
        <w:tc>
          <w:tcPr>
            <w:tcW w:type="dxa" w:w="3600"/>
            <w:tcMar>
              <w:top w:w="60" w:type="dxa"/>
              <w:left w:w="110" w:type="dxa"/>
              <w:bottom w:w="60" w:type="dxa"/>
              <w:right w:w="110" w:type="dxa"/>
            </w:tcMar>
            <w:shd w:val="clear" w:color="auto" w:fill="F5F7F5"/>
          </w:tcPr>
          <w:p>
            <w:pPr>
              <w:spacing w:after="0"/>
            </w:pPr>
            <w:r>
              <w:rPr>
                <w:b w:val="0"/>
                <w:i w:val="0"/>
                <w:color w:val="16261F"/>
                <w:sz w:val="18"/>
              </w:rPr>
              <w:t>AWS ECS Fargate, or Railway for MVP</w:t>
            </w:r>
          </w:p>
        </w:tc>
        <w:tc>
          <w:tcPr>
            <w:tcW w:type="dxa" w:w="1440"/>
            <w:tcMar>
              <w:top w:w="60" w:type="dxa"/>
              <w:left w:w="110" w:type="dxa"/>
              <w:bottom w:w="60" w:type="dxa"/>
              <w:right w:w="110" w:type="dxa"/>
            </w:tcMar>
            <w:shd w:val="clear" w:color="auto" w:fill="F5F7F5"/>
          </w:tcPr>
          <w:p>
            <w:pPr>
              <w:spacing w:after="0"/>
            </w:pPr>
            <w:r>
              <w:rPr>
                <w:b w:val="0"/>
                <w:i w:val="0"/>
                <w:color w:val="16261F"/>
                <w:sz w:val="18"/>
              </w:rPr>
              <w:t>—</w:t>
            </w:r>
          </w:p>
        </w:tc>
        <w:tc>
          <w:tcPr>
            <w:tcW w:type="dxa" w:w="1440"/>
            <w:tcMar>
              <w:top w:w="60" w:type="dxa"/>
              <w:left w:w="110" w:type="dxa"/>
              <w:bottom w:w="60" w:type="dxa"/>
              <w:right w:w="110" w:type="dxa"/>
            </w:tcMar>
            <w:shd w:val="clear" w:color="auto" w:fill="F5F7F5"/>
          </w:tcPr>
          <w:p>
            <w:pPr>
              <w:spacing w:after="0"/>
              <w:jc w:val="center"/>
            </w:pPr>
            <w:r>
              <w:rPr>
                <w:b/>
                <w:i w:val="0"/>
                <w:color w:val="C7862B"/>
                <w:sz w:val="18"/>
              </w:rPr>
              <w:t>Medium</w:t>
            </w:r>
          </w:p>
        </w:tc>
      </w:tr>
      <w:tr>
        <w:tc>
          <w:tcPr>
            <w:tcW w:type="dxa" w:w="2160"/>
            <w:tcMar>
              <w:top w:w="60" w:type="dxa"/>
              <w:left w:w="110" w:type="dxa"/>
              <w:bottom w:w="60" w:type="dxa"/>
              <w:right w:w="110" w:type="dxa"/>
            </w:tcMar>
          </w:tcPr>
          <w:p>
            <w:pPr>
              <w:spacing w:after="0"/>
            </w:pPr>
            <w:r>
              <w:rPr>
                <w:b w:val="0"/>
                <w:i w:val="0"/>
                <w:color w:val="16261F"/>
                <w:sz w:val="18"/>
              </w:rPr>
              <w:t>Secrets</w:t>
            </w:r>
          </w:p>
        </w:tc>
        <w:tc>
          <w:tcPr>
            <w:tcW w:type="dxa" w:w="3600"/>
            <w:tcMar>
              <w:top w:w="60" w:type="dxa"/>
              <w:left w:w="110" w:type="dxa"/>
              <w:bottom w:w="60" w:type="dxa"/>
              <w:right w:w="110" w:type="dxa"/>
            </w:tcMar>
          </w:tcPr>
          <w:p>
            <w:pPr>
              <w:spacing w:after="0"/>
            </w:pPr>
            <w:r>
              <w:rPr>
                <w:b w:val="0"/>
                <w:i w:val="0"/>
                <w:color w:val="16261F"/>
                <w:sz w:val="18"/>
              </w:rPr>
              <w:t>AWS Secrets Manager + KMS</w:t>
            </w:r>
          </w:p>
        </w:tc>
        <w:tc>
          <w:tcPr>
            <w:tcW w:type="dxa" w:w="1440"/>
            <w:tcMar>
              <w:top w:w="60" w:type="dxa"/>
              <w:left w:w="110" w:type="dxa"/>
              <w:bottom w:w="60" w:type="dxa"/>
              <w:right w:w="110" w:type="dxa"/>
            </w:tcMar>
          </w:tcPr>
          <w:p>
            <w:pPr>
              <w:spacing w:after="0"/>
            </w:pPr>
            <w:r>
              <w:rPr>
                <w:b w:val="0"/>
                <w:i w:val="0"/>
                <w:color w:val="16261F"/>
                <w:sz w:val="18"/>
              </w:rPr>
              <w:t>—</w:t>
            </w:r>
          </w:p>
        </w:tc>
        <w:tc>
          <w:tcPr>
            <w:tcW w:type="dxa" w:w="1440"/>
            <w:tcMar>
              <w:top w:w="60" w:type="dxa"/>
              <w:left w:w="110" w:type="dxa"/>
              <w:bottom w:w="60" w:type="dxa"/>
              <w:right w:w="110" w:type="dxa"/>
            </w:tcMar>
          </w:tcPr>
          <w:p>
            <w:pPr>
              <w:spacing w:after="0"/>
              <w:jc w:val="center"/>
            </w:pPr>
            <w:r>
              <w:rPr>
                <w:b/>
                <w:i w:val="0"/>
                <w:color w:val="1F8B5C"/>
                <w:sz w:val="18"/>
              </w:rPr>
              <w:t>High</w:t>
            </w:r>
          </w:p>
        </w:tc>
      </w:tr>
      <w:tr>
        <w:tc>
          <w:tcPr>
            <w:tcW w:type="dxa" w:w="2160"/>
            <w:tcMar>
              <w:top w:w="60" w:type="dxa"/>
              <w:left w:w="110" w:type="dxa"/>
              <w:bottom w:w="60" w:type="dxa"/>
              <w:right w:w="110" w:type="dxa"/>
            </w:tcMar>
            <w:shd w:val="clear" w:color="auto" w:fill="F5F7F5"/>
          </w:tcPr>
          <w:p>
            <w:pPr>
              <w:spacing w:after="0"/>
            </w:pPr>
            <w:r>
              <w:rPr>
                <w:b w:val="0"/>
                <w:i w:val="0"/>
                <w:color w:val="16261F"/>
                <w:sz w:val="18"/>
              </w:rPr>
              <w:t>Observability</w:t>
            </w:r>
          </w:p>
        </w:tc>
        <w:tc>
          <w:tcPr>
            <w:tcW w:type="dxa" w:w="3600"/>
            <w:tcMar>
              <w:top w:w="60" w:type="dxa"/>
              <w:left w:w="110" w:type="dxa"/>
              <w:bottom w:w="60" w:type="dxa"/>
              <w:right w:w="110" w:type="dxa"/>
            </w:tcMar>
            <w:shd w:val="clear" w:color="auto" w:fill="F5F7F5"/>
          </w:tcPr>
          <w:p>
            <w:pPr>
              <w:spacing w:after="0"/>
            </w:pPr>
            <w:r>
              <w:rPr>
                <w:b w:val="0"/>
                <w:i w:val="0"/>
                <w:color w:val="16261F"/>
                <w:sz w:val="18"/>
              </w:rPr>
              <w:t>OpenTelemetry + Grafana Cloud / Datadog</w:t>
            </w:r>
          </w:p>
        </w:tc>
        <w:tc>
          <w:tcPr>
            <w:tcW w:type="dxa" w:w="1440"/>
            <w:tcMar>
              <w:top w:w="60" w:type="dxa"/>
              <w:left w:w="110" w:type="dxa"/>
              <w:bottom w:w="60" w:type="dxa"/>
              <w:right w:w="110" w:type="dxa"/>
            </w:tcMar>
            <w:shd w:val="clear" w:color="auto" w:fill="F5F7F5"/>
          </w:tcPr>
          <w:p>
            <w:pPr>
              <w:spacing w:after="0"/>
            </w:pPr>
            <w:r>
              <w:rPr>
                <w:b w:val="0"/>
                <w:i w:val="0"/>
                <w:color w:val="16261F"/>
                <w:sz w:val="18"/>
              </w:rPr>
              <w:t>—</w:t>
            </w:r>
          </w:p>
        </w:tc>
        <w:tc>
          <w:tcPr>
            <w:tcW w:type="dxa" w:w="1440"/>
            <w:tcMar>
              <w:top w:w="60" w:type="dxa"/>
              <w:left w:w="110" w:type="dxa"/>
              <w:bottom w:w="60" w:type="dxa"/>
              <w:right w:w="110" w:type="dxa"/>
            </w:tcMar>
            <w:shd w:val="clear" w:color="auto" w:fill="F5F7F5"/>
          </w:tcPr>
          <w:p>
            <w:pPr>
              <w:spacing w:after="0"/>
              <w:jc w:val="center"/>
            </w:pPr>
            <w:r>
              <w:rPr>
                <w:b/>
                <w:i w:val="0"/>
                <w:color w:val="C7862B"/>
                <w:sz w:val="18"/>
              </w:rPr>
              <w:t>Medium</w:t>
            </w:r>
          </w:p>
        </w:tc>
      </w:tr>
      <w:tr>
        <w:tc>
          <w:tcPr>
            <w:tcW w:type="dxa" w:w="2160"/>
            <w:tcMar>
              <w:top w:w="60" w:type="dxa"/>
              <w:left w:w="110" w:type="dxa"/>
              <w:bottom w:w="60" w:type="dxa"/>
              <w:right w:w="110" w:type="dxa"/>
            </w:tcMar>
          </w:tcPr>
          <w:p>
            <w:pPr>
              <w:spacing w:after="0"/>
            </w:pPr>
            <w:r>
              <w:rPr>
                <w:b w:val="0"/>
                <w:i w:val="0"/>
                <w:color w:val="16261F"/>
                <w:sz w:val="18"/>
              </w:rPr>
              <w:t>Error tracking</w:t>
            </w:r>
          </w:p>
        </w:tc>
        <w:tc>
          <w:tcPr>
            <w:tcW w:type="dxa" w:w="3600"/>
            <w:tcMar>
              <w:top w:w="60" w:type="dxa"/>
              <w:left w:w="110" w:type="dxa"/>
              <w:bottom w:w="60" w:type="dxa"/>
              <w:right w:w="110" w:type="dxa"/>
            </w:tcMar>
          </w:tcPr>
          <w:p>
            <w:pPr>
              <w:spacing w:after="0"/>
            </w:pPr>
            <w:r>
              <w:rPr>
                <w:b w:val="0"/>
                <w:i w:val="0"/>
                <w:color w:val="16261F"/>
                <w:sz w:val="18"/>
              </w:rPr>
              <w:t>Sentry</w:t>
            </w:r>
          </w:p>
        </w:tc>
        <w:tc>
          <w:tcPr>
            <w:tcW w:type="dxa" w:w="1440"/>
            <w:tcMar>
              <w:top w:w="60" w:type="dxa"/>
              <w:left w:w="110" w:type="dxa"/>
              <w:bottom w:w="60" w:type="dxa"/>
              <w:right w:w="110" w:type="dxa"/>
            </w:tcMar>
          </w:tcPr>
          <w:p>
            <w:pPr>
              <w:spacing w:after="0"/>
            </w:pPr>
            <w:r>
              <w:rPr>
                <w:b w:val="0"/>
                <w:i w:val="0"/>
                <w:color w:val="16261F"/>
                <w:sz w:val="18"/>
              </w:rPr>
              <w:t>—</w:t>
            </w:r>
          </w:p>
        </w:tc>
        <w:tc>
          <w:tcPr>
            <w:tcW w:type="dxa" w:w="1440"/>
            <w:tcMar>
              <w:top w:w="60" w:type="dxa"/>
              <w:left w:w="110" w:type="dxa"/>
              <w:bottom w:w="60" w:type="dxa"/>
              <w:right w:w="110" w:type="dxa"/>
            </w:tcMar>
          </w:tcPr>
          <w:p>
            <w:pPr>
              <w:spacing w:after="0"/>
              <w:jc w:val="center"/>
            </w:pPr>
            <w:r>
              <w:rPr>
                <w:b/>
                <w:i w:val="0"/>
                <w:color w:val="1F8B5C"/>
                <w:sz w:val="18"/>
              </w:rPr>
              <w:t>High</w:t>
            </w:r>
          </w:p>
        </w:tc>
      </w:tr>
      <w:tr>
        <w:tc>
          <w:tcPr>
            <w:tcW w:type="dxa" w:w="2160"/>
            <w:tcMar>
              <w:top w:w="60" w:type="dxa"/>
              <w:left w:w="110" w:type="dxa"/>
              <w:bottom w:w="60" w:type="dxa"/>
              <w:right w:w="110" w:type="dxa"/>
            </w:tcMar>
            <w:shd w:val="clear" w:color="auto" w:fill="F5F7F5"/>
          </w:tcPr>
          <w:p>
            <w:pPr>
              <w:spacing w:after="0"/>
            </w:pPr>
            <w:r>
              <w:rPr>
                <w:b w:val="0"/>
                <w:i w:val="0"/>
                <w:color w:val="16261F"/>
                <w:sz w:val="18"/>
              </w:rPr>
              <w:t>Testing</w:t>
            </w:r>
          </w:p>
        </w:tc>
        <w:tc>
          <w:tcPr>
            <w:tcW w:type="dxa" w:w="3600"/>
            <w:tcMar>
              <w:top w:w="60" w:type="dxa"/>
              <w:left w:w="110" w:type="dxa"/>
              <w:bottom w:w="60" w:type="dxa"/>
              <w:right w:w="110" w:type="dxa"/>
            </w:tcMar>
            <w:shd w:val="clear" w:color="auto" w:fill="F5F7F5"/>
          </w:tcPr>
          <w:p>
            <w:pPr>
              <w:spacing w:after="0"/>
            </w:pPr>
            <w:r>
              <w:rPr>
                <w:b w:val="0"/>
                <w:i w:val="0"/>
                <w:color w:val="16261F"/>
                <w:sz w:val="18"/>
              </w:rPr>
              <w:t>Vitest, Playwright, Testcontainers</w:t>
            </w:r>
          </w:p>
        </w:tc>
        <w:tc>
          <w:tcPr>
            <w:tcW w:type="dxa" w:w="1440"/>
            <w:tcMar>
              <w:top w:w="60" w:type="dxa"/>
              <w:left w:w="110" w:type="dxa"/>
              <w:bottom w:w="60" w:type="dxa"/>
              <w:right w:w="110" w:type="dxa"/>
            </w:tcMar>
            <w:shd w:val="clear" w:color="auto" w:fill="F5F7F5"/>
          </w:tcPr>
          <w:p>
            <w:pPr>
              <w:spacing w:after="0"/>
            </w:pPr>
            <w:r>
              <w:rPr>
                <w:b w:val="0"/>
                <w:i w:val="0"/>
                <w:color w:val="16261F"/>
                <w:sz w:val="18"/>
              </w:rPr>
              <w:t>current</w:t>
            </w:r>
          </w:p>
        </w:tc>
        <w:tc>
          <w:tcPr>
            <w:tcW w:type="dxa" w:w="1440"/>
            <w:tcMar>
              <w:top w:w="60" w:type="dxa"/>
              <w:left w:w="110" w:type="dxa"/>
              <w:bottom w:w="60" w:type="dxa"/>
              <w:right w:w="110" w:type="dxa"/>
            </w:tcMar>
            <w:shd w:val="clear" w:color="auto" w:fill="F5F7F5"/>
          </w:tcPr>
          <w:p>
            <w:pPr>
              <w:spacing w:after="0"/>
              <w:jc w:val="center"/>
            </w:pPr>
            <w:r>
              <w:rPr>
                <w:b/>
                <w:i w:val="0"/>
                <w:color w:val="1F8B5C"/>
                <w:sz w:val="18"/>
              </w:rPr>
              <w:t>High</w:t>
            </w:r>
          </w:p>
        </w:tc>
      </w:tr>
      <w:tr>
        <w:tc>
          <w:tcPr>
            <w:tcW w:type="dxa" w:w="2160"/>
            <w:tcMar>
              <w:top w:w="60" w:type="dxa"/>
              <w:left w:w="110" w:type="dxa"/>
              <w:bottom w:w="60" w:type="dxa"/>
              <w:right w:w="110" w:type="dxa"/>
            </w:tcMar>
          </w:tcPr>
          <w:p>
            <w:pPr>
              <w:spacing w:after="0"/>
            </w:pPr>
            <w:r>
              <w:rPr>
                <w:b w:val="0"/>
                <w:i w:val="0"/>
                <w:color w:val="16261F"/>
                <w:sz w:val="18"/>
              </w:rPr>
              <w:t>CI/CD</w:t>
            </w:r>
          </w:p>
        </w:tc>
        <w:tc>
          <w:tcPr>
            <w:tcW w:type="dxa" w:w="3600"/>
            <w:tcMar>
              <w:top w:w="60" w:type="dxa"/>
              <w:left w:w="110" w:type="dxa"/>
              <w:bottom w:w="60" w:type="dxa"/>
              <w:right w:w="110" w:type="dxa"/>
            </w:tcMar>
          </w:tcPr>
          <w:p>
            <w:pPr>
              <w:spacing w:after="0"/>
            </w:pPr>
            <w:r>
              <w:rPr>
                <w:b w:val="0"/>
                <w:i w:val="0"/>
                <w:color w:val="16261F"/>
                <w:sz w:val="18"/>
              </w:rPr>
              <w:t>GitHub Actions</w:t>
            </w:r>
          </w:p>
        </w:tc>
        <w:tc>
          <w:tcPr>
            <w:tcW w:type="dxa" w:w="1440"/>
            <w:tcMar>
              <w:top w:w="60" w:type="dxa"/>
              <w:left w:w="110" w:type="dxa"/>
              <w:bottom w:w="60" w:type="dxa"/>
              <w:right w:w="110" w:type="dxa"/>
            </w:tcMar>
          </w:tcPr>
          <w:p>
            <w:pPr>
              <w:spacing w:after="0"/>
            </w:pPr>
            <w:r>
              <w:rPr>
                <w:b w:val="0"/>
                <w:i w:val="0"/>
                <w:color w:val="16261F"/>
                <w:sz w:val="18"/>
              </w:rPr>
              <w:t>—</w:t>
            </w:r>
          </w:p>
        </w:tc>
        <w:tc>
          <w:tcPr>
            <w:tcW w:type="dxa" w:w="1440"/>
            <w:tcMar>
              <w:top w:w="60" w:type="dxa"/>
              <w:left w:w="110" w:type="dxa"/>
              <w:bottom w:w="60" w:type="dxa"/>
              <w:right w:w="110" w:type="dxa"/>
            </w:tcMar>
          </w:tcPr>
          <w:p>
            <w:pPr>
              <w:spacing w:after="0"/>
              <w:jc w:val="center"/>
            </w:pPr>
            <w:r>
              <w:rPr>
                <w:b/>
                <w:i w:val="0"/>
                <w:color w:val="1F8B5C"/>
                <w:sz w:val="18"/>
              </w:rPr>
              <w:t>High</w:t>
            </w:r>
          </w:p>
        </w:tc>
      </w:tr>
      <w:tr>
        <w:tc>
          <w:tcPr>
            <w:tcW w:type="dxa" w:w="2160"/>
            <w:tcMar>
              <w:top w:w="60" w:type="dxa"/>
              <w:left w:w="110" w:type="dxa"/>
              <w:bottom w:w="60" w:type="dxa"/>
              <w:right w:w="110" w:type="dxa"/>
            </w:tcMar>
            <w:shd w:val="clear" w:color="auto" w:fill="F5F7F5"/>
          </w:tcPr>
          <w:p>
            <w:pPr>
              <w:spacing w:after="0"/>
            </w:pPr>
            <w:r>
              <w:rPr>
                <w:b w:val="0"/>
                <w:i w:val="0"/>
                <w:color w:val="16261F"/>
                <w:sz w:val="18"/>
              </w:rPr>
              <w:t>Payment gateway</w:t>
            </w:r>
          </w:p>
        </w:tc>
        <w:tc>
          <w:tcPr>
            <w:tcW w:type="dxa" w:w="3600"/>
            <w:tcMar>
              <w:top w:w="60" w:type="dxa"/>
              <w:left w:w="110" w:type="dxa"/>
              <w:bottom w:w="60" w:type="dxa"/>
              <w:right w:w="110" w:type="dxa"/>
            </w:tcMar>
            <w:shd w:val="clear" w:color="auto" w:fill="F5F7F5"/>
          </w:tcPr>
          <w:p>
            <w:pPr>
              <w:spacing w:after="0"/>
            </w:pPr>
            <w:r>
              <w:rPr>
                <w:b w:val="0"/>
                <w:i w:val="0"/>
                <w:color w:val="16261F"/>
                <w:sz w:val="18"/>
              </w:rPr>
              <w:t>Numbers Gateway</w:t>
            </w:r>
          </w:p>
        </w:tc>
        <w:tc>
          <w:tcPr>
            <w:tcW w:type="dxa" w:w="1440"/>
            <w:tcMar>
              <w:top w:w="60" w:type="dxa"/>
              <w:left w:w="110" w:type="dxa"/>
              <w:bottom w:w="60" w:type="dxa"/>
              <w:right w:w="110" w:type="dxa"/>
            </w:tcMar>
            <w:shd w:val="clear" w:color="auto" w:fill="F5F7F5"/>
          </w:tcPr>
          <w:p>
            <w:pPr>
              <w:spacing w:after="0"/>
            </w:pPr>
            <w:r>
              <w:rPr>
                <w:b w:val="0"/>
                <w:i w:val="0"/>
                <w:color w:val="16261F"/>
                <w:sz w:val="18"/>
              </w:rPr>
              <w:t>v2</w:t>
            </w:r>
          </w:p>
        </w:tc>
        <w:tc>
          <w:tcPr>
            <w:tcW w:type="dxa" w:w="1440"/>
            <w:tcMar>
              <w:top w:w="60" w:type="dxa"/>
              <w:left w:w="110" w:type="dxa"/>
              <w:bottom w:w="60" w:type="dxa"/>
              <w:right w:w="110" w:type="dxa"/>
            </w:tcMar>
            <w:shd w:val="clear" w:color="auto" w:fill="F5F7F5"/>
          </w:tcPr>
          <w:p>
            <w:pPr>
              <w:spacing w:after="0"/>
              <w:jc w:val="center"/>
            </w:pPr>
            <w:r>
              <w:rPr>
                <w:b/>
                <w:i w:val="0"/>
                <w:color w:val="C0473D"/>
                <w:sz w:val="18"/>
              </w:rPr>
              <w:t>Blocked</w:t>
            </w:r>
          </w:p>
        </w:tc>
      </w:tr>
      <w:tr>
        <w:tc>
          <w:tcPr>
            <w:tcW w:type="dxa" w:w="2160"/>
            <w:tcMar>
              <w:top w:w="60" w:type="dxa"/>
              <w:left w:w="110" w:type="dxa"/>
              <w:bottom w:w="60" w:type="dxa"/>
              <w:right w:w="110" w:type="dxa"/>
            </w:tcMar>
          </w:tcPr>
          <w:p>
            <w:pPr>
              <w:spacing w:after="0"/>
            </w:pPr>
            <w:r>
              <w:rPr>
                <w:b w:val="0"/>
                <w:i w:val="0"/>
                <w:color w:val="16261F"/>
                <w:sz w:val="18"/>
              </w:rPr>
              <w:t>Accounting</w:t>
            </w:r>
          </w:p>
        </w:tc>
        <w:tc>
          <w:tcPr>
            <w:tcW w:type="dxa" w:w="3600"/>
            <w:tcMar>
              <w:top w:w="60" w:type="dxa"/>
              <w:left w:w="110" w:type="dxa"/>
              <w:bottom w:w="60" w:type="dxa"/>
              <w:right w:w="110" w:type="dxa"/>
            </w:tcMar>
          </w:tcPr>
          <w:p>
            <w:pPr>
              <w:spacing w:after="0"/>
            </w:pPr>
            <w:r>
              <w:rPr>
                <w:b w:val="0"/>
                <w:i w:val="0"/>
                <w:color w:val="16261F"/>
                <w:sz w:val="18"/>
              </w:rPr>
              <w:t>Zoho Books API</w:t>
            </w:r>
          </w:p>
        </w:tc>
        <w:tc>
          <w:tcPr>
            <w:tcW w:type="dxa" w:w="1440"/>
            <w:tcMar>
              <w:top w:w="60" w:type="dxa"/>
              <w:left w:w="110" w:type="dxa"/>
              <w:bottom w:w="60" w:type="dxa"/>
              <w:right w:w="110" w:type="dxa"/>
            </w:tcMar>
          </w:tcPr>
          <w:p>
            <w:pPr>
              <w:spacing w:after="0"/>
            </w:pPr>
            <w:r>
              <w:rPr>
                <w:b w:val="0"/>
                <w:i w:val="0"/>
                <w:color w:val="16261F"/>
                <w:sz w:val="18"/>
              </w:rPr>
              <w:t>v3</w:t>
            </w:r>
          </w:p>
        </w:tc>
        <w:tc>
          <w:tcPr>
            <w:tcW w:type="dxa" w:w="1440"/>
            <w:tcMar>
              <w:top w:w="60" w:type="dxa"/>
              <w:left w:w="110" w:type="dxa"/>
              <w:bottom w:w="60" w:type="dxa"/>
              <w:right w:w="110" w:type="dxa"/>
            </w:tcMar>
          </w:tcPr>
          <w:p>
            <w:pPr>
              <w:spacing w:after="0"/>
              <w:jc w:val="center"/>
            </w:pPr>
            <w:r>
              <w:rPr>
                <w:b/>
                <w:i w:val="0"/>
                <w:color w:val="1F8B5C"/>
                <w:sz w:val="18"/>
              </w:rPr>
              <w:t>High</w:t>
            </w:r>
          </w:p>
        </w:tc>
      </w:tr>
    </w:tbl>
    <w:p>
      <w:pPr>
        <w:pBdr>
          <w:left w:val="single" w:sz="18" w:space="10" w:color="2D6A6A"/>
        </w:pBdr>
        <w:shd w:val="clear" w:color="auto" w:fill="EDF1EE"/>
        <w:spacing w:before="160" w:after="180"/>
        <w:ind w:left="173"/>
      </w:pPr>
      <w:r>
        <w:rPr>
          <w:b/>
          <w:color w:val="2D6A6A"/>
          <w:sz w:val="17"/>
        </w:rPr>
        <w:t xml:space="preserve">CONFIDENCE KEY  </w:t>
      </w:r>
      <w:r>
        <w:rPr>
          <w:color w:val="16261F"/>
          <w:sz w:val="20"/>
        </w:rPr>
        <w:t>High — recommend proceeding without further evaluation. Medium — sound choice, but a spike or a team preference could reasonably change it. Blocked — cannot be confirmed until an external dependency is resolved.</w:t>
      </w:r>
    </w:p>
    <w:p>
      <w:r>
        <w:br w:type="page"/>
      </w:r>
    </w:p>
    <w:p>
      <w:pPr>
        <w:pStyle w:val="Heading1"/>
      </w:pPr>
      <w:r>
        <w:t>3. Frontend</w:t>
      </w:r>
    </w:p>
    <w:p>
      <w:pPr>
        <w:pStyle w:val="Heading2"/>
      </w:pPr>
      <w:r>
        <w:t>3.1 TypeScript, strict</w:t>
      </w:r>
    </w:p>
    <w:p>
      <w:pPr>
        <w:spacing w:after="140"/>
      </w:pPr>
      <w:r>
        <w:rPr>
          <w:b w:val="0"/>
          <w:i w:val="0"/>
          <w:color w:val="16261F"/>
          <w:sz w:val="21"/>
        </w:rPr>
        <w:t>Non-negotiable, and mandated by NFR-MNT-001. In a system where a mistyped monetary value or a missing brand identifier is a financial defect rather than a rendering glitch, static typing is a correctness control. Strict mode with no implicit any, and no escape hatches in the money or authorisation modules.</w:t>
      </w:r>
    </w:p>
    <w:p>
      <w:pPr>
        <w:pStyle w:val="Heading2"/>
      </w:pPr>
      <w:r>
        <w:t>3.2 React 18</w:t>
      </w:r>
    </w:p>
    <w:p>
      <w:pPr>
        <w:spacing w:after="140"/>
      </w:pPr>
      <w:r>
        <w:rPr>
          <w:b w:val="0"/>
          <w:i w:val="0"/>
          <w:color w:val="16261F"/>
          <w:sz w:val="21"/>
        </w:rPr>
        <w:t>Carried forward from the prototype. The component model, the interaction design and the visual system all transfer directly, which preserves the design investment already made and already shown to the client. Hiring pool is deep and the ecosystem for the specific components needed — tables, forms, date pickers — is mature.</w:t>
      </w:r>
    </w:p>
    <w:p>
      <w:pPr>
        <w:pStyle w:val="Heading2"/>
      </w:pPr>
      <w:r>
        <w:t>3.3 Next.js for both applications, deployed separately</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4680"/>
        <w:gridCol w:w="4680"/>
      </w:tblGrid>
      <w:tr>
        <w:trPr>
          <w:tblHeader w:val="true"/>
        </w:trPr>
        <w:tc>
          <w:tcPr>
            <w:tcW w:type="dxa" w:w="2016"/>
            <w:shd w:val="clear" w:color="auto" w:fill="16261F"/>
            <w:tcMar>
              <w:top w:w="70" w:type="dxa"/>
              <w:left w:w="110" w:type="dxa"/>
              <w:bottom w:w="70" w:type="dxa"/>
              <w:right w:w="110" w:type="dxa"/>
            </w:tcMar>
          </w:tcPr>
          <w:p>
            <w:pPr>
              <w:spacing w:after="0"/>
            </w:pPr>
            <w:r>
              <w:rPr>
                <w:rFonts w:ascii="Calibri" w:hAnsi="Calibri"/>
                <w:b/>
                <w:color w:val="FFFFFF"/>
                <w:sz w:val="18"/>
              </w:rPr>
              <w:t>Consideration</w:t>
            </w:r>
          </w:p>
        </w:tc>
        <w:tc>
          <w:tcPr>
            <w:tcW w:type="dxa" w:w="7344"/>
            <w:shd w:val="clear" w:color="auto" w:fill="16261F"/>
            <w:tcMar>
              <w:top w:w="70" w:type="dxa"/>
              <w:left w:w="110" w:type="dxa"/>
              <w:bottom w:w="70" w:type="dxa"/>
              <w:right w:w="110" w:type="dxa"/>
            </w:tcMar>
          </w:tcPr>
          <w:p>
            <w:pPr>
              <w:spacing w:after="0"/>
            </w:pPr>
            <w:r>
              <w:rPr>
                <w:rFonts w:ascii="Calibri" w:hAnsi="Calibri"/>
                <w:b/>
                <w:color w:val="FFFFFF"/>
                <w:sz w:val="18"/>
              </w:rPr>
              <w:t>Assessment</w:t>
            </w:r>
          </w:p>
        </w:tc>
      </w:tr>
      <w:tr>
        <w:tc>
          <w:tcPr>
            <w:tcW w:type="dxa" w:w="2016"/>
            <w:tcMar>
              <w:top w:w="60" w:type="dxa"/>
              <w:left w:w="110" w:type="dxa"/>
              <w:bottom w:w="60" w:type="dxa"/>
              <w:right w:w="110" w:type="dxa"/>
            </w:tcMar>
          </w:tcPr>
          <w:p>
            <w:pPr>
              <w:spacing w:after="0"/>
            </w:pPr>
            <w:r>
              <w:rPr>
                <w:b w:val="0"/>
                <w:i w:val="0"/>
                <w:color w:val="16261F"/>
                <w:sz w:val="19"/>
              </w:rPr>
              <w:t>Why Next.js</w:t>
            </w:r>
          </w:p>
        </w:tc>
        <w:tc>
          <w:tcPr>
            <w:tcW w:type="dxa" w:w="7344"/>
            <w:tcMar>
              <w:top w:w="60" w:type="dxa"/>
              <w:left w:w="110" w:type="dxa"/>
              <w:bottom w:w="60" w:type="dxa"/>
              <w:right w:w="110" w:type="dxa"/>
            </w:tcMar>
          </w:tcPr>
          <w:p>
            <w:pPr>
              <w:spacing w:after="0"/>
            </w:pPr>
            <w:r>
              <w:rPr>
                <w:b w:val="0"/>
                <w:i w:val="0"/>
                <w:color w:val="16261F"/>
                <w:sz w:val="19"/>
              </w:rPr>
              <w:t>Server-side rendering matters for the payment page: NFR-PRF-010 sets a 1.5 s first contentful paint on 4G. A client-rendered bundle fetching invoice data after hydration will not meet it reliably.</w:t>
            </w:r>
          </w:p>
        </w:tc>
      </w:tr>
      <w:tr>
        <w:tc>
          <w:tcPr>
            <w:tcW w:type="dxa" w:w="2016"/>
            <w:tcMar>
              <w:top w:w="60" w:type="dxa"/>
              <w:left w:w="110" w:type="dxa"/>
              <w:bottom w:w="60" w:type="dxa"/>
              <w:right w:w="110" w:type="dxa"/>
            </w:tcMar>
            <w:shd w:val="clear" w:color="auto" w:fill="F5F7F5"/>
          </w:tcPr>
          <w:p>
            <w:pPr>
              <w:spacing w:after="0"/>
            </w:pPr>
            <w:r>
              <w:rPr>
                <w:b w:val="0"/>
                <w:i w:val="0"/>
                <w:color w:val="16261F"/>
                <w:sz w:val="19"/>
              </w:rPr>
              <w:t>Why two deployments</w:t>
            </w:r>
          </w:p>
        </w:tc>
        <w:tc>
          <w:tcPr>
            <w:tcW w:type="dxa" w:w="7344"/>
            <w:tcMar>
              <w:top w:w="60" w:type="dxa"/>
              <w:left w:w="110" w:type="dxa"/>
              <w:bottom w:w="60" w:type="dxa"/>
              <w:right w:w="110" w:type="dxa"/>
            </w:tcMar>
            <w:shd w:val="clear" w:color="auto" w:fill="F5F7F5"/>
          </w:tcPr>
          <w:p>
            <w:pPr>
              <w:spacing w:after="0"/>
            </w:pPr>
            <w:r>
              <w:rPr>
                <w:b w:val="0"/>
                <w:i w:val="0"/>
                <w:color w:val="16261F"/>
                <w:sz w:val="19"/>
              </w:rPr>
              <w:t>Per ADR-002. The payment app ships a minimal dependency tree, a strict CSP and a conservative release cadence. The admin app has none of those constraints and should not impose them on itself, nor relax them on the payment page.</w:t>
            </w:r>
          </w:p>
        </w:tc>
      </w:tr>
      <w:tr>
        <w:tc>
          <w:tcPr>
            <w:tcW w:type="dxa" w:w="2016"/>
            <w:tcMar>
              <w:top w:w="60" w:type="dxa"/>
              <w:left w:w="110" w:type="dxa"/>
              <w:bottom w:w="60" w:type="dxa"/>
              <w:right w:w="110" w:type="dxa"/>
            </w:tcMar>
          </w:tcPr>
          <w:p>
            <w:pPr>
              <w:spacing w:after="0"/>
            </w:pPr>
            <w:r>
              <w:rPr>
                <w:b w:val="0"/>
                <w:i w:val="0"/>
                <w:color w:val="16261F"/>
                <w:sz w:val="19"/>
              </w:rPr>
              <w:t>Shared code</w:t>
            </w:r>
          </w:p>
        </w:tc>
        <w:tc>
          <w:tcPr>
            <w:tcW w:type="dxa" w:w="7344"/>
            <w:tcMar>
              <w:top w:w="60" w:type="dxa"/>
              <w:left w:w="110" w:type="dxa"/>
              <w:bottom w:w="60" w:type="dxa"/>
              <w:right w:w="110" w:type="dxa"/>
            </w:tcMar>
          </w:tcPr>
          <w:p>
            <w:pPr>
              <w:spacing w:after="0"/>
            </w:pPr>
            <w:r>
              <w:rPr>
                <w:b w:val="0"/>
                <w:i w:val="0"/>
                <w:color w:val="16261F"/>
                <w:sz w:val="19"/>
              </w:rPr>
              <w:t>A workspace package holds design tokens, the money module, shared types and validation schemas. Shared code, separate deployments.</w:t>
            </w:r>
          </w:p>
        </w:tc>
      </w:tr>
      <w:tr>
        <w:tc>
          <w:tcPr>
            <w:tcW w:type="dxa" w:w="2016"/>
            <w:tcMar>
              <w:top w:w="60" w:type="dxa"/>
              <w:left w:w="110" w:type="dxa"/>
              <w:bottom w:w="60" w:type="dxa"/>
              <w:right w:w="110" w:type="dxa"/>
            </w:tcMar>
            <w:shd w:val="clear" w:color="auto" w:fill="F5F7F5"/>
          </w:tcPr>
          <w:p>
            <w:pPr>
              <w:spacing w:after="0"/>
            </w:pPr>
            <w:r>
              <w:rPr>
                <w:b w:val="0"/>
                <w:i w:val="0"/>
                <w:color w:val="16261F"/>
                <w:sz w:val="19"/>
              </w:rPr>
              <w:t>Payment app discipline</w:t>
            </w:r>
          </w:p>
        </w:tc>
        <w:tc>
          <w:tcPr>
            <w:tcW w:type="dxa" w:w="7344"/>
            <w:tcMar>
              <w:top w:w="60" w:type="dxa"/>
              <w:left w:w="110" w:type="dxa"/>
              <w:bottom w:w="60" w:type="dxa"/>
              <w:right w:w="110" w:type="dxa"/>
            </w:tcMar>
            <w:shd w:val="clear" w:color="auto" w:fill="F5F7F5"/>
          </w:tcPr>
          <w:p>
            <w:pPr>
              <w:spacing w:after="0"/>
            </w:pPr>
            <w:r>
              <w:rPr>
                <w:b w:val="0"/>
                <w:i w:val="0"/>
                <w:color w:val="16261F"/>
                <w:sz w:val="19"/>
              </w:rPr>
              <w:t>Every dependency added to the payment application is a PCI scope question. The dependency list is reviewed as a security artefact, not a build detail.</w:t>
            </w:r>
          </w:p>
        </w:tc>
      </w:tr>
    </w:tbl>
    <w:p>
      <w:pPr>
        <w:pStyle w:val="Heading2"/>
      </w:pPr>
      <w:r>
        <w:t>3.4 Tailwind CSS with design tokens</w:t>
      </w:r>
    </w:p>
    <w:p>
      <w:pPr>
        <w:spacing w:after="140"/>
      </w:pPr>
      <w:r>
        <w:rPr>
          <w:b w:val="0"/>
          <w:i w:val="0"/>
          <w:color w:val="16261F"/>
          <w:sz w:val="21"/>
        </w:rPr>
        <w:t>Also carried forward from the prototype, but with the palette extracted into tokens rather than inlined as hex literals throughout the component tree as it is today. Brand theme colour is applied through CSS custom properties, which is what allows a single component set to render in any brand's colours without recompilation.</w:t>
      </w:r>
    </w:p>
    <w:p>
      <w:pPr>
        <w:pBdr>
          <w:left w:val="single" w:sz="18" w:space="10" w:color="2D6A6A"/>
        </w:pBdr>
        <w:shd w:val="clear" w:color="auto" w:fill="EDF1EE"/>
        <w:spacing w:before="160" w:after="180"/>
        <w:ind w:left="173"/>
      </w:pPr>
      <w:r>
        <w:rPr>
          <w:b/>
          <w:color w:val="2D6A6A"/>
          <w:sz w:val="17"/>
        </w:rPr>
        <w:t xml:space="preserve">ACCESSIBILITY CONSTRAINT ON THEMING  </w:t>
      </w:r>
      <w:r>
        <w:rPr>
          <w:color w:val="16261F"/>
          <w:sz w:val="20"/>
        </w:rPr>
        <w:t>Per NFR-USE-004 and section 11.1 of NFR-001, an arbitrary brand colour will not reliably meet 4.5:1 contrast against white. The token layer must compute an accessible foreground for each brand colour and reject or warn on colours that cannot be made compliant. This is a build-time and admin-time check, not a runtime hope.</w:t>
      </w:r>
    </w:p>
    <w:p>
      <w:pPr>
        <w:pStyle w:val="Heading2"/>
      </w:pPr>
      <w:r>
        <w:t>3.5 Supporting libraries</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3120"/>
        <w:gridCol w:w="3120"/>
        <w:gridCol w:w="3120"/>
      </w:tblGrid>
      <w:tr>
        <w:trPr>
          <w:tblHeader w:val="true"/>
        </w:trPr>
        <w:tc>
          <w:tcPr>
            <w:tcW w:type="dxa" w:w="1656"/>
            <w:shd w:val="clear" w:color="auto" w:fill="16261F"/>
            <w:tcMar>
              <w:top w:w="70" w:type="dxa"/>
              <w:left w:w="110" w:type="dxa"/>
              <w:bottom w:w="70" w:type="dxa"/>
              <w:right w:w="110" w:type="dxa"/>
            </w:tcMar>
          </w:tcPr>
          <w:p>
            <w:pPr>
              <w:spacing w:after="0"/>
            </w:pPr>
            <w:r>
              <w:rPr>
                <w:rFonts w:ascii="Calibri" w:hAnsi="Calibri"/>
                <w:b/>
                <w:color w:val="FFFFFF"/>
                <w:sz w:val="17"/>
              </w:rPr>
              <w:t>Concern</w:t>
            </w:r>
          </w:p>
        </w:tc>
        <w:tc>
          <w:tcPr>
            <w:tcW w:type="dxa" w:w="2160"/>
            <w:shd w:val="clear" w:color="auto" w:fill="16261F"/>
            <w:tcMar>
              <w:top w:w="70" w:type="dxa"/>
              <w:left w:w="110" w:type="dxa"/>
              <w:bottom w:w="70" w:type="dxa"/>
              <w:right w:w="110" w:type="dxa"/>
            </w:tcMar>
          </w:tcPr>
          <w:p>
            <w:pPr>
              <w:spacing w:after="0"/>
            </w:pPr>
            <w:r>
              <w:rPr>
                <w:rFonts w:ascii="Calibri" w:hAnsi="Calibri"/>
                <w:b/>
                <w:color w:val="FFFFFF"/>
                <w:sz w:val="17"/>
              </w:rPr>
              <w:t>Choice</w:t>
            </w:r>
          </w:p>
        </w:tc>
        <w:tc>
          <w:tcPr>
            <w:tcW w:type="dxa" w:w="5544"/>
            <w:shd w:val="clear" w:color="auto" w:fill="16261F"/>
            <w:tcMar>
              <w:top w:w="70" w:type="dxa"/>
              <w:left w:w="110" w:type="dxa"/>
              <w:bottom w:w="70" w:type="dxa"/>
              <w:right w:w="110" w:type="dxa"/>
            </w:tcMar>
          </w:tcPr>
          <w:p>
            <w:pPr>
              <w:spacing w:after="0"/>
            </w:pPr>
            <w:r>
              <w:rPr>
                <w:rFonts w:ascii="Calibri" w:hAnsi="Calibri"/>
                <w:b/>
                <w:color w:val="FFFFFF"/>
                <w:sz w:val="17"/>
              </w:rPr>
              <w:t>Note</w:t>
            </w:r>
          </w:p>
        </w:tc>
      </w:tr>
      <w:tr>
        <w:tc>
          <w:tcPr>
            <w:tcW w:type="dxa" w:w="1656"/>
            <w:tcMar>
              <w:top w:w="60" w:type="dxa"/>
              <w:left w:w="110" w:type="dxa"/>
              <w:bottom w:w="60" w:type="dxa"/>
              <w:right w:w="110" w:type="dxa"/>
            </w:tcMar>
          </w:tcPr>
          <w:p>
            <w:pPr>
              <w:spacing w:after="0"/>
            </w:pPr>
            <w:r>
              <w:rPr>
                <w:b w:val="0"/>
                <w:i w:val="0"/>
                <w:color w:val="16261F"/>
                <w:sz w:val="18"/>
              </w:rPr>
              <w:t>UI primitives</w:t>
            </w:r>
          </w:p>
        </w:tc>
        <w:tc>
          <w:tcPr>
            <w:tcW w:type="dxa" w:w="2160"/>
            <w:tcMar>
              <w:top w:w="60" w:type="dxa"/>
              <w:left w:w="110" w:type="dxa"/>
              <w:bottom w:w="60" w:type="dxa"/>
              <w:right w:w="110" w:type="dxa"/>
            </w:tcMar>
          </w:tcPr>
          <w:p>
            <w:pPr>
              <w:spacing w:after="0"/>
            </w:pPr>
            <w:r>
              <w:rPr>
                <w:b w:val="0"/>
                <w:i w:val="0"/>
                <w:color w:val="16261F"/>
                <w:sz w:val="18"/>
              </w:rPr>
              <w:t>Radix UI</w:t>
            </w:r>
          </w:p>
        </w:tc>
        <w:tc>
          <w:tcPr>
            <w:tcW w:type="dxa" w:w="5544"/>
            <w:tcMar>
              <w:top w:w="60" w:type="dxa"/>
              <w:left w:w="110" w:type="dxa"/>
              <w:bottom w:w="60" w:type="dxa"/>
              <w:right w:w="110" w:type="dxa"/>
            </w:tcMar>
          </w:tcPr>
          <w:p>
            <w:pPr>
              <w:spacing w:after="0"/>
            </w:pPr>
            <w:r>
              <w:rPr>
                <w:b w:val="0"/>
                <w:i w:val="0"/>
                <w:color w:val="16261F"/>
                <w:sz w:val="18"/>
              </w:rPr>
              <w:t>Unstyled, accessible-by-construction dialogs, dropdowns and tabs. Replaces the prototype's hand-rolled modal and drawer, which have no focus trapping or keyboard handling.</w:t>
            </w:r>
          </w:p>
        </w:tc>
      </w:tr>
      <w:tr>
        <w:tc>
          <w:tcPr>
            <w:tcW w:type="dxa" w:w="1656"/>
            <w:tcMar>
              <w:top w:w="60" w:type="dxa"/>
              <w:left w:w="110" w:type="dxa"/>
              <w:bottom w:w="60" w:type="dxa"/>
              <w:right w:w="110" w:type="dxa"/>
            </w:tcMar>
            <w:shd w:val="clear" w:color="auto" w:fill="F5F7F5"/>
          </w:tcPr>
          <w:p>
            <w:pPr>
              <w:spacing w:after="0"/>
            </w:pPr>
            <w:r>
              <w:rPr>
                <w:b w:val="0"/>
                <w:i w:val="0"/>
                <w:color w:val="16261F"/>
                <w:sz w:val="18"/>
              </w:rPr>
              <w:t>Icons</w:t>
            </w:r>
          </w:p>
        </w:tc>
        <w:tc>
          <w:tcPr>
            <w:tcW w:type="dxa" w:w="2160"/>
            <w:tcMar>
              <w:top w:w="60" w:type="dxa"/>
              <w:left w:w="110" w:type="dxa"/>
              <w:bottom w:w="60" w:type="dxa"/>
              <w:right w:w="110" w:type="dxa"/>
            </w:tcMar>
            <w:shd w:val="clear" w:color="auto" w:fill="F5F7F5"/>
          </w:tcPr>
          <w:p>
            <w:pPr>
              <w:spacing w:after="0"/>
            </w:pPr>
            <w:r>
              <w:rPr>
                <w:b w:val="0"/>
                <w:i w:val="0"/>
                <w:color w:val="16261F"/>
                <w:sz w:val="18"/>
              </w:rPr>
              <w:t>lucide-react</w:t>
            </w:r>
          </w:p>
        </w:tc>
        <w:tc>
          <w:tcPr>
            <w:tcW w:type="dxa" w:w="5544"/>
            <w:tcMar>
              <w:top w:w="60" w:type="dxa"/>
              <w:left w:w="110" w:type="dxa"/>
              <w:bottom w:w="60" w:type="dxa"/>
              <w:right w:w="110" w:type="dxa"/>
            </w:tcMar>
            <w:shd w:val="clear" w:color="auto" w:fill="F5F7F5"/>
          </w:tcPr>
          <w:p>
            <w:pPr>
              <w:spacing w:after="0"/>
            </w:pPr>
            <w:r>
              <w:rPr>
                <w:b w:val="0"/>
                <w:i w:val="0"/>
                <w:color w:val="16261F"/>
                <w:sz w:val="18"/>
              </w:rPr>
              <w:t>Already used in the prototype. Bundled, not CDN-loaded.</w:t>
            </w:r>
          </w:p>
        </w:tc>
      </w:tr>
      <w:tr>
        <w:tc>
          <w:tcPr>
            <w:tcW w:type="dxa" w:w="1656"/>
            <w:tcMar>
              <w:top w:w="60" w:type="dxa"/>
              <w:left w:w="110" w:type="dxa"/>
              <w:bottom w:w="60" w:type="dxa"/>
              <w:right w:w="110" w:type="dxa"/>
            </w:tcMar>
          </w:tcPr>
          <w:p>
            <w:pPr>
              <w:spacing w:after="0"/>
            </w:pPr>
            <w:r>
              <w:rPr>
                <w:b w:val="0"/>
                <w:i w:val="0"/>
                <w:color w:val="16261F"/>
                <w:sz w:val="18"/>
              </w:rPr>
              <w:t>Forms</w:t>
            </w:r>
          </w:p>
        </w:tc>
        <w:tc>
          <w:tcPr>
            <w:tcW w:type="dxa" w:w="2160"/>
            <w:tcMar>
              <w:top w:w="60" w:type="dxa"/>
              <w:left w:w="110" w:type="dxa"/>
              <w:bottom w:w="60" w:type="dxa"/>
              <w:right w:w="110" w:type="dxa"/>
            </w:tcMar>
          </w:tcPr>
          <w:p>
            <w:pPr>
              <w:spacing w:after="0"/>
            </w:pPr>
            <w:r>
              <w:rPr>
                <w:b w:val="0"/>
                <w:i w:val="0"/>
                <w:color w:val="16261F"/>
                <w:sz w:val="18"/>
              </w:rPr>
              <w:t>React Hook Form + Zod resolver</w:t>
            </w:r>
          </w:p>
        </w:tc>
        <w:tc>
          <w:tcPr>
            <w:tcW w:type="dxa" w:w="5544"/>
            <w:tcMar>
              <w:top w:w="60" w:type="dxa"/>
              <w:left w:w="110" w:type="dxa"/>
              <w:bottom w:w="60" w:type="dxa"/>
              <w:right w:w="110" w:type="dxa"/>
            </w:tcMar>
          </w:tcPr>
          <w:p>
            <w:pPr>
              <w:spacing w:after="0"/>
            </w:pPr>
            <w:r>
              <w:rPr>
                <w:b w:val="0"/>
                <w:i w:val="0"/>
                <w:color w:val="16261F"/>
                <w:sz w:val="18"/>
              </w:rPr>
              <w:t>Same Zod schema validates on client and server — one definition, no drift.</w:t>
            </w:r>
          </w:p>
        </w:tc>
      </w:tr>
      <w:tr>
        <w:tc>
          <w:tcPr>
            <w:tcW w:type="dxa" w:w="1656"/>
            <w:tcMar>
              <w:top w:w="60" w:type="dxa"/>
              <w:left w:w="110" w:type="dxa"/>
              <w:bottom w:w="60" w:type="dxa"/>
              <w:right w:w="110" w:type="dxa"/>
            </w:tcMar>
            <w:shd w:val="clear" w:color="auto" w:fill="F5F7F5"/>
          </w:tcPr>
          <w:p>
            <w:pPr>
              <w:spacing w:after="0"/>
            </w:pPr>
            <w:r>
              <w:rPr>
                <w:b w:val="0"/>
                <w:i w:val="0"/>
                <w:color w:val="16261F"/>
                <w:sz w:val="18"/>
              </w:rPr>
              <w:t>Tables</w:t>
            </w:r>
          </w:p>
        </w:tc>
        <w:tc>
          <w:tcPr>
            <w:tcW w:type="dxa" w:w="2160"/>
            <w:tcMar>
              <w:top w:w="60" w:type="dxa"/>
              <w:left w:w="110" w:type="dxa"/>
              <w:bottom w:w="60" w:type="dxa"/>
              <w:right w:w="110" w:type="dxa"/>
            </w:tcMar>
            <w:shd w:val="clear" w:color="auto" w:fill="F5F7F5"/>
          </w:tcPr>
          <w:p>
            <w:pPr>
              <w:spacing w:after="0"/>
            </w:pPr>
            <w:r>
              <w:rPr>
                <w:b w:val="0"/>
                <w:i w:val="0"/>
                <w:color w:val="16261F"/>
                <w:sz w:val="18"/>
              </w:rPr>
              <w:t>TanStack Table</w:t>
            </w:r>
          </w:p>
        </w:tc>
        <w:tc>
          <w:tcPr>
            <w:tcW w:type="dxa" w:w="5544"/>
            <w:tcMar>
              <w:top w:w="60" w:type="dxa"/>
              <w:left w:w="110" w:type="dxa"/>
              <w:bottom w:w="60" w:type="dxa"/>
              <w:right w:w="110" w:type="dxa"/>
            </w:tcMar>
            <w:shd w:val="clear" w:color="auto" w:fill="F5F7F5"/>
          </w:tcPr>
          <w:p>
            <w:pPr>
              <w:spacing w:after="0"/>
            </w:pPr>
            <w:r>
              <w:rPr>
                <w:b w:val="0"/>
                <w:i w:val="0"/>
                <w:color w:val="16261F"/>
                <w:sz w:val="18"/>
              </w:rPr>
              <w:t>Sorting, pagination and column control for the invoice and customer lists.</w:t>
            </w:r>
          </w:p>
        </w:tc>
      </w:tr>
      <w:tr>
        <w:tc>
          <w:tcPr>
            <w:tcW w:type="dxa" w:w="1656"/>
            <w:tcMar>
              <w:top w:w="60" w:type="dxa"/>
              <w:left w:w="110" w:type="dxa"/>
              <w:bottom w:w="60" w:type="dxa"/>
              <w:right w:w="110" w:type="dxa"/>
            </w:tcMar>
          </w:tcPr>
          <w:p>
            <w:pPr>
              <w:spacing w:after="0"/>
            </w:pPr>
            <w:r>
              <w:rPr>
                <w:b w:val="0"/>
                <w:i w:val="0"/>
                <w:color w:val="16261F"/>
                <w:sz w:val="18"/>
              </w:rPr>
              <w:t>Charts</w:t>
            </w:r>
          </w:p>
        </w:tc>
        <w:tc>
          <w:tcPr>
            <w:tcW w:type="dxa" w:w="2160"/>
            <w:tcMar>
              <w:top w:w="60" w:type="dxa"/>
              <w:left w:w="110" w:type="dxa"/>
              <w:bottom w:w="60" w:type="dxa"/>
              <w:right w:w="110" w:type="dxa"/>
            </w:tcMar>
          </w:tcPr>
          <w:p>
            <w:pPr>
              <w:spacing w:after="0"/>
            </w:pPr>
            <w:r>
              <w:rPr>
                <w:b w:val="0"/>
                <w:i w:val="0"/>
                <w:color w:val="16261F"/>
                <w:sz w:val="18"/>
              </w:rPr>
              <w:t>Recharts</w:t>
            </w:r>
          </w:p>
        </w:tc>
        <w:tc>
          <w:tcPr>
            <w:tcW w:type="dxa" w:w="5544"/>
            <w:tcMar>
              <w:top w:w="60" w:type="dxa"/>
              <w:left w:w="110" w:type="dxa"/>
              <w:bottom w:w="60" w:type="dxa"/>
              <w:right w:w="110" w:type="dxa"/>
            </w:tcMar>
          </w:tcPr>
          <w:p>
            <w:pPr>
              <w:spacing w:after="0"/>
            </w:pPr>
            <w:r>
              <w:rPr>
                <w:b w:val="0"/>
                <w:i w:val="0"/>
                <w:color w:val="16261F"/>
                <w:sz w:val="18"/>
              </w:rPr>
              <w:t>Sufficient for the bar charts in FR-DSH-006 and FR-DSH-007. Avoid heavier options; the dashboard is not the product.</w:t>
            </w:r>
          </w:p>
        </w:tc>
      </w:tr>
      <w:tr>
        <w:tc>
          <w:tcPr>
            <w:tcW w:type="dxa" w:w="1656"/>
            <w:tcMar>
              <w:top w:w="60" w:type="dxa"/>
              <w:left w:w="110" w:type="dxa"/>
              <w:bottom w:w="60" w:type="dxa"/>
              <w:right w:w="110" w:type="dxa"/>
            </w:tcMar>
            <w:shd w:val="clear" w:color="auto" w:fill="F5F7F5"/>
          </w:tcPr>
          <w:p>
            <w:pPr>
              <w:spacing w:after="0"/>
            </w:pPr>
            <w:r>
              <w:rPr>
                <w:b w:val="0"/>
                <w:i w:val="0"/>
                <w:color w:val="16261F"/>
                <w:sz w:val="18"/>
              </w:rPr>
              <w:t>Data fetching</w:t>
            </w:r>
          </w:p>
        </w:tc>
        <w:tc>
          <w:tcPr>
            <w:tcW w:type="dxa" w:w="2160"/>
            <w:tcMar>
              <w:top w:w="60" w:type="dxa"/>
              <w:left w:w="110" w:type="dxa"/>
              <w:bottom w:w="60" w:type="dxa"/>
              <w:right w:w="110" w:type="dxa"/>
            </w:tcMar>
            <w:shd w:val="clear" w:color="auto" w:fill="F5F7F5"/>
          </w:tcPr>
          <w:p>
            <w:pPr>
              <w:spacing w:after="0"/>
            </w:pPr>
            <w:r>
              <w:rPr>
                <w:b w:val="0"/>
                <w:i w:val="0"/>
                <w:color w:val="16261F"/>
                <w:sz w:val="18"/>
              </w:rPr>
              <w:t>TanStack Query</w:t>
            </w:r>
          </w:p>
        </w:tc>
        <w:tc>
          <w:tcPr>
            <w:tcW w:type="dxa" w:w="5544"/>
            <w:tcMar>
              <w:top w:w="60" w:type="dxa"/>
              <w:left w:w="110" w:type="dxa"/>
              <w:bottom w:w="60" w:type="dxa"/>
              <w:right w:w="110" w:type="dxa"/>
            </w:tcMar>
            <w:shd w:val="clear" w:color="auto" w:fill="F5F7F5"/>
          </w:tcPr>
          <w:p>
            <w:pPr>
              <w:spacing w:after="0"/>
            </w:pPr>
            <w:r>
              <w:rPr>
                <w:b w:val="0"/>
                <w:i w:val="0"/>
                <w:color w:val="16261F"/>
                <w:sz w:val="18"/>
              </w:rPr>
              <w:t>Cache, revalidation and optimistic update handling.</w:t>
            </w:r>
          </w:p>
        </w:tc>
      </w:tr>
      <w:tr>
        <w:tc>
          <w:tcPr>
            <w:tcW w:type="dxa" w:w="1656"/>
            <w:tcMar>
              <w:top w:w="60" w:type="dxa"/>
              <w:left w:w="110" w:type="dxa"/>
              <w:bottom w:w="60" w:type="dxa"/>
              <w:right w:w="110" w:type="dxa"/>
            </w:tcMar>
          </w:tcPr>
          <w:p>
            <w:pPr>
              <w:spacing w:after="0"/>
            </w:pPr>
            <w:r>
              <w:rPr>
                <w:b w:val="0"/>
                <w:i w:val="0"/>
                <w:color w:val="16261F"/>
                <w:sz w:val="18"/>
              </w:rPr>
              <w:t>Dates</w:t>
            </w:r>
          </w:p>
        </w:tc>
        <w:tc>
          <w:tcPr>
            <w:tcW w:type="dxa" w:w="2160"/>
            <w:tcMar>
              <w:top w:w="60" w:type="dxa"/>
              <w:left w:w="110" w:type="dxa"/>
              <w:bottom w:w="60" w:type="dxa"/>
              <w:right w:w="110" w:type="dxa"/>
            </w:tcMar>
          </w:tcPr>
          <w:p>
            <w:pPr>
              <w:spacing w:after="0"/>
            </w:pPr>
            <w:r>
              <w:rPr>
                <w:b w:val="0"/>
                <w:i w:val="0"/>
                <w:color w:val="16261F"/>
                <w:sz w:val="18"/>
              </w:rPr>
              <w:t>date-fns + date-fns-tz</w:t>
            </w:r>
          </w:p>
        </w:tc>
        <w:tc>
          <w:tcPr>
            <w:tcW w:type="dxa" w:w="5544"/>
            <w:tcMar>
              <w:top w:w="60" w:type="dxa"/>
              <w:left w:w="110" w:type="dxa"/>
              <w:bottom w:w="60" w:type="dxa"/>
              <w:right w:w="110" w:type="dxa"/>
            </w:tcMar>
          </w:tcPr>
          <w:p>
            <w:pPr>
              <w:spacing w:after="0"/>
            </w:pPr>
            <w:r>
              <w:rPr>
                <w:b w:val="0"/>
                <w:i w:val="0"/>
                <w:color w:val="16261F"/>
                <w:sz w:val="18"/>
              </w:rPr>
              <w:t>Explicit time zone handling per NFR-LOC-002. Avoid libraries with implicit local-zone behaviour.</w:t>
            </w:r>
          </w:p>
        </w:tc>
      </w:tr>
    </w:tbl>
    <w:p>
      <w:r>
        <w:br w:type="page"/>
      </w:r>
    </w:p>
    <w:p>
      <w:pPr>
        <w:pStyle w:val="Heading1"/>
      </w:pPr>
      <w:r>
        <w:t>4. Backend</w:t>
      </w:r>
    </w:p>
    <w:p>
      <w:pPr>
        <w:pStyle w:val="Heading2"/>
      </w:pPr>
      <w:r>
        <w:t>4.1 Node.js with TypeScript</w:t>
      </w:r>
    </w:p>
    <w:p>
      <w:pPr>
        <w:spacing w:after="140"/>
      </w:pPr>
      <w:r>
        <w:rPr>
          <w:b w:val="0"/>
          <w:i w:val="0"/>
          <w:color w:val="16261F"/>
          <w:sz w:val="21"/>
        </w:rPr>
        <w:t>One language across the stack. At this team size and this load, the productivity gain from a single language, shared validation schemas and shared types outweighs the raw throughput advantage of a JVM or Go backend. The system is I/O-bound against Zoho, the gateway and the database — not CPU-bound — which is where Node performs well.</w:t>
      </w:r>
    </w:p>
    <w:p>
      <w:pPr>
        <w:pBdr>
          <w:left w:val="single" w:sz="18" w:space="10" w:color="C7862B"/>
        </w:pBdr>
        <w:shd w:val="clear" w:color="auto" w:fill="FBF0DF"/>
        <w:spacing w:before="160" w:after="180"/>
        <w:ind w:left="173"/>
      </w:pPr>
      <w:r>
        <w:rPr>
          <w:b/>
          <w:color w:val="C7862B"/>
          <w:sz w:val="17"/>
        </w:rPr>
        <w:t xml:space="preserve">THE ONE REAL CAVEAT  </w:t>
      </w:r>
      <w:r>
        <w:rPr>
          <w:color w:val="16261F"/>
          <w:sz w:val="20"/>
        </w:rPr>
        <w:t>JavaScript has no native decimal type and its number type is IEEE-754 double. This is precisely the hazard NFR-INT-001 exists to prevent. The mitigation is architectural, not incidental: all money is integer minor units end to end, enforced by a dedicated module and a lint rule that fails the build on arithmetic against any field matching a monetary naming pattern outside that module. If the team is not prepared to hold that line, choose a backend language with a native decimal type instead.</w:t>
      </w:r>
    </w:p>
    <w:p>
      <w:pPr>
        <w:pStyle w:val="Heading2"/>
      </w:pPr>
      <w:r>
        <w:t>4.2 NestJS</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4680"/>
        <w:gridCol w:w="4680"/>
      </w:tblGrid>
      <w:tr>
        <w:trPr>
          <w:tblHeader w:val="true"/>
        </w:trPr>
        <w:tc>
          <w:tcPr>
            <w:tcW w:type="dxa" w:w="4680"/>
            <w:shd w:val="clear" w:color="auto" w:fill="16261F"/>
            <w:tcMar>
              <w:top w:w="70" w:type="dxa"/>
              <w:left w:w="110" w:type="dxa"/>
              <w:bottom w:w="70" w:type="dxa"/>
              <w:right w:w="110" w:type="dxa"/>
            </w:tcMar>
          </w:tcPr>
          <w:p>
            <w:pPr>
              <w:spacing w:after="0"/>
            </w:pPr>
            <w:r>
              <w:rPr>
                <w:rFonts w:ascii="Calibri" w:hAnsi="Calibri"/>
                <w:b/>
                <w:color w:val="FFFFFF"/>
                <w:sz w:val="17"/>
              </w:rPr>
              <w:t>For</w:t>
            </w:r>
          </w:p>
        </w:tc>
        <w:tc>
          <w:tcPr>
            <w:tcW w:type="dxa" w:w="4680"/>
            <w:shd w:val="clear" w:color="auto" w:fill="16261F"/>
            <w:tcMar>
              <w:top w:w="70" w:type="dxa"/>
              <w:left w:w="110" w:type="dxa"/>
              <w:bottom w:w="70" w:type="dxa"/>
              <w:right w:w="110" w:type="dxa"/>
            </w:tcMar>
          </w:tcPr>
          <w:p>
            <w:pPr>
              <w:spacing w:after="0"/>
            </w:pPr>
            <w:r>
              <w:rPr>
                <w:rFonts w:ascii="Calibri" w:hAnsi="Calibri"/>
                <w:b/>
                <w:color w:val="FFFFFF"/>
                <w:sz w:val="17"/>
              </w:rPr>
              <w:t>Against</w:t>
            </w:r>
          </w:p>
        </w:tc>
      </w:tr>
      <w:tr>
        <w:tc>
          <w:tcPr>
            <w:tcW w:type="dxa" w:w="4680"/>
            <w:tcMar>
              <w:top w:w="60" w:type="dxa"/>
              <w:left w:w="110" w:type="dxa"/>
              <w:bottom w:w="60" w:type="dxa"/>
              <w:right w:w="110" w:type="dxa"/>
            </w:tcMar>
          </w:tcPr>
          <w:p>
            <w:pPr>
              <w:spacing w:after="0"/>
            </w:pPr>
            <w:r>
              <w:rPr>
                <w:b w:val="0"/>
                <w:i w:val="0"/>
                <w:color w:val="16261F"/>
                <w:sz w:val="18"/>
              </w:rPr>
              <w:t>Dependency injection makes the ports-and-adapters design of TDD-001 section 10 natural rather than bolted on.</w:t>
            </w:r>
          </w:p>
        </w:tc>
        <w:tc>
          <w:tcPr>
            <w:tcW w:type="dxa" w:w="4680"/>
            <w:tcMar>
              <w:top w:w="60" w:type="dxa"/>
              <w:left w:w="110" w:type="dxa"/>
              <w:bottom w:w="60" w:type="dxa"/>
              <w:right w:w="110" w:type="dxa"/>
            </w:tcMar>
          </w:tcPr>
          <w:p>
            <w:pPr>
              <w:spacing w:after="0"/>
            </w:pPr>
            <w:r>
              <w:rPr>
                <w:b w:val="0"/>
                <w:i w:val="0"/>
                <w:color w:val="16261F"/>
                <w:sz w:val="18"/>
              </w:rPr>
              <w:t>Heavier and more opinionated than Express or Fastify; more concepts for a new engineer to absorb.</w:t>
            </w:r>
          </w:p>
        </w:tc>
      </w:tr>
      <w:tr>
        <w:tc>
          <w:tcPr>
            <w:tcW w:type="dxa" w:w="4680"/>
            <w:tcMar>
              <w:top w:w="60" w:type="dxa"/>
              <w:left w:w="110" w:type="dxa"/>
              <w:bottom w:w="60" w:type="dxa"/>
              <w:right w:w="110" w:type="dxa"/>
            </w:tcMar>
            <w:shd w:val="clear" w:color="auto" w:fill="F5F7F5"/>
          </w:tcPr>
          <w:p>
            <w:pPr>
              <w:spacing w:after="0"/>
            </w:pPr>
            <w:r>
              <w:rPr>
                <w:b w:val="0"/>
                <w:i w:val="0"/>
                <w:color w:val="16261F"/>
                <w:sz w:val="18"/>
              </w:rPr>
              <w:t>Module boundaries align with the modular monolith in ADR-001, keeping future extraction viable.</w:t>
            </w:r>
          </w:p>
        </w:tc>
        <w:tc>
          <w:tcPr>
            <w:tcW w:type="dxa" w:w="4680"/>
            <w:tcMar>
              <w:top w:w="60" w:type="dxa"/>
              <w:left w:w="110" w:type="dxa"/>
              <w:bottom w:w="60" w:type="dxa"/>
              <w:right w:w="110" w:type="dxa"/>
            </w:tcMar>
            <w:shd w:val="clear" w:color="auto" w:fill="F5F7F5"/>
          </w:tcPr>
          <w:p>
            <w:pPr>
              <w:spacing w:after="0"/>
            </w:pPr>
            <w:r>
              <w:rPr>
                <w:b w:val="0"/>
                <w:i w:val="0"/>
                <w:color w:val="16261F"/>
                <w:sz w:val="18"/>
              </w:rPr>
              <w:t>Decorator-heavy style is divisive and does not suit every team.</w:t>
            </w:r>
          </w:p>
        </w:tc>
      </w:tr>
      <w:tr>
        <w:tc>
          <w:tcPr>
            <w:tcW w:type="dxa" w:w="4680"/>
            <w:tcMar>
              <w:top w:w="60" w:type="dxa"/>
              <w:left w:w="110" w:type="dxa"/>
              <w:bottom w:w="60" w:type="dxa"/>
              <w:right w:w="110" w:type="dxa"/>
            </w:tcMar>
          </w:tcPr>
          <w:p>
            <w:pPr>
              <w:spacing w:after="0"/>
            </w:pPr>
            <w:r>
              <w:rPr>
                <w:b w:val="0"/>
                <w:i w:val="0"/>
                <w:color w:val="16261F"/>
                <w:sz w:val="18"/>
              </w:rPr>
              <w:t>Guards and interceptors give a clean, testable place to enforce the authorisation model — the mechanism that closes GAP-001.</w:t>
            </w:r>
          </w:p>
        </w:tc>
        <w:tc>
          <w:tcPr>
            <w:tcW w:type="dxa" w:w="4680"/>
            <w:tcMar>
              <w:top w:w="60" w:type="dxa"/>
              <w:left w:w="110" w:type="dxa"/>
              <w:bottom w:w="60" w:type="dxa"/>
              <w:right w:w="110" w:type="dxa"/>
            </w:tcMar>
          </w:tcPr>
          <w:p>
            <w:pPr>
              <w:spacing w:after="0"/>
            </w:pPr>
            <w:r>
              <w:rPr>
                <w:b w:val="0"/>
                <w:i w:val="0"/>
                <w:color w:val="16261F"/>
                <w:sz w:val="18"/>
              </w:rPr>
              <w:t>If the team already has strong Fastify experience, that familiarity may outweigh the structural benefit.</w:t>
            </w:r>
          </w:p>
        </w:tc>
      </w:tr>
      <w:tr>
        <w:tc>
          <w:tcPr>
            <w:tcW w:type="dxa" w:w="4680"/>
            <w:tcMar>
              <w:top w:w="60" w:type="dxa"/>
              <w:left w:w="110" w:type="dxa"/>
              <w:bottom w:w="60" w:type="dxa"/>
              <w:right w:w="110" w:type="dxa"/>
            </w:tcMar>
            <w:shd w:val="clear" w:color="auto" w:fill="F5F7F5"/>
          </w:tcPr>
          <w:p>
            <w:pPr>
              <w:spacing w:after="0"/>
            </w:pPr>
            <w:r>
              <w:rPr>
                <w:b w:val="0"/>
                <w:i w:val="0"/>
                <w:color w:val="16261F"/>
                <w:sz w:val="18"/>
              </w:rPr>
              <w:t>Mature ecosystem for validation, OpenAPI generation, queues and scheduling.</w:t>
            </w:r>
          </w:p>
        </w:tc>
        <w:tc>
          <w:tcPr>
            <w:tcW w:type="dxa" w:w="4680"/>
            <w:tcMar>
              <w:top w:w="60" w:type="dxa"/>
              <w:left w:w="110" w:type="dxa"/>
              <w:bottom w:w="60" w:type="dxa"/>
              <w:right w:w="110" w:type="dxa"/>
            </w:tcMar>
            <w:shd w:val="clear" w:color="auto" w:fill="F5F7F5"/>
          </w:tcPr>
          <w:p>
            <w:pPr>
              <w:spacing w:after="0"/>
            </w:pPr>
            <w:r>
              <w:rPr>
                <w:b w:val="0"/>
                <w:i w:val="0"/>
                <w:color w:val="16261F"/>
                <w:sz w:val="18"/>
              </w:rPr>
              <w:t>Slightly slower cold start; irrelevant at this load.</w:t>
            </w:r>
          </w:p>
        </w:tc>
      </w:tr>
    </w:tbl>
    <w:p>
      <w:pPr>
        <w:spacing w:after="140"/>
      </w:pPr>
      <w:r>
        <w:rPr>
          <w:b w:val="0"/>
          <w:i w:val="0"/>
          <w:color w:val="16261F"/>
          <w:sz w:val="20"/>
        </w:rPr>
        <w:t>Recommendation: NestJS, at medium confidence. If the team has strong existing Fastify experience and is disciplined about structuring the ports layer manually, Fastify is a defensible alternative. What is not defensible is an unstructured Express application — the authorisation model in TDD-001 section 7.2 needs a systematic enforcement point, not middleware applied by convention.</w:t>
      </w:r>
    </w:p>
    <w:p>
      <w:pPr>
        <w:pStyle w:val="Heading2"/>
      </w:pPr>
      <w:r>
        <w:t>4.3 API contract</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3120"/>
        <w:gridCol w:w="3120"/>
        <w:gridCol w:w="3120"/>
      </w:tblGrid>
      <w:tr>
        <w:trPr>
          <w:tblHeader w:val="true"/>
        </w:trPr>
        <w:tc>
          <w:tcPr>
            <w:tcW w:type="dxa" w:w="2016"/>
            <w:shd w:val="clear" w:color="auto" w:fill="16261F"/>
            <w:tcMar>
              <w:top w:w="70" w:type="dxa"/>
              <w:left w:w="110" w:type="dxa"/>
              <w:bottom w:w="70" w:type="dxa"/>
              <w:right w:w="110" w:type="dxa"/>
            </w:tcMar>
          </w:tcPr>
          <w:p>
            <w:pPr>
              <w:spacing w:after="0"/>
            </w:pPr>
            <w:r>
              <w:rPr>
                <w:rFonts w:ascii="Calibri" w:hAnsi="Calibri"/>
                <w:b/>
                <w:color w:val="FFFFFF"/>
                <w:sz w:val="17"/>
              </w:rPr>
              <w:t>Surface</w:t>
            </w:r>
          </w:p>
        </w:tc>
        <w:tc>
          <w:tcPr>
            <w:tcW w:type="dxa" w:w="2160"/>
            <w:shd w:val="clear" w:color="auto" w:fill="16261F"/>
            <w:tcMar>
              <w:top w:w="70" w:type="dxa"/>
              <w:left w:w="110" w:type="dxa"/>
              <w:bottom w:w="70" w:type="dxa"/>
              <w:right w:w="110" w:type="dxa"/>
            </w:tcMar>
          </w:tcPr>
          <w:p>
            <w:pPr>
              <w:spacing w:after="0"/>
            </w:pPr>
            <w:r>
              <w:rPr>
                <w:rFonts w:ascii="Calibri" w:hAnsi="Calibri"/>
                <w:b/>
                <w:color w:val="FFFFFF"/>
                <w:sz w:val="17"/>
              </w:rPr>
              <w:t>Technology</w:t>
            </w:r>
          </w:p>
        </w:tc>
        <w:tc>
          <w:tcPr>
            <w:tcW w:type="dxa" w:w="5184"/>
            <w:shd w:val="clear" w:color="auto" w:fill="16261F"/>
            <w:tcMar>
              <w:top w:w="70" w:type="dxa"/>
              <w:left w:w="110" w:type="dxa"/>
              <w:bottom w:w="70" w:type="dxa"/>
              <w:right w:w="110" w:type="dxa"/>
            </w:tcMar>
          </w:tcPr>
          <w:p>
            <w:pPr>
              <w:spacing w:after="0"/>
            </w:pPr>
            <w:r>
              <w:rPr>
                <w:rFonts w:ascii="Calibri" w:hAnsi="Calibri"/>
                <w:b/>
                <w:color w:val="FFFFFF"/>
                <w:sz w:val="17"/>
              </w:rPr>
              <w:t>Rationale</w:t>
            </w:r>
          </w:p>
        </w:tc>
      </w:tr>
      <w:tr>
        <w:tc>
          <w:tcPr>
            <w:tcW w:type="dxa" w:w="2016"/>
            <w:tcMar>
              <w:top w:w="60" w:type="dxa"/>
              <w:left w:w="110" w:type="dxa"/>
              <w:bottom w:w="60" w:type="dxa"/>
              <w:right w:w="110" w:type="dxa"/>
            </w:tcMar>
          </w:tcPr>
          <w:p>
            <w:pPr>
              <w:spacing w:after="0"/>
            </w:pPr>
            <w:r>
              <w:rPr>
                <w:b w:val="0"/>
                <w:i w:val="0"/>
                <w:color w:val="16261F"/>
                <w:sz w:val="18"/>
              </w:rPr>
              <w:t>Admin app ↔ backend</w:t>
            </w:r>
          </w:p>
        </w:tc>
        <w:tc>
          <w:tcPr>
            <w:tcW w:type="dxa" w:w="2160"/>
            <w:tcMar>
              <w:top w:w="60" w:type="dxa"/>
              <w:left w:w="110" w:type="dxa"/>
              <w:bottom w:w="60" w:type="dxa"/>
              <w:right w:w="110" w:type="dxa"/>
            </w:tcMar>
          </w:tcPr>
          <w:p>
            <w:pPr>
              <w:spacing w:after="0"/>
            </w:pPr>
            <w:r>
              <w:rPr>
                <w:b w:val="0"/>
                <w:i w:val="0"/>
                <w:color w:val="16261F"/>
                <w:sz w:val="18"/>
              </w:rPr>
              <w:t>tRPC</w:t>
            </w:r>
          </w:p>
        </w:tc>
        <w:tc>
          <w:tcPr>
            <w:tcW w:type="dxa" w:w="5184"/>
            <w:tcMar>
              <w:top w:w="60" w:type="dxa"/>
              <w:left w:w="110" w:type="dxa"/>
              <w:bottom w:w="60" w:type="dxa"/>
              <w:right w:w="110" w:type="dxa"/>
            </w:tcMar>
          </w:tcPr>
          <w:p>
            <w:pPr>
              <w:spacing w:after="0"/>
            </w:pPr>
            <w:r>
              <w:rPr>
                <w:b w:val="0"/>
                <w:i w:val="0"/>
                <w:color w:val="16261F"/>
                <w:sz w:val="18"/>
              </w:rPr>
              <w:t>End-to-end type inference with no code generation step. Both ends are TypeScript in one repository, which is exactly the case tRPC is designed for.</w:t>
            </w:r>
          </w:p>
        </w:tc>
      </w:tr>
      <w:tr>
        <w:tc>
          <w:tcPr>
            <w:tcW w:type="dxa" w:w="2016"/>
            <w:tcMar>
              <w:top w:w="60" w:type="dxa"/>
              <w:left w:w="110" w:type="dxa"/>
              <w:bottom w:w="60" w:type="dxa"/>
              <w:right w:w="110" w:type="dxa"/>
            </w:tcMar>
            <w:shd w:val="clear" w:color="auto" w:fill="F5F7F5"/>
          </w:tcPr>
          <w:p>
            <w:pPr>
              <w:spacing w:after="0"/>
            </w:pPr>
            <w:r>
              <w:rPr>
                <w:b w:val="0"/>
                <w:i w:val="0"/>
                <w:color w:val="16261F"/>
                <w:sz w:val="18"/>
              </w:rPr>
              <w:t>Payment app ↔ backend</w:t>
            </w:r>
          </w:p>
        </w:tc>
        <w:tc>
          <w:tcPr>
            <w:tcW w:type="dxa" w:w="2160"/>
            <w:tcMar>
              <w:top w:w="60" w:type="dxa"/>
              <w:left w:w="110" w:type="dxa"/>
              <w:bottom w:w="60" w:type="dxa"/>
              <w:right w:w="110" w:type="dxa"/>
            </w:tcMar>
            <w:shd w:val="clear" w:color="auto" w:fill="F5F7F5"/>
          </w:tcPr>
          <w:p>
            <w:pPr>
              <w:spacing w:after="0"/>
            </w:pPr>
            <w:r>
              <w:rPr>
                <w:b w:val="0"/>
                <w:i w:val="0"/>
                <w:color w:val="16261F"/>
                <w:sz w:val="18"/>
              </w:rPr>
              <w:t>Narrow REST</w:t>
            </w:r>
          </w:p>
        </w:tc>
        <w:tc>
          <w:tcPr>
            <w:tcW w:type="dxa" w:w="5184"/>
            <w:tcMar>
              <w:top w:w="60" w:type="dxa"/>
              <w:left w:w="110" w:type="dxa"/>
              <w:bottom w:w="60" w:type="dxa"/>
              <w:right w:w="110" w:type="dxa"/>
            </w:tcMar>
            <w:shd w:val="clear" w:color="auto" w:fill="F5F7F5"/>
          </w:tcPr>
          <w:p>
            <w:pPr>
              <w:spacing w:after="0"/>
            </w:pPr>
            <w:r>
              <w:rPr>
                <w:b w:val="0"/>
                <w:i w:val="0"/>
                <w:color w:val="16261F"/>
                <w:sz w:val="18"/>
              </w:rPr>
              <w:t>A small, explicitly versioned, deliberately boring surface. Public, unauthenticated and security-sensitive — it should be trivially auditable, not cleverly inferred.</w:t>
            </w:r>
          </w:p>
        </w:tc>
      </w:tr>
      <w:tr>
        <w:tc>
          <w:tcPr>
            <w:tcW w:type="dxa" w:w="2016"/>
            <w:tcMar>
              <w:top w:w="60" w:type="dxa"/>
              <w:left w:w="110" w:type="dxa"/>
              <w:bottom w:w="60" w:type="dxa"/>
              <w:right w:w="110" w:type="dxa"/>
            </w:tcMar>
          </w:tcPr>
          <w:p>
            <w:pPr>
              <w:spacing w:after="0"/>
            </w:pPr>
            <w:r>
              <w:rPr>
                <w:b w:val="0"/>
                <w:i w:val="0"/>
                <w:color w:val="16261F"/>
                <w:sz w:val="18"/>
              </w:rPr>
              <w:t>Inbound webhooks</w:t>
            </w:r>
          </w:p>
        </w:tc>
        <w:tc>
          <w:tcPr>
            <w:tcW w:type="dxa" w:w="2160"/>
            <w:tcMar>
              <w:top w:w="60" w:type="dxa"/>
              <w:left w:w="110" w:type="dxa"/>
              <w:bottom w:w="60" w:type="dxa"/>
              <w:right w:w="110" w:type="dxa"/>
            </w:tcMar>
          </w:tcPr>
          <w:p>
            <w:pPr>
              <w:spacing w:after="0"/>
            </w:pPr>
            <w:r>
              <w:rPr>
                <w:b w:val="0"/>
                <w:i w:val="0"/>
                <w:color w:val="16261F"/>
                <w:sz w:val="18"/>
              </w:rPr>
              <w:t>REST with signature verification</w:t>
            </w:r>
          </w:p>
        </w:tc>
        <w:tc>
          <w:tcPr>
            <w:tcW w:type="dxa" w:w="5184"/>
            <w:tcMar>
              <w:top w:w="60" w:type="dxa"/>
              <w:left w:w="110" w:type="dxa"/>
              <w:bottom w:w="60" w:type="dxa"/>
              <w:right w:w="110" w:type="dxa"/>
            </w:tcMar>
          </w:tcPr>
          <w:p>
            <w:pPr>
              <w:spacing w:after="0"/>
            </w:pPr>
            <w:r>
              <w:rPr>
                <w:b w:val="0"/>
                <w:i w:val="0"/>
                <w:color w:val="16261F"/>
                <w:sz w:val="18"/>
              </w:rPr>
              <w:t>Shape is dictated by the provider.</w:t>
            </w:r>
          </w:p>
        </w:tc>
      </w:tr>
      <w:tr>
        <w:tc>
          <w:tcPr>
            <w:tcW w:type="dxa" w:w="2016"/>
            <w:tcMar>
              <w:top w:w="60" w:type="dxa"/>
              <w:left w:w="110" w:type="dxa"/>
              <w:bottom w:w="60" w:type="dxa"/>
              <w:right w:w="110" w:type="dxa"/>
            </w:tcMar>
            <w:shd w:val="clear" w:color="auto" w:fill="F5F7F5"/>
          </w:tcPr>
          <w:p>
            <w:pPr>
              <w:spacing w:after="0"/>
            </w:pPr>
            <w:r>
              <w:rPr>
                <w:b w:val="0"/>
                <w:i w:val="0"/>
                <w:color w:val="16261F"/>
                <w:sz w:val="18"/>
              </w:rPr>
              <w:t>Future public API</w:t>
            </w:r>
          </w:p>
        </w:tc>
        <w:tc>
          <w:tcPr>
            <w:tcW w:type="dxa" w:w="2160"/>
            <w:tcMar>
              <w:top w:w="60" w:type="dxa"/>
              <w:left w:w="110" w:type="dxa"/>
              <w:bottom w:w="60" w:type="dxa"/>
              <w:right w:w="110" w:type="dxa"/>
            </w:tcMar>
            <w:shd w:val="clear" w:color="auto" w:fill="F5F7F5"/>
          </w:tcPr>
          <w:p>
            <w:pPr>
              <w:spacing w:after="0"/>
            </w:pPr>
            <w:r>
              <w:rPr>
                <w:b w:val="0"/>
                <w:i w:val="0"/>
                <w:color w:val="16261F"/>
                <w:sz w:val="18"/>
              </w:rPr>
              <w:t>REST + OpenAPI</w:t>
            </w:r>
          </w:p>
        </w:tc>
        <w:tc>
          <w:tcPr>
            <w:tcW w:type="dxa" w:w="5184"/>
            <w:tcMar>
              <w:top w:w="60" w:type="dxa"/>
              <w:left w:w="110" w:type="dxa"/>
              <w:bottom w:w="60" w:type="dxa"/>
              <w:right w:w="110" w:type="dxa"/>
            </w:tcMar>
            <w:shd w:val="clear" w:color="auto" w:fill="F5F7F5"/>
          </w:tcPr>
          <w:p>
            <w:pPr>
              <w:spacing w:after="0"/>
            </w:pPr>
            <w:r>
              <w:rPr>
                <w:b w:val="0"/>
                <w:i w:val="0"/>
                <w:color w:val="16261F"/>
                <w:sz w:val="18"/>
              </w:rPr>
              <w:t>For FR-SYS-003 API keys. Generated from the source of truth per NFR-MNT-007.</w:t>
            </w:r>
          </w:p>
        </w:tc>
      </w:tr>
    </w:tbl>
    <w:p>
      <w:pPr>
        <w:pStyle w:val="Heading2"/>
      </w:pPr>
      <w:r>
        <w:t>4.4 Validation — Zod</w:t>
      </w:r>
    </w:p>
    <w:p>
      <w:pPr>
        <w:spacing w:after="140"/>
      </w:pPr>
      <w:r>
        <w:rPr>
          <w:b w:val="0"/>
          <w:i w:val="0"/>
          <w:color w:val="16261F"/>
          <w:sz w:val="21"/>
        </w:rPr>
        <w:t>One schema definition, used for client form validation, server input validation, environment variable parsing and integration response parsing. NFR-SEC-020 requires server-side validation against an explicit schema; sharing the definition with the client means the two cannot drift.</w:t>
      </w:r>
    </w:p>
    <w:p>
      <w:r>
        <w:br w:type="page"/>
      </w:r>
    </w:p>
    <w:p>
      <w:pPr>
        <w:pStyle w:val="Heading1"/>
      </w:pPr>
      <w:r>
        <w:t>5. Data layer</w:t>
      </w:r>
    </w:p>
    <w:p>
      <w:pPr>
        <w:pStyle w:val="Heading2"/>
      </w:pPr>
      <w:r>
        <w:t>5.1 PostgreSQL 16</w:t>
      </w:r>
    </w:p>
    <w:p>
      <w:pPr>
        <w:spacing w:after="140"/>
      </w:pPr>
      <w:r>
        <w:rPr>
          <w:b w:val="0"/>
          <w:i w:val="0"/>
          <w:color w:val="16261F"/>
          <w:sz w:val="21"/>
        </w:rPr>
        <w:t>The strongest recommendation in this document, and the least contentious.</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4680"/>
        <w:gridCol w:w="4680"/>
      </w:tblGrid>
      <w:tr>
        <w:trPr>
          <w:tblHeader w:val="true"/>
        </w:trPr>
        <w:tc>
          <w:tcPr>
            <w:tcW w:type="dxa" w:w="2376"/>
            <w:shd w:val="clear" w:color="auto" w:fill="16261F"/>
            <w:tcMar>
              <w:top w:w="70" w:type="dxa"/>
              <w:left w:w="110" w:type="dxa"/>
              <w:bottom w:w="70" w:type="dxa"/>
              <w:right w:w="110" w:type="dxa"/>
            </w:tcMar>
          </w:tcPr>
          <w:p>
            <w:pPr>
              <w:spacing w:after="0"/>
            </w:pPr>
            <w:r>
              <w:rPr>
                <w:rFonts w:ascii="Calibri" w:hAnsi="Calibri"/>
                <w:b/>
                <w:color w:val="FFFFFF"/>
                <w:sz w:val="17"/>
              </w:rPr>
              <w:t>Requirement</w:t>
            </w:r>
          </w:p>
        </w:tc>
        <w:tc>
          <w:tcPr>
            <w:tcW w:type="dxa" w:w="6984"/>
            <w:shd w:val="clear" w:color="auto" w:fill="16261F"/>
            <w:tcMar>
              <w:top w:w="70" w:type="dxa"/>
              <w:left w:w="110" w:type="dxa"/>
              <w:bottom w:w="70" w:type="dxa"/>
              <w:right w:w="110" w:type="dxa"/>
            </w:tcMar>
          </w:tcPr>
          <w:p>
            <w:pPr>
              <w:spacing w:after="0"/>
            </w:pPr>
            <w:r>
              <w:rPr>
                <w:rFonts w:ascii="Calibri" w:hAnsi="Calibri"/>
                <w:b/>
                <w:color w:val="FFFFFF"/>
                <w:sz w:val="17"/>
              </w:rPr>
              <w:t>How PostgreSQL satisfies it</w:t>
            </w:r>
          </w:p>
        </w:tc>
      </w:tr>
      <w:tr>
        <w:tc>
          <w:tcPr>
            <w:tcW w:type="dxa" w:w="2376"/>
            <w:tcMar>
              <w:top w:w="60" w:type="dxa"/>
              <w:left w:w="110" w:type="dxa"/>
              <w:bottom w:w="60" w:type="dxa"/>
              <w:right w:w="110" w:type="dxa"/>
            </w:tcMar>
          </w:tcPr>
          <w:p>
            <w:pPr>
              <w:spacing w:after="0"/>
            </w:pPr>
            <w:r>
              <w:rPr>
                <w:b w:val="0"/>
                <w:i w:val="0"/>
                <w:color w:val="16261F"/>
                <w:sz w:val="18"/>
              </w:rPr>
              <w:t>Brand isolation (ADR-003)</w:t>
            </w:r>
          </w:p>
        </w:tc>
        <w:tc>
          <w:tcPr>
            <w:tcW w:type="dxa" w:w="6984"/>
            <w:tcMar>
              <w:top w:w="60" w:type="dxa"/>
              <w:left w:w="110" w:type="dxa"/>
              <w:bottom w:w="60" w:type="dxa"/>
              <w:right w:w="110" w:type="dxa"/>
            </w:tcMar>
          </w:tcPr>
          <w:p>
            <w:pPr>
              <w:spacing w:after="0"/>
            </w:pPr>
            <w:r>
              <w:rPr>
                <w:b w:val="0"/>
                <w:i w:val="0"/>
                <w:color w:val="16261F"/>
                <w:sz w:val="18"/>
              </w:rPr>
              <w:t>Row-level security policies enforce tenant scope in the database itself. This is the decisive capability and few alternatives offer it as cleanly.</w:t>
            </w:r>
          </w:p>
        </w:tc>
      </w:tr>
      <w:tr>
        <w:tc>
          <w:tcPr>
            <w:tcW w:type="dxa" w:w="2376"/>
            <w:tcMar>
              <w:top w:w="60" w:type="dxa"/>
              <w:left w:w="110" w:type="dxa"/>
              <w:bottom w:w="60" w:type="dxa"/>
              <w:right w:w="110" w:type="dxa"/>
            </w:tcMar>
            <w:shd w:val="clear" w:color="auto" w:fill="F5F7F5"/>
          </w:tcPr>
          <w:p>
            <w:pPr>
              <w:spacing w:after="0"/>
            </w:pPr>
            <w:r>
              <w:rPr>
                <w:b w:val="0"/>
                <w:i w:val="0"/>
                <w:color w:val="16261F"/>
                <w:sz w:val="18"/>
              </w:rPr>
              <w:t>Exact money (NFR-INT-001)</w:t>
            </w:r>
          </w:p>
        </w:tc>
        <w:tc>
          <w:tcPr>
            <w:tcW w:type="dxa" w:w="6984"/>
            <w:tcMar>
              <w:top w:w="60" w:type="dxa"/>
              <w:left w:w="110" w:type="dxa"/>
              <w:bottom w:w="60" w:type="dxa"/>
              <w:right w:w="110" w:type="dxa"/>
            </w:tcMar>
            <w:shd w:val="clear" w:color="auto" w:fill="F5F7F5"/>
          </w:tcPr>
          <w:p>
            <w:pPr>
              <w:spacing w:after="0"/>
            </w:pPr>
            <w:r>
              <w:rPr>
                <w:b w:val="0"/>
                <w:i w:val="0"/>
                <w:color w:val="16261F"/>
                <w:sz w:val="18"/>
              </w:rPr>
              <w:t>Native NUMERIC and 64-bit integers. No representational compromise.</w:t>
            </w:r>
          </w:p>
        </w:tc>
      </w:tr>
      <w:tr>
        <w:tc>
          <w:tcPr>
            <w:tcW w:type="dxa" w:w="2376"/>
            <w:tcMar>
              <w:top w:w="60" w:type="dxa"/>
              <w:left w:w="110" w:type="dxa"/>
              <w:bottom w:w="60" w:type="dxa"/>
              <w:right w:w="110" w:type="dxa"/>
            </w:tcMar>
          </w:tcPr>
          <w:p>
            <w:pPr>
              <w:spacing w:after="0"/>
            </w:pPr>
            <w:r>
              <w:rPr>
                <w:b w:val="0"/>
                <w:i w:val="0"/>
                <w:color w:val="16261F"/>
                <w:sz w:val="18"/>
              </w:rPr>
              <w:t>Transactional integrity (NFR-INT-013)</w:t>
            </w:r>
          </w:p>
        </w:tc>
        <w:tc>
          <w:tcPr>
            <w:tcW w:type="dxa" w:w="6984"/>
            <w:tcMar>
              <w:top w:w="60" w:type="dxa"/>
              <w:left w:w="110" w:type="dxa"/>
              <w:bottom w:w="60" w:type="dxa"/>
              <w:right w:w="110" w:type="dxa"/>
            </w:tcMar>
          </w:tcPr>
          <w:p>
            <w:pPr>
              <w:spacing w:after="0"/>
            </w:pPr>
            <w:r>
              <w:rPr>
                <w:b w:val="0"/>
                <w:i w:val="0"/>
                <w:color w:val="16261F"/>
                <w:sz w:val="18"/>
              </w:rPr>
              <w:t>Full ACID with proven behaviour under concurrency.</w:t>
            </w:r>
          </w:p>
        </w:tc>
      </w:tr>
      <w:tr>
        <w:tc>
          <w:tcPr>
            <w:tcW w:type="dxa" w:w="2376"/>
            <w:tcMar>
              <w:top w:w="60" w:type="dxa"/>
              <w:left w:w="110" w:type="dxa"/>
              <w:bottom w:w="60" w:type="dxa"/>
              <w:right w:w="110" w:type="dxa"/>
            </w:tcMar>
            <w:shd w:val="clear" w:color="auto" w:fill="F5F7F5"/>
          </w:tcPr>
          <w:p>
            <w:pPr>
              <w:spacing w:after="0"/>
            </w:pPr>
            <w:r>
              <w:rPr>
                <w:b w:val="0"/>
                <w:i w:val="0"/>
                <w:color w:val="16261F"/>
                <w:sz w:val="18"/>
              </w:rPr>
              <w:t>Invoice numbering (NFR-INT-014)</w:t>
            </w:r>
          </w:p>
        </w:tc>
        <w:tc>
          <w:tcPr>
            <w:tcW w:type="dxa" w:w="6984"/>
            <w:tcMar>
              <w:top w:w="60" w:type="dxa"/>
              <w:left w:w="110" w:type="dxa"/>
              <w:bottom w:w="60" w:type="dxa"/>
              <w:right w:w="110" w:type="dxa"/>
            </w:tcMar>
            <w:shd w:val="clear" w:color="auto" w:fill="F5F7F5"/>
          </w:tcPr>
          <w:p>
            <w:pPr>
              <w:spacing w:after="0"/>
            </w:pPr>
            <w:r>
              <w:rPr>
                <w:b w:val="0"/>
                <w:i w:val="0"/>
                <w:color w:val="16261F"/>
                <w:sz w:val="18"/>
              </w:rPr>
              <w:t>Sequences and row-level locking give correct allocation under concurrent creation.</w:t>
            </w:r>
          </w:p>
        </w:tc>
      </w:tr>
      <w:tr>
        <w:tc>
          <w:tcPr>
            <w:tcW w:type="dxa" w:w="2376"/>
            <w:tcMar>
              <w:top w:w="60" w:type="dxa"/>
              <w:left w:w="110" w:type="dxa"/>
              <w:bottom w:w="60" w:type="dxa"/>
              <w:right w:w="110" w:type="dxa"/>
            </w:tcMar>
          </w:tcPr>
          <w:p>
            <w:pPr>
              <w:spacing w:after="0"/>
            </w:pPr>
            <w:r>
              <w:rPr>
                <w:b w:val="0"/>
                <w:i w:val="0"/>
                <w:color w:val="16261F"/>
                <w:sz w:val="18"/>
              </w:rPr>
              <w:t>Idempotency (NFR-INT-010)</w:t>
            </w:r>
          </w:p>
        </w:tc>
        <w:tc>
          <w:tcPr>
            <w:tcW w:type="dxa" w:w="6984"/>
            <w:tcMar>
              <w:top w:w="60" w:type="dxa"/>
              <w:left w:w="110" w:type="dxa"/>
              <w:bottom w:w="60" w:type="dxa"/>
              <w:right w:w="110" w:type="dxa"/>
            </w:tcMar>
          </w:tcPr>
          <w:p>
            <w:pPr>
              <w:spacing w:after="0"/>
            </w:pPr>
            <w:r>
              <w:rPr>
                <w:b w:val="0"/>
                <w:i w:val="0"/>
                <w:color w:val="16261F"/>
                <w:sz w:val="18"/>
              </w:rPr>
              <w:t>Partial and unique indexes enforce it declaratively rather than in application logic.</w:t>
            </w:r>
          </w:p>
        </w:tc>
      </w:tr>
      <w:tr>
        <w:tc>
          <w:tcPr>
            <w:tcW w:type="dxa" w:w="2376"/>
            <w:tcMar>
              <w:top w:w="60" w:type="dxa"/>
              <w:left w:w="110" w:type="dxa"/>
              <w:bottom w:w="60" w:type="dxa"/>
              <w:right w:w="110" w:type="dxa"/>
            </w:tcMar>
            <w:shd w:val="clear" w:color="auto" w:fill="F5F7F5"/>
          </w:tcPr>
          <w:p>
            <w:pPr>
              <w:spacing w:after="0"/>
            </w:pPr>
            <w:r>
              <w:rPr>
                <w:b w:val="0"/>
                <w:i w:val="0"/>
                <w:color w:val="16261F"/>
                <w:sz w:val="18"/>
              </w:rPr>
              <w:t>Reporting (NFR-PRF-004)</w:t>
            </w:r>
          </w:p>
        </w:tc>
        <w:tc>
          <w:tcPr>
            <w:tcW w:type="dxa" w:w="6984"/>
            <w:tcMar>
              <w:top w:w="60" w:type="dxa"/>
              <w:left w:w="110" w:type="dxa"/>
              <w:bottom w:w="60" w:type="dxa"/>
              <w:right w:w="110" w:type="dxa"/>
            </w:tcMar>
            <w:shd w:val="clear" w:color="auto" w:fill="F5F7F5"/>
          </w:tcPr>
          <w:p>
            <w:pPr>
              <w:spacing w:after="0"/>
            </w:pPr>
            <w:r>
              <w:rPr>
                <w:b w:val="0"/>
                <w:i w:val="0"/>
                <w:color w:val="16261F"/>
                <w:sz w:val="18"/>
              </w:rPr>
              <w:t>Window functions and CTEs handle dashboard aggregation without a separate analytics store.</w:t>
            </w:r>
          </w:p>
        </w:tc>
      </w:tr>
      <w:tr>
        <w:tc>
          <w:tcPr>
            <w:tcW w:type="dxa" w:w="2376"/>
            <w:tcMar>
              <w:top w:w="60" w:type="dxa"/>
              <w:left w:w="110" w:type="dxa"/>
              <w:bottom w:w="60" w:type="dxa"/>
              <w:right w:w="110" w:type="dxa"/>
            </w:tcMar>
          </w:tcPr>
          <w:p>
            <w:pPr>
              <w:spacing w:after="0"/>
            </w:pPr>
            <w:r>
              <w:rPr>
                <w:b w:val="0"/>
                <w:i w:val="0"/>
                <w:color w:val="16261F"/>
                <w:sz w:val="18"/>
              </w:rPr>
              <w:t>Recovery (NFR-AVL-004)</w:t>
            </w:r>
          </w:p>
        </w:tc>
        <w:tc>
          <w:tcPr>
            <w:tcW w:type="dxa" w:w="6984"/>
            <w:tcMar>
              <w:top w:w="60" w:type="dxa"/>
              <w:left w:w="110" w:type="dxa"/>
              <w:bottom w:w="60" w:type="dxa"/>
              <w:right w:w="110" w:type="dxa"/>
            </w:tcMar>
          </w:tcPr>
          <w:p>
            <w:pPr>
              <w:spacing w:after="0"/>
            </w:pPr>
            <w:r>
              <w:rPr>
                <w:b w:val="0"/>
                <w:i w:val="0"/>
                <w:color w:val="16261F"/>
                <w:sz w:val="18"/>
              </w:rPr>
              <w:t>Point-in-time recovery via continuous archiving meets the 15-minute RPO directly.</w:t>
            </w:r>
          </w:p>
        </w:tc>
      </w:tr>
      <w:tr>
        <w:tc>
          <w:tcPr>
            <w:tcW w:type="dxa" w:w="2376"/>
            <w:tcMar>
              <w:top w:w="60" w:type="dxa"/>
              <w:left w:w="110" w:type="dxa"/>
              <w:bottom w:w="60" w:type="dxa"/>
              <w:right w:w="110" w:type="dxa"/>
            </w:tcMar>
            <w:shd w:val="clear" w:color="auto" w:fill="F5F7F5"/>
          </w:tcPr>
          <w:p>
            <w:pPr>
              <w:spacing w:after="0"/>
            </w:pPr>
            <w:r>
              <w:rPr>
                <w:b w:val="0"/>
                <w:i w:val="0"/>
                <w:color w:val="16261F"/>
                <w:sz w:val="18"/>
              </w:rPr>
              <w:t>Structured detail</w:t>
            </w:r>
          </w:p>
        </w:tc>
        <w:tc>
          <w:tcPr>
            <w:tcW w:type="dxa" w:w="6984"/>
            <w:tcMar>
              <w:top w:w="60" w:type="dxa"/>
              <w:left w:w="110" w:type="dxa"/>
              <w:bottom w:w="60" w:type="dxa"/>
              <w:right w:w="110" w:type="dxa"/>
            </w:tcMar>
            <w:shd w:val="clear" w:color="auto" w:fill="F5F7F5"/>
          </w:tcPr>
          <w:p>
            <w:pPr>
              <w:spacing w:after="0"/>
            </w:pPr>
            <w:r>
              <w:rPr>
                <w:b w:val="0"/>
                <w:i w:val="0"/>
                <w:color w:val="16261F"/>
                <w:sz w:val="18"/>
              </w:rPr>
              <w:t>JSONB for audit metadata and integration payloads, without abandoning relational guarantees where they matter.</w:t>
            </w:r>
          </w:p>
        </w:tc>
      </w:tr>
    </w:tbl>
    <w:p>
      <w:pPr>
        <w:pStyle w:val="Heading2"/>
      </w:pPr>
      <w:r>
        <w:t>5.2 Prisma, with raw SQL where warranted</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4680"/>
        <w:gridCol w:w="4680"/>
      </w:tblGrid>
      <w:tr>
        <w:trPr>
          <w:tblHeader w:val="true"/>
        </w:trPr>
        <w:tc>
          <w:tcPr>
            <w:tcW w:type="dxa" w:w="4680"/>
            <w:shd w:val="clear" w:color="auto" w:fill="16261F"/>
            <w:tcMar>
              <w:top w:w="70" w:type="dxa"/>
              <w:left w:w="110" w:type="dxa"/>
              <w:bottom w:w="70" w:type="dxa"/>
              <w:right w:w="110" w:type="dxa"/>
            </w:tcMar>
          </w:tcPr>
          <w:p>
            <w:pPr>
              <w:spacing w:after="0"/>
            </w:pPr>
            <w:r>
              <w:rPr>
                <w:rFonts w:ascii="Calibri" w:hAnsi="Calibri"/>
                <w:b/>
                <w:color w:val="FFFFFF"/>
                <w:sz w:val="17"/>
              </w:rPr>
              <w:t>For</w:t>
            </w:r>
          </w:p>
        </w:tc>
        <w:tc>
          <w:tcPr>
            <w:tcW w:type="dxa" w:w="4680"/>
            <w:shd w:val="clear" w:color="auto" w:fill="16261F"/>
            <w:tcMar>
              <w:top w:w="70" w:type="dxa"/>
              <w:left w:w="110" w:type="dxa"/>
              <w:bottom w:w="70" w:type="dxa"/>
              <w:right w:w="110" w:type="dxa"/>
            </w:tcMar>
          </w:tcPr>
          <w:p>
            <w:pPr>
              <w:spacing w:after="0"/>
            </w:pPr>
            <w:r>
              <w:rPr>
                <w:rFonts w:ascii="Calibri" w:hAnsi="Calibri"/>
                <w:b/>
                <w:color w:val="FFFFFF"/>
                <w:sz w:val="17"/>
              </w:rPr>
              <w:t>Against</w:t>
            </w:r>
          </w:p>
        </w:tc>
      </w:tr>
      <w:tr>
        <w:tc>
          <w:tcPr>
            <w:tcW w:type="dxa" w:w="4680"/>
            <w:tcMar>
              <w:top w:w="60" w:type="dxa"/>
              <w:left w:w="110" w:type="dxa"/>
              <w:bottom w:w="60" w:type="dxa"/>
              <w:right w:w="110" w:type="dxa"/>
            </w:tcMar>
          </w:tcPr>
          <w:p>
            <w:pPr>
              <w:spacing w:after="0"/>
            </w:pPr>
            <w:r>
              <w:rPr>
                <w:b w:val="0"/>
                <w:i w:val="0"/>
                <w:color w:val="16261F"/>
                <w:sz w:val="18"/>
              </w:rPr>
              <w:t>Type-safe schema and generated client, aligning with the strict-TypeScript posture.</w:t>
            </w:r>
          </w:p>
        </w:tc>
        <w:tc>
          <w:tcPr>
            <w:tcW w:type="dxa" w:w="4680"/>
            <w:tcMar>
              <w:top w:w="60" w:type="dxa"/>
              <w:left w:w="110" w:type="dxa"/>
              <w:bottom w:w="60" w:type="dxa"/>
              <w:right w:w="110" w:type="dxa"/>
            </w:tcMar>
          </w:tcPr>
          <w:p>
            <w:pPr>
              <w:spacing w:after="0"/>
            </w:pPr>
            <w:r>
              <w:rPr>
                <w:b w:val="0"/>
                <w:i w:val="0"/>
                <w:color w:val="16261F"/>
                <w:sz w:val="18"/>
              </w:rPr>
              <w:t>Row-level security requires setting a session variable per transaction — workable, but needs a deliberate wrapper rather than casual client use.</w:t>
            </w:r>
          </w:p>
        </w:tc>
      </w:tr>
      <w:tr>
        <w:tc>
          <w:tcPr>
            <w:tcW w:type="dxa" w:w="4680"/>
            <w:tcMar>
              <w:top w:w="60" w:type="dxa"/>
              <w:left w:w="110" w:type="dxa"/>
              <w:bottom w:w="60" w:type="dxa"/>
              <w:right w:w="110" w:type="dxa"/>
            </w:tcMar>
            <w:shd w:val="clear" w:color="auto" w:fill="F5F7F5"/>
          </w:tcPr>
          <w:p>
            <w:pPr>
              <w:spacing w:after="0"/>
            </w:pPr>
            <w:r>
              <w:rPr>
                <w:b w:val="0"/>
                <w:i w:val="0"/>
                <w:color w:val="16261F"/>
                <w:sz w:val="18"/>
              </w:rPr>
              <w:t>Migration tooling satisfies NFR-MNT-005 out of the box.</w:t>
            </w:r>
          </w:p>
        </w:tc>
        <w:tc>
          <w:tcPr>
            <w:tcW w:type="dxa" w:w="4680"/>
            <w:tcMar>
              <w:top w:w="60" w:type="dxa"/>
              <w:left w:w="110" w:type="dxa"/>
              <w:bottom w:w="60" w:type="dxa"/>
              <w:right w:w="110" w:type="dxa"/>
            </w:tcMar>
            <w:shd w:val="clear" w:color="auto" w:fill="F5F7F5"/>
          </w:tcPr>
          <w:p>
            <w:pPr>
              <w:spacing w:after="0"/>
            </w:pPr>
            <w:r>
              <w:rPr>
                <w:b w:val="0"/>
                <w:i w:val="0"/>
                <w:color w:val="16261F"/>
                <w:sz w:val="18"/>
              </w:rPr>
              <w:t>Complex reporting aggregation is better expressed in raw SQL than through the query builder.</w:t>
            </w:r>
          </w:p>
        </w:tc>
      </w:tr>
      <w:tr>
        <w:tc>
          <w:tcPr>
            <w:tcW w:type="dxa" w:w="4680"/>
            <w:tcMar>
              <w:top w:w="60" w:type="dxa"/>
              <w:left w:w="110" w:type="dxa"/>
              <w:bottom w:w="60" w:type="dxa"/>
              <w:right w:w="110" w:type="dxa"/>
            </w:tcMar>
          </w:tcPr>
          <w:p>
            <w:pPr>
              <w:spacing w:after="0"/>
            </w:pPr>
            <w:r>
              <w:rPr>
                <w:b w:val="0"/>
                <w:i w:val="0"/>
                <w:color w:val="16261F"/>
                <w:sz w:val="18"/>
              </w:rPr>
              <w:t>Good developer experience shortens onboarding toward the NFR-MNT-008 target.</w:t>
            </w:r>
          </w:p>
        </w:tc>
        <w:tc>
          <w:tcPr>
            <w:tcW w:type="dxa" w:w="4680"/>
            <w:tcMar>
              <w:top w:w="60" w:type="dxa"/>
              <w:left w:w="110" w:type="dxa"/>
              <w:bottom w:w="60" w:type="dxa"/>
              <w:right w:w="110" w:type="dxa"/>
            </w:tcMar>
          </w:tcPr>
          <w:p>
            <w:pPr>
              <w:spacing w:after="0"/>
            </w:pPr>
            <w:r>
              <w:rPr>
                <w:b w:val="0"/>
                <w:i w:val="0"/>
                <w:color w:val="16261F"/>
                <w:sz w:val="18"/>
              </w:rPr>
              <w:t>Historically weaker on some advanced PostgreSQL features.</w:t>
            </w:r>
          </w:p>
        </w:tc>
      </w:tr>
    </w:tbl>
    <w:p>
      <w:pPr>
        <w:pBdr>
          <w:left w:val="single" w:sz="18" w:space="10" w:color="2D6A6A"/>
        </w:pBdr>
        <w:shd w:val="clear" w:color="auto" w:fill="EDF1EE"/>
        <w:spacing w:before="160" w:after="180"/>
        <w:ind w:left="173"/>
      </w:pPr>
      <w:r>
        <w:rPr>
          <w:b/>
          <w:color w:val="2D6A6A"/>
          <w:sz w:val="17"/>
        </w:rPr>
        <w:t xml:space="preserve">MANDATORY PATTERN  </w:t>
      </w:r>
      <w:r>
        <w:rPr>
          <w:color w:val="16261F"/>
          <w:sz w:val="20"/>
        </w:rPr>
        <w:t>Every repository method must execute inside a transaction that has already issued SET LOCAL app.brand_id. Provide exactly one helper that opens such a transaction, and forbid direct client use outside it by lint rule. If RLS activation is optional in practice, ADR-003 provides no protection and layer 3 of TDD-001 section 6.1 is decorative.</w:t>
      </w:r>
    </w:p>
    <w:p>
      <w:pPr>
        <w:pStyle w:val="Heading2"/>
      </w:pPr>
      <w:r>
        <w:t>5.3 Redis</w:t>
      </w:r>
    </w:p>
    <w:p>
      <w:pPr>
        <w:spacing w:after="140"/>
      </w:pPr>
      <w:r>
        <w:rPr>
          <w:b w:val="0"/>
          <w:i w:val="0"/>
          <w:color w:val="16261F"/>
          <w:sz w:val="21"/>
        </w:rPr>
        <w:t>Serves three roles: BullMQ broker, application cache for brand and domain lookups on the payment hot path, and distributed rate-limit counters for NFR-SEC-030 and NFR-SEC-031. One managed instance covers all three at this scale.</w:t>
      </w:r>
    </w:p>
    <w:p>
      <w:r>
        <w:br w:type="page"/>
      </w:r>
    </w:p>
    <w:p>
      <w:pPr>
        <w:pStyle w:val="Heading1"/>
      </w:pPr>
      <w:r>
        <w:t>6. Asynchronous processing</w:t>
      </w:r>
    </w:p>
    <w:p>
      <w:pPr>
        <w:pStyle w:val="Heading2"/>
      </w:pPr>
      <w:r>
        <w:t>6.1 BullMQ</w:t>
      </w:r>
    </w:p>
    <w:p>
      <w:pPr>
        <w:spacing w:after="140"/>
      </w:pPr>
      <w:r>
        <w:rPr>
          <w:b w:val="0"/>
          <w:i w:val="0"/>
          <w:color w:val="16261F"/>
          <w:sz w:val="21"/>
        </w:rPr>
        <w:t>Redis-backed, TypeScript-native, and supports the features the design actually depends on: named queues with independent worker pools (TDD-001 section 14.1), configurable retry with exponential backoff, delayed jobs for reminder cadence, repeatable jobs for scheduled work, and a dead letter pattern for FR-SYN-003.</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4680"/>
        <w:gridCol w:w="4680"/>
      </w:tblGrid>
      <w:tr>
        <w:trPr>
          <w:tblHeader w:val="true"/>
        </w:trPr>
        <w:tc>
          <w:tcPr>
            <w:tcW w:type="dxa" w:w="2736"/>
            <w:shd w:val="clear" w:color="auto" w:fill="16261F"/>
            <w:tcMar>
              <w:top w:w="70" w:type="dxa"/>
              <w:left w:w="110" w:type="dxa"/>
              <w:bottom w:w="70" w:type="dxa"/>
              <w:right w:w="110" w:type="dxa"/>
            </w:tcMar>
          </w:tcPr>
          <w:p>
            <w:pPr>
              <w:spacing w:after="0"/>
            </w:pPr>
            <w:r>
              <w:rPr>
                <w:rFonts w:ascii="Calibri" w:hAnsi="Calibri"/>
                <w:b/>
                <w:color w:val="FFFFFF"/>
                <w:sz w:val="17"/>
              </w:rPr>
              <w:t>Requirement</w:t>
            </w:r>
          </w:p>
        </w:tc>
        <w:tc>
          <w:tcPr>
            <w:tcW w:type="dxa" w:w="6624"/>
            <w:shd w:val="clear" w:color="auto" w:fill="16261F"/>
            <w:tcMar>
              <w:top w:w="70" w:type="dxa"/>
              <w:left w:w="110" w:type="dxa"/>
              <w:bottom w:w="70" w:type="dxa"/>
              <w:right w:w="110" w:type="dxa"/>
            </w:tcMar>
          </w:tcPr>
          <w:p>
            <w:pPr>
              <w:spacing w:after="0"/>
            </w:pPr>
            <w:r>
              <w:rPr>
                <w:rFonts w:ascii="Calibri" w:hAnsi="Calibri"/>
                <w:b/>
                <w:color w:val="FFFFFF"/>
                <w:sz w:val="17"/>
              </w:rPr>
              <w:t>Mechanism</w:t>
            </w:r>
          </w:p>
        </w:tc>
      </w:tr>
      <w:tr>
        <w:tc>
          <w:tcPr>
            <w:tcW w:type="dxa" w:w="2736"/>
            <w:tcMar>
              <w:top w:w="60" w:type="dxa"/>
              <w:left w:w="110" w:type="dxa"/>
              <w:bottom w:w="60" w:type="dxa"/>
              <w:right w:w="110" w:type="dxa"/>
            </w:tcMar>
          </w:tcPr>
          <w:p>
            <w:pPr>
              <w:spacing w:after="0"/>
            </w:pPr>
            <w:r>
              <w:rPr>
                <w:b w:val="0"/>
                <w:i w:val="0"/>
                <w:color w:val="16261F"/>
                <w:sz w:val="18"/>
              </w:rPr>
              <w:t>Queue separation (ADR-009)</w:t>
            </w:r>
          </w:p>
        </w:tc>
        <w:tc>
          <w:tcPr>
            <w:tcW w:type="dxa" w:w="6624"/>
            <w:tcMar>
              <w:top w:w="60" w:type="dxa"/>
              <w:left w:w="110" w:type="dxa"/>
              <w:bottom w:w="60" w:type="dxa"/>
              <w:right w:w="110" w:type="dxa"/>
            </w:tcMar>
          </w:tcPr>
          <w:p>
            <w:pPr>
              <w:spacing w:after="0"/>
            </w:pPr>
            <w:r>
              <w:rPr>
                <w:b w:val="0"/>
                <w:i w:val="0"/>
                <w:color w:val="16261F"/>
                <w:sz w:val="18"/>
              </w:rPr>
              <w:t>Named queues, each with its own worker process and concurrency setting.</w:t>
            </w:r>
          </w:p>
        </w:tc>
      </w:tr>
      <w:tr>
        <w:tc>
          <w:tcPr>
            <w:tcW w:type="dxa" w:w="2736"/>
            <w:tcMar>
              <w:top w:w="60" w:type="dxa"/>
              <w:left w:w="110" w:type="dxa"/>
              <w:bottom w:w="60" w:type="dxa"/>
              <w:right w:w="110" w:type="dxa"/>
            </w:tcMar>
            <w:shd w:val="clear" w:color="auto" w:fill="F5F7F5"/>
          </w:tcPr>
          <w:p>
            <w:pPr>
              <w:spacing w:after="0"/>
            </w:pPr>
            <w:r>
              <w:rPr>
                <w:b w:val="0"/>
                <w:i w:val="0"/>
                <w:color w:val="16261F"/>
                <w:sz w:val="18"/>
              </w:rPr>
              <w:t>Per-brand isolation (NFR-SCL-010)</w:t>
            </w:r>
          </w:p>
        </w:tc>
        <w:tc>
          <w:tcPr>
            <w:tcW w:type="dxa" w:w="6624"/>
            <w:tcMar>
              <w:top w:w="60" w:type="dxa"/>
              <w:left w:w="110" w:type="dxa"/>
              <w:bottom w:w="60" w:type="dxa"/>
              <w:right w:w="110" w:type="dxa"/>
            </w:tcMar>
            <w:shd w:val="clear" w:color="auto" w:fill="F5F7F5"/>
          </w:tcPr>
          <w:p>
            <w:pPr>
              <w:spacing w:after="0"/>
            </w:pPr>
            <w:r>
              <w:rPr>
                <w:b w:val="0"/>
                <w:i w:val="0"/>
                <w:color w:val="16261F"/>
                <w:sz w:val="18"/>
              </w:rPr>
              <w:t>Job grouping by brand identifier with per-group concurrency limits, so one brand's backlog cannot monopolise workers.</w:t>
            </w:r>
          </w:p>
        </w:tc>
      </w:tr>
      <w:tr>
        <w:tc>
          <w:tcPr>
            <w:tcW w:type="dxa" w:w="2736"/>
            <w:tcMar>
              <w:top w:w="60" w:type="dxa"/>
              <w:left w:w="110" w:type="dxa"/>
              <w:bottom w:w="60" w:type="dxa"/>
              <w:right w:w="110" w:type="dxa"/>
            </w:tcMar>
          </w:tcPr>
          <w:p>
            <w:pPr>
              <w:spacing w:after="0"/>
            </w:pPr>
            <w:r>
              <w:rPr>
                <w:b w:val="0"/>
                <w:i w:val="0"/>
                <w:color w:val="16261F"/>
                <w:sz w:val="18"/>
              </w:rPr>
              <w:t>Retry with backoff (FR-SYN-002)</w:t>
            </w:r>
          </w:p>
        </w:tc>
        <w:tc>
          <w:tcPr>
            <w:tcW w:type="dxa" w:w="6624"/>
            <w:tcMar>
              <w:top w:w="60" w:type="dxa"/>
              <w:left w:w="110" w:type="dxa"/>
              <w:bottom w:w="60" w:type="dxa"/>
              <w:right w:w="110" w:type="dxa"/>
            </w:tcMar>
          </w:tcPr>
          <w:p>
            <w:pPr>
              <w:spacing w:after="0"/>
            </w:pPr>
            <w:r>
              <w:rPr>
                <w:b w:val="0"/>
                <w:i w:val="0"/>
                <w:color w:val="16261F"/>
                <w:sz w:val="18"/>
              </w:rPr>
              <w:t>Built-in exponential backoff with jitter.</w:t>
            </w:r>
          </w:p>
        </w:tc>
      </w:tr>
      <w:tr>
        <w:tc>
          <w:tcPr>
            <w:tcW w:type="dxa" w:w="2736"/>
            <w:tcMar>
              <w:top w:w="60" w:type="dxa"/>
              <w:left w:w="110" w:type="dxa"/>
              <w:bottom w:w="60" w:type="dxa"/>
              <w:right w:w="110" w:type="dxa"/>
            </w:tcMar>
            <w:shd w:val="clear" w:color="auto" w:fill="F5F7F5"/>
          </w:tcPr>
          <w:p>
            <w:pPr>
              <w:spacing w:after="0"/>
            </w:pPr>
            <w:r>
              <w:rPr>
                <w:b w:val="0"/>
                <w:i w:val="0"/>
                <w:color w:val="16261F"/>
                <w:sz w:val="18"/>
              </w:rPr>
              <w:t>Dead letter (FR-SYN-003)</w:t>
            </w:r>
          </w:p>
        </w:tc>
        <w:tc>
          <w:tcPr>
            <w:tcW w:type="dxa" w:w="6624"/>
            <w:tcMar>
              <w:top w:w="60" w:type="dxa"/>
              <w:left w:w="110" w:type="dxa"/>
              <w:bottom w:w="60" w:type="dxa"/>
              <w:right w:w="110" w:type="dxa"/>
            </w:tcMar>
            <w:shd w:val="clear" w:color="auto" w:fill="F5F7F5"/>
          </w:tcPr>
          <w:p>
            <w:pPr>
              <w:spacing w:after="0"/>
            </w:pPr>
            <w:r>
              <w:rPr>
                <w:b w:val="0"/>
                <w:i w:val="0"/>
                <w:color w:val="16261F"/>
                <w:sz w:val="18"/>
              </w:rPr>
              <w:t>Failed jobs retained with full context; operator replay per FR-SYN-010.</w:t>
            </w:r>
          </w:p>
        </w:tc>
      </w:tr>
      <w:tr>
        <w:tc>
          <w:tcPr>
            <w:tcW w:type="dxa" w:w="2736"/>
            <w:tcMar>
              <w:top w:w="60" w:type="dxa"/>
              <w:left w:w="110" w:type="dxa"/>
              <w:bottom w:w="60" w:type="dxa"/>
              <w:right w:w="110" w:type="dxa"/>
            </w:tcMar>
          </w:tcPr>
          <w:p>
            <w:pPr>
              <w:spacing w:after="0"/>
            </w:pPr>
            <w:r>
              <w:rPr>
                <w:b w:val="0"/>
                <w:i w:val="0"/>
                <w:color w:val="16261F"/>
                <w:sz w:val="18"/>
              </w:rPr>
              <w:t>Scheduling (TDD 14.2)</w:t>
            </w:r>
          </w:p>
        </w:tc>
        <w:tc>
          <w:tcPr>
            <w:tcW w:type="dxa" w:w="6624"/>
            <w:tcMar>
              <w:top w:w="60" w:type="dxa"/>
              <w:left w:w="110" w:type="dxa"/>
              <w:bottom w:w="60" w:type="dxa"/>
              <w:right w:w="110" w:type="dxa"/>
            </w:tcMar>
          </w:tcPr>
          <w:p>
            <w:pPr>
              <w:spacing w:after="0"/>
            </w:pPr>
            <w:r>
              <w:rPr>
                <w:b w:val="0"/>
                <w:i w:val="0"/>
                <w:color w:val="16261F"/>
                <w:sz w:val="18"/>
              </w:rPr>
              <w:t>Repeatable jobs; removes the need for a separate cron service.</w:t>
            </w:r>
          </w:p>
        </w:tc>
      </w:tr>
      <w:tr>
        <w:tc>
          <w:tcPr>
            <w:tcW w:type="dxa" w:w="2736"/>
            <w:tcMar>
              <w:top w:w="60" w:type="dxa"/>
              <w:left w:w="110" w:type="dxa"/>
              <w:bottom w:w="60" w:type="dxa"/>
              <w:right w:w="110" w:type="dxa"/>
            </w:tcMar>
            <w:shd w:val="clear" w:color="auto" w:fill="F5F7F5"/>
          </w:tcPr>
          <w:p>
            <w:pPr>
              <w:spacing w:after="0"/>
            </w:pPr>
            <w:r>
              <w:rPr>
                <w:b w:val="0"/>
                <w:i w:val="0"/>
                <w:color w:val="16261F"/>
                <w:sz w:val="18"/>
              </w:rPr>
              <w:t>Queue depth metrics (FR-SYN-009)</w:t>
            </w:r>
          </w:p>
        </w:tc>
        <w:tc>
          <w:tcPr>
            <w:tcW w:type="dxa" w:w="6624"/>
            <w:tcMar>
              <w:top w:w="60" w:type="dxa"/>
              <w:left w:w="110" w:type="dxa"/>
              <w:bottom w:w="60" w:type="dxa"/>
              <w:right w:w="110" w:type="dxa"/>
            </w:tcMar>
            <w:shd w:val="clear" w:color="auto" w:fill="F5F7F5"/>
          </w:tcPr>
          <w:p>
            <w:pPr>
              <w:spacing w:after="0"/>
            </w:pPr>
            <w:r>
              <w:rPr>
                <w:b w:val="0"/>
                <w:i w:val="0"/>
                <w:color w:val="16261F"/>
                <w:sz w:val="18"/>
              </w:rPr>
              <w:t>Exposed natively; wired to alerting per NFR-OBS-020.</w:t>
            </w:r>
          </w:p>
        </w:tc>
      </w:tr>
    </w:tbl>
    <w:p>
      <w:pPr>
        <w:pBdr>
          <w:left w:val="single" w:sz="18" w:space="10" w:color="2D6A6A"/>
        </w:pBdr>
        <w:shd w:val="clear" w:color="auto" w:fill="EDF1EE"/>
        <w:spacing w:before="160" w:after="180"/>
        <w:ind w:left="173"/>
      </w:pPr>
      <w:r>
        <w:rPr>
          <w:b/>
          <w:color w:val="2D6A6A"/>
          <w:sz w:val="17"/>
        </w:rPr>
        <w:t xml:space="preserve">SCALE CEILING, STATED HONESTLY  </w:t>
      </w:r>
      <w:r>
        <w:rPr>
          <w:color w:val="16261F"/>
          <w:sz w:val="20"/>
        </w:rPr>
        <w:t>BullMQ is the right choice at the projected load. If volume ever reaches the point where durability guarantees beyond Redis persistence are required — genuinely unlikely within the design headroom in NFR-001 section 2 — the queue sits behind the same internal interface as everything else and can be replaced without touching job logic.</w:t>
      </w:r>
    </w:p>
    <w:p>
      <w:r>
        <w:br w:type="page"/>
      </w:r>
    </w:p>
    <w:p>
      <w:pPr>
        <w:pStyle w:val="Heading1"/>
      </w:pPr>
      <w:r>
        <w:t>7. Integration libraries</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3120"/>
        <w:gridCol w:w="3120"/>
        <w:gridCol w:w="3120"/>
      </w:tblGrid>
      <w:tr>
        <w:trPr>
          <w:tblHeader w:val="true"/>
        </w:trPr>
        <w:tc>
          <w:tcPr>
            <w:tcW w:type="dxa" w:w="1656"/>
            <w:shd w:val="clear" w:color="auto" w:fill="16261F"/>
            <w:tcMar>
              <w:top w:w="70" w:type="dxa"/>
              <w:left w:w="110" w:type="dxa"/>
              <w:bottom w:w="70" w:type="dxa"/>
              <w:right w:w="110" w:type="dxa"/>
            </w:tcMar>
          </w:tcPr>
          <w:p>
            <w:pPr>
              <w:spacing w:after="0"/>
            </w:pPr>
            <w:r>
              <w:rPr>
                <w:rFonts w:ascii="Calibri" w:hAnsi="Calibri"/>
                <w:b/>
                <w:color w:val="FFFFFF"/>
                <w:sz w:val="17"/>
              </w:rPr>
              <w:t>Integration</w:t>
            </w:r>
          </w:p>
        </w:tc>
        <w:tc>
          <w:tcPr>
            <w:tcW w:type="dxa" w:w="2448"/>
            <w:shd w:val="clear" w:color="auto" w:fill="16261F"/>
            <w:tcMar>
              <w:top w:w="70" w:type="dxa"/>
              <w:left w:w="110" w:type="dxa"/>
              <w:bottom w:w="70" w:type="dxa"/>
              <w:right w:w="110" w:type="dxa"/>
            </w:tcMar>
          </w:tcPr>
          <w:p>
            <w:pPr>
              <w:spacing w:after="0"/>
            </w:pPr>
            <w:r>
              <w:rPr>
                <w:rFonts w:ascii="Calibri" w:hAnsi="Calibri"/>
                <w:b/>
                <w:color w:val="FFFFFF"/>
                <w:sz w:val="17"/>
              </w:rPr>
              <w:t>Approach</w:t>
            </w:r>
          </w:p>
        </w:tc>
        <w:tc>
          <w:tcPr>
            <w:tcW w:type="dxa" w:w="5256"/>
            <w:shd w:val="clear" w:color="auto" w:fill="16261F"/>
            <w:tcMar>
              <w:top w:w="70" w:type="dxa"/>
              <w:left w:w="110" w:type="dxa"/>
              <w:bottom w:w="70" w:type="dxa"/>
              <w:right w:w="110" w:type="dxa"/>
            </w:tcMar>
          </w:tcPr>
          <w:p>
            <w:pPr>
              <w:spacing w:after="0"/>
            </w:pPr>
            <w:r>
              <w:rPr>
                <w:rFonts w:ascii="Calibri" w:hAnsi="Calibri"/>
                <w:b/>
                <w:color w:val="FFFFFF"/>
                <w:sz w:val="17"/>
              </w:rPr>
              <w:t>Rationale</w:t>
            </w:r>
          </w:p>
        </w:tc>
      </w:tr>
      <w:tr>
        <w:tc>
          <w:tcPr>
            <w:tcW w:type="dxa" w:w="1656"/>
            <w:tcMar>
              <w:top w:w="60" w:type="dxa"/>
              <w:left w:w="110" w:type="dxa"/>
              <w:bottom w:w="60" w:type="dxa"/>
              <w:right w:w="110" w:type="dxa"/>
            </w:tcMar>
          </w:tcPr>
          <w:p>
            <w:pPr>
              <w:spacing w:after="0"/>
            </w:pPr>
            <w:r>
              <w:rPr>
                <w:b w:val="0"/>
                <w:i w:val="0"/>
                <w:color w:val="16261F"/>
                <w:sz w:val="18"/>
              </w:rPr>
              <w:t>Numbers Gateway</w:t>
            </w:r>
          </w:p>
        </w:tc>
        <w:tc>
          <w:tcPr>
            <w:tcW w:type="dxa" w:w="2448"/>
            <w:tcMar>
              <w:top w:w="60" w:type="dxa"/>
              <w:left w:w="110" w:type="dxa"/>
              <w:bottom w:w="60" w:type="dxa"/>
              <w:right w:w="110" w:type="dxa"/>
            </w:tcMar>
          </w:tcPr>
          <w:p>
            <w:pPr>
              <w:spacing w:after="0"/>
            </w:pPr>
            <w:r>
              <w:rPr>
                <w:b/>
                <w:i w:val="0"/>
                <w:color w:val="C0473D"/>
                <w:sz w:val="18"/>
              </w:rPr>
              <w:t>Bespoke adapter — SDK availability unknown</w:t>
            </w:r>
          </w:p>
        </w:tc>
        <w:tc>
          <w:tcPr>
            <w:tcW w:type="dxa" w:w="5256"/>
            <w:tcMar>
              <w:top w:w="60" w:type="dxa"/>
              <w:left w:w="110" w:type="dxa"/>
              <w:bottom w:w="60" w:type="dxa"/>
              <w:right w:w="110" w:type="dxa"/>
            </w:tcMar>
          </w:tcPr>
          <w:p>
            <w:pPr>
              <w:spacing w:after="0"/>
            </w:pPr>
            <w:r>
              <w:rPr>
                <w:b w:val="0"/>
                <w:i w:val="0"/>
                <w:color w:val="16261F"/>
                <w:sz w:val="18"/>
              </w:rPr>
              <w:t>Cannot be determined until DEP-01 is resolved. Assume a hand-written adapter against the REST API, behind PaymentGatewayPort. Budget for a discovery spike once documentation is obtained.</w:t>
            </w:r>
          </w:p>
        </w:tc>
      </w:tr>
      <w:tr>
        <w:tc>
          <w:tcPr>
            <w:tcW w:type="dxa" w:w="1656"/>
            <w:tcMar>
              <w:top w:w="60" w:type="dxa"/>
              <w:left w:w="110" w:type="dxa"/>
              <w:bottom w:w="60" w:type="dxa"/>
              <w:right w:w="110" w:type="dxa"/>
            </w:tcMar>
            <w:shd w:val="clear" w:color="auto" w:fill="F5F7F5"/>
          </w:tcPr>
          <w:p>
            <w:pPr>
              <w:spacing w:after="0"/>
            </w:pPr>
            <w:r>
              <w:rPr>
                <w:b w:val="0"/>
                <w:i w:val="0"/>
                <w:color w:val="16261F"/>
                <w:sz w:val="18"/>
              </w:rPr>
              <w:t>Zoho Books</w:t>
            </w:r>
          </w:p>
        </w:tc>
        <w:tc>
          <w:tcPr>
            <w:tcW w:type="dxa" w:w="2448"/>
            <w:tcMar>
              <w:top w:w="60" w:type="dxa"/>
              <w:left w:w="110" w:type="dxa"/>
              <w:bottom w:w="60" w:type="dxa"/>
              <w:right w:w="110" w:type="dxa"/>
            </w:tcMar>
            <w:shd w:val="clear" w:color="auto" w:fill="F5F7F5"/>
          </w:tcPr>
          <w:p>
            <w:pPr>
              <w:spacing w:after="0"/>
            </w:pPr>
            <w:r>
              <w:rPr>
                <w:b w:val="0"/>
                <w:i w:val="0"/>
                <w:color w:val="16261F"/>
                <w:sz w:val="18"/>
              </w:rPr>
              <w:t>Bespoke adapter over the REST API</w:t>
            </w:r>
          </w:p>
        </w:tc>
        <w:tc>
          <w:tcPr>
            <w:tcW w:type="dxa" w:w="5256"/>
            <w:tcMar>
              <w:top w:w="60" w:type="dxa"/>
              <w:left w:w="110" w:type="dxa"/>
              <w:bottom w:w="60" w:type="dxa"/>
              <w:right w:w="110" w:type="dxa"/>
            </w:tcMar>
            <w:shd w:val="clear" w:color="auto" w:fill="F5F7F5"/>
          </w:tcPr>
          <w:p>
            <w:pPr>
              <w:spacing w:after="0"/>
            </w:pPr>
            <w:r>
              <w:rPr>
                <w:b w:val="0"/>
                <w:i w:val="0"/>
                <w:color w:val="16261F"/>
                <w:sz w:val="18"/>
              </w:rPr>
              <w:t>Official Node SDKs for Zoho Books are inconsistently maintained. A focused adapter covering the eight object types actually needed is more predictable than an unmaintained dependency, and keeps NFR-MNT-004 honest.</w:t>
            </w:r>
          </w:p>
        </w:tc>
      </w:tr>
      <w:tr>
        <w:tc>
          <w:tcPr>
            <w:tcW w:type="dxa" w:w="1656"/>
            <w:tcMar>
              <w:top w:w="60" w:type="dxa"/>
              <w:left w:w="110" w:type="dxa"/>
              <w:bottom w:w="60" w:type="dxa"/>
              <w:right w:w="110" w:type="dxa"/>
            </w:tcMar>
          </w:tcPr>
          <w:p>
            <w:pPr>
              <w:spacing w:after="0"/>
            </w:pPr>
            <w:r>
              <w:rPr>
                <w:b w:val="0"/>
                <w:i w:val="0"/>
                <w:color w:val="16261F"/>
                <w:sz w:val="18"/>
              </w:rPr>
              <w:t>Email delivery</w:t>
            </w:r>
          </w:p>
        </w:tc>
        <w:tc>
          <w:tcPr>
            <w:tcW w:type="dxa" w:w="2448"/>
            <w:tcMar>
              <w:top w:w="60" w:type="dxa"/>
              <w:left w:w="110" w:type="dxa"/>
              <w:bottom w:w="60" w:type="dxa"/>
              <w:right w:w="110" w:type="dxa"/>
            </w:tcMar>
          </w:tcPr>
          <w:p>
            <w:pPr>
              <w:spacing w:after="0"/>
            </w:pPr>
            <w:r>
              <w:rPr>
                <w:b w:val="0"/>
                <w:i w:val="0"/>
                <w:color w:val="16261F"/>
                <w:sz w:val="18"/>
              </w:rPr>
              <w:t>Provider SDK behind MailPort</w:t>
            </w:r>
          </w:p>
        </w:tc>
        <w:tc>
          <w:tcPr>
            <w:tcW w:type="dxa" w:w="5256"/>
            <w:tcMar>
              <w:top w:w="60" w:type="dxa"/>
              <w:left w:w="110" w:type="dxa"/>
              <w:bottom w:w="60" w:type="dxa"/>
              <w:right w:w="110" w:type="dxa"/>
            </w:tcMar>
          </w:tcPr>
          <w:p>
            <w:pPr>
              <w:spacing w:after="0"/>
            </w:pPr>
            <w:r>
              <w:rPr>
                <w:b w:val="0"/>
                <w:i w:val="0"/>
                <w:color w:val="16261F"/>
                <w:sz w:val="18"/>
              </w:rPr>
              <w:t>Thin, well-maintained SDKs. The port boundary keeps provider switching cheap if deliverability disappoints.</w:t>
            </w:r>
          </w:p>
        </w:tc>
      </w:tr>
      <w:tr>
        <w:tc>
          <w:tcPr>
            <w:tcW w:type="dxa" w:w="1656"/>
            <w:tcMar>
              <w:top w:w="60" w:type="dxa"/>
              <w:left w:w="110" w:type="dxa"/>
              <w:bottom w:w="60" w:type="dxa"/>
              <w:right w:w="110" w:type="dxa"/>
            </w:tcMar>
            <w:shd w:val="clear" w:color="auto" w:fill="F5F7F5"/>
          </w:tcPr>
          <w:p>
            <w:pPr>
              <w:spacing w:after="0"/>
            </w:pPr>
            <w:r>
              <w:rPr>
                <w:b w:val="0"/>
                <w:i w:val="0"/>
                <w:color w:val="16261F"/>
                <w:sz w:val="18"/>
              </w:rPr>
              <w:t>Object storage</w:t>
            </w:r>
          </w:p>
        </w:tc>
        <w:tc>
          <w:tcPr>
            <w:tcW w:type="dxa" w:w="2448"/>
            <w:tcMar>
              <w:top w:w="60" w:type="dxa"/>
              <w:left w:w="110" w:type="dxa"/>
              <w:bottom w:w="60" w:type="dxa"/>
              <w:right w:w="110" w:type="dxa"/>
            </w:tcMar>
            <w:shd w:val="clear" w:color="auto" w:fill="F5F7F5"/>
          </w:tcPr>
          <w:p>
            <w:pPr>
              <w:spacing w:after="0"/>
            </w:pPr>
            <w:r>
              <w:rPr>
                <w:b w:val="0"/>
                <w:i w:val="0"/>
                <w:color w:val="16261F"/>
                <w:sz w:val="18"/>
              </w:rPr>
              <w:t>AWS SDK v3 behind StoragePort</w:t>
            </w:r>
          </w:p>
        </w:tc>
        <w:tc>
          <w:tcPr>
            <w:tcW w:type="dxa" w:w="5256"/>
            <w:tcMar>
              <w:top w:w="60" w:type="dxa"/>
              <w:left w:w="110" w:type="dxa"/>
              <w:bottom w:w="60" w:type="dxa"/>
              <w:right w:w="110" w:type="dxa"/>
            </w:tcMar>
            <w:shd w:val="clear" w:color="auto" w:fill="F5F7F5"/>
          </w:tcPr>
          <w:p>
            <w:pPr>
              <w:spacing w:after="0"/>
            </w:pPr>
            <w:r>
              <w:rPr>
                <w:b w:val="0"/>
                <w:i w:val="0"/>
                <w:color w:val="16261F"/>
                <w:sz w:val="18"/>
              </w:rPr>
              <w:t>Modular, tree-shakeable. R2 is S3-API-compatible, so the same adapter serves either.</w:t>
            </w:r>
          </w:p>
        </w:tc>
      </w:tr>
      <w:tr>
        <w:tc>
          <w:tcPr>
            <w:tcW w:type="dxa" w:w="1656"/>
            <w:tcMar>
              <w:top w:w="60" w:type="dxa"/>
              <w:left w:w="110" w:type="dxa"/>
              <w:bottom w:w="60" w:type="dxa"/>
              <w:right w:w="110" w:type="dxa"/>
            </w:tcMar>
          </w:tcPr>
          <w:p>
            <w:pPr>
              <w:spacing w:after="0"/>
            </w:pPr>
            <w:r>
              <w:rPr>
                <w:b w:val="0"/>
                <w:i w:val="0"/>
                <w:color w:val="16261F"/>
                <w:sz w:val="18"/>
              </w:rPr>
              <w:t>Bank verification (Phase 2)</w:t>
            </w:r>
          </w:p>
        </w:tc>
        <w:tc>
          <w:tcPr>
            <w:tcW w:type="dxa" w:w="2448"/>
            <w:tcMar>
              <w:top w:w="60" w:type="dxa"/>
              <w:left w:w="110" w:type="dxa"/>
              <w:bottom w:w="60" w:type="dxa"/>
              <w:right w:w="110" w:type="dxa"/>
            </w:tcMar>
          </w:tcPr>
          <w:p>
            <w:pPr>
              <w:spacing w:after="0"/>
            </w:pPr>
            <w:r>
              <w:rPr>
                <w:b w:val="0"/>
                <w:i w:val="0"/>
                <w:color w:val="16261F"/>
                <w:sz w:val="18"/>
              </w:rPr>
              <w:t>Provider SDK behind BankVerificationPort</w:t>
            </w:r>
          </w:p>
        </w:tc>
        <w:tc>
          <w:tcPr>
            <w:tcW w:type="dxa" w:w="5256"/>
            <w:tcMar>
              <w:top w:w="60" w:type="dxa"/>
              <w:left w:w="110" w:type="dxa"/>
              <w:bottom w:w="60" w:type="dxa"/>
              <w:right w:w="110" w:type="dxa"/>
            </w:tcMar>
          </w:tcPr>
          <w:p>
            <w:pPr>
              <w:spacing w:after="0"/>
            </w:pPr>
            <w:r>
              <w:rPr>
                <w:b w:val="0"/>
                <w:i w:val="0"/>
                <w:color w:val="16261F"/>
                <w:sz w:val="18"/>
              </w:rPr>
              <w:t>Hosted link flow keeps account numbers off platform infrastructure per NFR-PCI-010.</w:t>
            </w:r>
          </w:p>
        </w:tc>
      </w:tr>
      <w:tr>
        <w:tc>
          <w:tcPr>
            <w:tcW w:type="dxa" w:w="1656"/>
            <w:tcMar>
              <w:top w:w="60" w:type="dxa"/>
              <w:left w:w="110" w:type="dxa"/>
              <w:bottom w:w="60" w:type="dxa"/>
              <w:right w:w="110" w:type="dxa"/>
            </w:tcMar>
            <w:shd w:val="clear" w:color="auto" w:fill="F5F7F5"/>
          </w:tcPr>
          <w:p>
            <w:pPr>
              <w:spacing w:after="0"/>
            </w:pPr>
            <w:r>
              <w:rPr>
                <w:b w:val="0"/>
                <w:i w:val="0"/>
                <w:color w:val="16261F"/>
                <w:sz w:val="18"/>
              </w:rPr>
              <w:t>Shopify (Phase 2)</w:t>
            </w:r>
          </w:p>
        </w:tc>
        <w:tc>
          <w:tcPr>
            <w:tcW w:type="dxa" w:w="2448"/>
            <w:tcMar>
              <w:top w:w="60" w:type="dxa"/>
              <w:left w:w="110" w:type="dxa"/>
              <w:bottom w:w="60" w:type="dxa"/>
              <w:right w:w="110" w:type="dxa"/>
            </w:tcMar>
            <w:shd w:val="clear" w:color="auto" w:fill="F5F7F5"/>
          </w:tcPr>
          <w:p>
            <w:pPr>
              <w:spacing w:after="0"/>
            </w:pPr>
            <w:r>
              <w:rPr>
                <w:b w:val="0"/>
                <w:i w:val="0"/>
                <w:color w:val="16261F"/>
                <w:sz w:val="18"/>
              </w:rPr>
              <w:t>Official Shopify API library</w:t>
            </w:r>
          </w:p>
        </w:tc>
        <w:tc>
          <w:tcPr>
            <w:tcW w:type="dxa" w:w="5256"/>
            <w:tcMar>
              <w:top w:w="60" w:type="dxa"/>
              <w:left w:w="110" w:type="dxa"/>
              <w:bottom w:w="60" w:type="dxa"/>
              <w:right w:w="110" w:type="dxa"/>
            </w:tcMar>
            <w:shd w:val="clear" w:color="auto" w:fill="F5F7F5"/>
          </w:tcPr>
          <w:p>
            <w:pPr>
              <w:spacing w:after="0"/>
            </w:pPr>
            <w:r>
              <w:rPr>
                <w:b w:val="0"/>
                <w:i w:val="0"/>
                <w:color w:val="16261F"/>
                <w:sz w:val="18"/>
              </w:rPr>
              <w:t>Well maintained; GraphQL Admin API is the supported path for B2B.</w:t>
            </w:r>
          </w:p>
        </w:tc>
      </w:tr>
      <w:tr>
        <w:tc>
          <w:tcPr>
            <w:tcW w:type="dxa" w:w="1656"/>
            <w:tcMar>
              <w:top w:w="60" w:type="dxa"/>
              <w:left w:w="110" w:type="dxa"/>
              <w:bottom w:w="60" w:type="dxa"/>
              <w:right w:w="110" w:type="dxa"/>
            </w:tcMar>
          </w:tcPr>
          <w:p>
            <w:pPr>
              <w:spacing w:after="0"/>
            </w:pPr>
            <w:r>
              <w:rPr>
                <w:b w:val="0"/>
                <w:i w:val="0"/>
                <w:color w:val="16261F"/>
                <w:sz w:val="18"/>
              </w:rPr>
              <w:t>AI provider (Phase 2)</w:t>
            </w:r>
          </w:p>
        </w:tc>
        <w:tc>
          <w:tcPr>
            <w:tcW w:type="dxa" w:w="2448"/>
            <w:tcMar>
              <w:top w:w="60" w:type="dxa"/>
              <w:left w:w="110" w:type="dxa"/>
              <w:bottom w:w="60" w:type="dxa"/>
              <w:right w:w="110" w:type="dxa"/>
            </w:tcMar>
          </w:tcPr>
          <w:p>
            <w:pPr>
              <w:spacing w:after="0"/>
            </w:pPr>
            <w:r>
              <w:rPr>
                <w:b w:val="0"/>
                <w:i w:val="0"/>
                <w:color w:val="16261F"/>
                <w:sz w:val="18"/>
              </w:rPr>
              <w:t>Official SDK behind InsightPort</w:t>
            </w:r>
          </w:p>
        </w:tc>
        <w:tc>
          <w:tcPr>
            <w:tcW w:type="dxa" w:w="5256"/>
            <w:tcMar>
              <w:top w:w="60" w:type="dxa"/>
              <w:left w:w="110" w:type="dxa"/>
              <w:bottom w:w="60" w:type="dxa"/>
              <w:right w:w="110" w:type="dxa"/>
            </w:tcMar>
          </w:tcPr>
          <w:p>
            <w:pPr>
              <w:spacing w:after="0"/>
            </w:pPr>
            <w:r>
              <w:rPr>
                <w:b w:val="0"/>
                <w:i w:val="0"/>
                <w:color w:val="16261F"/>
                <w:sz w:val="18"/>
              </w:rPr>
              <w:t>Must satisfy NFR-PRV-007 — no customer personal data in any payload.</w:t>
            </w:r>
          </w:p>
        </w:tc>
      </w:tr>
    </w:tbl>
    <w:p>
      <w:pPr>
        <w:pBdr>
          <w:left w:val="single" w:sz="18" w:space="10" w:color="C0473D"/>
        </w:pBdr>
        <w:shd w:val="clear" w:color="auto" w:fill="F9E7E5"/>
        <w:spacing w:before="160" w:after="180"/>
        <w:ind w:left="173"/>
      </w:pPr>
      <w:r>
        <w:rPr>
          <w:b/>
          <w:color w:val="C0473D"/>
          <w:sz w:val="17"/>
        </w:rPr>
        <w:t xml:space="preserve">ESTIMATING CAVEAT ON NUMBERS GATEWAY  </w:t>
      </w:r>
      <w:r>
        <w:rPr>
          <w:color w:val="16261F"/>
          <w:sz w:val="20"/>
        </w:rPr>
        <w:t>Every other integration in this table can be estimated with reasonable confidence from published documentation. Numbers Gateway cannot. Until DEP-01 closes, any payment-integration estimate is a guess presented as a number, and should be stated as a range with the assumption made explicit.</w:t>
      </w:r>
    </w:p>
    <w:p>
      <w:r>
        <w:br w:type="page"/>
      </w:r>
    </w:p>
    <w:p>
      <w:pPr>
        <w:pStyle w:val="Heading1"/>
      </w:pPr>
      <w:r>
        <w:t>8. Document and email generation</w:t>
      </w:r>
    </w:p>
    <w:p>
      <w:pPr>
        <w:pStyle w:val="Heading2"/>
      </w:pPr>
      <w:r>
        <w:t>8.1 PDF — Playwright with headless Chromium</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4680"/>
        <w:gridCol w:w="4680"/>
      </w:tblGrid>
      <w:tr>
        <w:trPr>
          <w:tblHeader w:val="true"/>
        </w:trPr>
        <w:tc>
          <w:tcPr>
            <w:tcW w:type="dxa" w:w="2016"/>
            <w:shd w:val="clear" w:color="auto" w:fill="16261F"/>
            <w:tcMar>
              <w:top w:w="70" w:type="dxa"/>
              <w:left w:w="110" w:type="dxa"/>
              <w:bottom w:w="70" w:type="dxa"/>
              <w:right w:w="110" w:type="dxa"/>
            </w:tcMar>
          </w:tcPr>
          <w:p>
            <w:pPr>
              <w:spacing w:after="0"/>
            </w:pPr>
            <w:r>
              <w:rPr>
                <w:rFonts w:ascii="Calibri" w:hAnsi="Calibri"/>
                <w:b/>
                <w:color w:val="FFFFFF"/>
                <w:sz w:val="17"/>
              </w:rPr>
              <w:t>Consideration</w:t>
            </w:r>
          </w:p>
        </w:tc>
        <w:tc>
          <w:tcPr>
            <w:tcW w:type="dxa" w:w="7344"/>
            <w:shd w:val="clear" w:color="auto" w:fill="16261F"/>
            <w:tcMar>
              <w:top w:w="70" w:type="dxa"/>
              <w:left w:w="110" w:type="dxa"/>
              <w:bottom w:w="70" w:type="dxa"/>
              <w:right w:w="110" w:type="dxa"/>
            </w:tcMar>
          </w:tcPr>
          <w:p>
            <w:pPr>
              <w:spacing w:after="0"/>
            </w:pPr>
            <w:r>
              <w:rPr>
                <w:rFonts w:ascii="Calibri" w:hAnsi="Calibri"/>
                <w:b/>
                <w:color w:val="FFFFFF"/>
                <w:sz w:val="17"/>
              </w:rPr>
              <w:t>Assessment</w:t>
            </w:r>
          </w:p>
        </w:tc>
      </w:tr>
      <w:tr>
        <w:tc>
          <w:tcPr>
            <w:tcW w:type="dxa" w:w="2016"/>
            <w:tcMar>
              <w:top w:w="60" w:type="dxa"/>
              <w:left w:w="110" w:type="dxa"/>
              <w:bottom w:w="60" w:type="dxa"/>
              <w:right w:w="110" w:type="dxa"/>
            </w:tcMar>
          </w:tcPr>
          <w:p>
            <w:pPr>
              <w:spacing w:after="0"/>
            </w:pPr>
            <w:r>
              <w:rPr>
                <w:b w:val="0"/>
                <w:i w:val="0"/>
                <w:color w:val="16261F"/>
                <w:sz w:val="18"/>
              </w:rPr>
              <w:t>Why not a PDF library</w:t>
            </w:r>
          </w:p>
        </w:tc>
        <w:tc>
          <w:tcPr>
            <w:tcW w:type="dxa" w:w="7344"/>
            <w:tcMar>
              <w:top w:w="60" w:type="dxa"/>
              <w:left w:w="110" w:type="dxa"/>
              <w:bottom w:w="60" w:type="dxa"/>
              <w:right w:w="110" w:type="dxa"/>
            </w:tcMar>
          </w:tcPr>
          <w:p>
            <w:pPr>
              <w:spacing w:after="0"/>
            </w:pPr>
            <w:r>
              <w:rPr>
                <w:b w:val="0"/>
                <w:i w:val="0"/>
                <w:color w:val="16261F"/>
                <w:sz w:val="18"/>
              </w:rPr>
              <w:t>Libraries such as PDFKit require laying out invoices programmatically. Invoice layout is a design artefact that changes per brand and per template. HTML and CSS are the right tools; the browser is the right renderer.</w:t>
            </w:r>
          </w:p>
        </w:tc>
      </w:tr>
      <w:tr>
        <w:tc>
          <w:tcPr>
            <w:tcW w:type="dxa" w:w="2016"/>
            <w:tcMar>
              <w:top w:w="60" w:type="dxa"/>
              <w:left w:w="110" w:type="dxa"/>
              <w:bottom w:w="60" w:type="dxa"/>
              <w:right w:w="110" w:type="dxa"/>
            </w:tcMar>
            <w:shd w:val="clear" w:color="auto" w:fill="F5F7F5"/>
          </w:tcPr>
          <w:p>
            <w:pPr>
              <w:spacing w:after="0"/>
            </w:pPr>
            <w:r>
              <w:rPr>
                <w:b w:val="0"/>
                <w:i w:val="0"/>
                <w:color w:val="16261F"/>
                <w:sz w:val="18"/>
              </w:rPr>
              <w:t>Why Playwright over Puppeteer</w:t>
            </w:r>
          </w:p>
        </w:tc>
        <w:tc>
          <w:tcPr>
            <w:tcW w:type="dxa" w:w="7344"/>
            <w:tcMar>
              <w:top w:w="60" w:type="dxa"/>
              <w:left w:w="110" w:type="dxa"/>
              <w:bottom w:w="60" w:type="dxa"/>
              <w:right w:w="110" w:type="dxa"/>
            </w:tcMar>
            <w:shd w:val="clear" w:color="auto" w:fill="F5F7F5"/>
          </w:tcPr>
          <w:p>
            <w:pPr>
              <w:spacing w:after="0"/>
            </w:pPr>
            <w:r>
              <w:rPr>
                <w:b w:val="0"/>
                <w:i w:val="0"/>
                <w:color w:val="16261F"/>
                <w:sz w:val="18"/>
              </w:rPr>
              <w:t>Better container ergonomics, more reliable font handling, actively maintained. Already required for end-to-end testing, so no additional technology enters the stack.</w:t>
            </w:r>
          </w:p>
        </w:tc>
      </w:tr>
      <w:tr>
        <w:tc>
          <w:tcPr>
            <w:tcW w:type="dxa" w:w="2016"/>
            <w:tcMar>
              <w:top w:w="60" w:type="dxa"/>
              <w:left w:w="110" w:type="dxa"/>
              <w:bottom w:w="60" w:type="dxa"/>
              <w:right w:w="110" w:type="dxa"/>
            </w:tcMar>
          </w:tcPr>
          <w:p>
            <w:pPr>
              <w:spacing w:after="0"/>
            </w:pPr>
            <w:r>
              <w:rPr>
                <w:b w:val="0"/>
                <w:i w:val="0"/>
                <w:color w:val="16261F"/>
                <w:sz w:val="18"/>
              </w:rPr>
              <w:t>Determinism (NFR-CFG-033)</w:t>
            </w:r>
          </w:p>
        </w:tc>
        <w:tc>
          <w:tcPr>
            <w:tcW w:type="dxa" w:w="7344"/>
            <w:tcMar>
              <w:top w:w="60" w:type="dxa"/>
              <w:left w:w="110" w:type="dxa"/>
              <w:bottom w:w="60" w:type="dxa"/>
              <w:right w:w="110" w:type="dxa"/>
            </w:tcMar>
          </w:tcPr>
          <w:p>
            <w:pPr>
              <w:spacing w:after="0"/>
            </w:pPr>
            <w:r>
              <w:rPr>
                <w:b w:val="0"/>
                <w:i w:val="0"/>
                <w:color w:val="16261F"/>
                <w:sz w:val="18"/>
              </w:rPr>
              <w:t>Fonts embedded locally, no network fetch at render time, fixed document metadata, pinned browser version. Without all four, output is not byte-stable.</w:t>
            </w:r>
          </w:p>
        </w:tc>
      </w:tr>
      <w:tr>
        <w:tc>
          <w:tcPr>
            <w:tcW w:type="dxa" w:w="2016"/>
            <w:tcMar>
              <w:top w:w="60" w:type="dxa"/>
              <w:left w:w="110" w:type="dxa"/>
              <w:bottom w:w="60" w:type="dxa"/>
              <w:right w:w="110" w:type="dxa"/>
            </w:tcMar>
            <w:shd w:val="clear" w:color="auto" w:fill="F5F7F5"/>
          </w:tcPr>
          <w:p>
            <w:pPr>
              <w:spacing w:after="0"/>
            </w:pPr>
            <w:r>
              <w:rPr>
                <w:b w:val="0"/>
                <w:i w:val="0"/>
                <w:color w:val="16261F"/>
                <w:sz w:val="18"/>
              </w:rPr>
              <w:t>Isolation</w:t>
            </w:r>
          </w:p>
        </w:tc>
        <w:tc>
          <w:tcPr>
            <w:tcW w:type="dxa" w:w="7344"/>
            <w:tcMar>
              <w:top w:w="60" w:type="dxa"/>
              <w:left w:w="110" w:type="dxa"/>
              <w:bottom w:w="60" w:type="dxa"/>
              <w:right w:w="110" w:type="dxa"/>
            </w:tcMar>
            <w:shd w:val="clear" w:color="auto" w:fill="F5F7F5"/>
          </w:tcPr>
          <w:p>
            <w:pPr>
              <w:spacing w:after="0"/>
            </w:pPr>
            <w:r>
              <w:rPr>
                <w:b w:val="0"/>
                <w:i w:val="0"/>
                <w:color w:val="16261F"/>
                <w:sz w:val="18"/>
              </w:rPr>
              <w:t>Runs in a dedicated worker pool. Rendering is memory-hungry and occasionally slow; it must never share a process with payment handling.</w:t>
            </w:r>
          </w:p>
        </w:tc>
      </w:tr>
      <w:tr>
        <w:tc>
          <w:tcPr>
            <w:tcW w:type="dxa" w:w="2016"/>
            <w:tcMar>
              <w:top w:w="60" w:type="dxa"/>
              <w:left w:w="110" w:type="dxa"/>
              <w:bottom w:w="60" w:type="dxa"/>
              <w:right w:w="110" w:type="dxa"/>
            </w:tcMar>
          </w:tcPr>
          <w:p>
            <w:pPr>
              <w:spacing w:after="0"/>
            </w:pPr>
            <w:r>
              <w:rPr>
                <w:b w:val="0"/>
                <w:i w:val="0"/>
                <w:color w:val="16261F"/>
                <w:sz w:val="18"/>
              </w:rPr>
              <w:t>Cost</w:t>
            </w:r>
          </w:p>
        </w:tc>
        <w:tc>
          <w:tcPr>
            <w:tcW w:type="dxa" w:w="7344"/>
            <w:tcMar>
              <w:top w:w="60" w:type="dxa"/>
              <w:left w:w="110" w:type="dxa"/>
              <w:bottom w:w="60" w:type="dxa"/>
              <w:right w:w="110" w:type="dxa"/>
            </w:tcMar>
          </w:tcPr>
          <w:p>
            <w:pPr>
              <w:spacing w:after="0"/>
            </w:pPr>
            <w:r>
              <w:rPr>
                <w:b w:val="0"/>
                <w:i w:val="0"/>
                <w:color w:val="16261F"/>
                <w:sz w:val="18"/>
              </w:rPr>
              <w:t>Higher memory per render than a native library. Acceptable given caching in TDD-001 section 13 — most invoices render exactly once.</w:t>
            </w:r>
          </w:p>
        </w:tc>
      </w:tr>
    </w:tbl>
    <w:p>
      <w:pPr>
        <w:pStyle w:val="Heading2"/>
      </w:pPr>
      <w:r>
        <w:t>8.2 Email</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3120"/>
        <w:gridCol w:w="3120"/>
        <w:gridCol w:w="3120"/>
      </w:tblGrid>
      <w:tr>
        <w:trPr>
          <w:tblHeader w:val="true"/>
        </w:trPr>
        <w:tc>
          <w:tcPr>
            <w:tcW w:type="dxa" w:w="1584"/>
            <w:shd w:val="clear" w:color="auto" w:fill="16261F"/>
            <w:tcMar>
              <w:top w:w="70" w:type="dxa"/>
              <w:left w:w="110" w:type="dxa"/>
              <w:bottom w:w="70" w:type="dxa"/>
              <w:right w:w="110" w:type="dxa"/>
            </w:tcMar>
          </w:tcPr>
          <w:p>
            <w:pPr>
              <w:spacing w:after="0"/>
            </w:pPr>
            <w:r>
              <w:rPr>
                <w:rFonts w:ascii="Calibri" w:hAnsi="Calibri"/>
                <w:b/>
                <w:color w:val="FFFFFF"/>
                <w:sz w:val="17"/>
              </w:rPr>
              <w:t>Concern</w:t>
            </w:r>
          </w:p>
        </w:tc>
        <w:tc>
          <w:tcPr>
            <w:tcW w:type="dxa" w:w="2016"/>
            <w:shd w:val="clear" w:color="auto" w:fill="16261F"/>
            <w:tcMar>
              <w:top w:w="70" w:type="dxa"/>
              <w:left w:w="110" w:type="dxa"/>
              <w:bottom w:w="70" w:type="dxa"/>
              <w:right w:w="110" w:type="dxa"/>
            </w:tcMar>
          </w:tcPr>
          <w:p>
            <w:pPr>
              <w:spacing w:after="0"/>
            </w:pPr>
            <w:r>
              <w:rPr>
                <w:rFonts w:ascii="Calibri" w:hAnsi="Calibri"/>
                <w:b/>
                <w:color w:val="FFFFFF"/>
                <w:sz w:val="17"/>
              </w:rPr>
              <w:t>Choice</w:t>
            </w:r>
          </w:p>
        </w:tc>
        <w:tc>
          <w:tcPr>
            <w:tcW w:type="dxa" w:w="5760"/>
            <w:shd w:val="clear" w:color="auto" w:fill="16261F"/>
            <w:tcMar>
              <w:top w:w="70" w:type="dxa"/>
              <w:left w:w="110" w:type="dxa"/>
              <w:bottom w:w="70" w:type="dxa"/>
              <w:right w:w="110" w:type="dxa"/>
            </w:tcMar>
          </w:tcPr>
          <w:p>
            <w:pPr>
              <w:spacing w:after="0"/>
            </w:pPr>
            <w:r>
              <w:rPr>
                <w:rFonts w:ascii="Calibri" w:hAnsi="Calibri"/>
                <w:b/>
                <w:color w:val="FFFFFF"/>
                <w:sz w:val="17"/>
              </w:rPr>
              <w:t>Rationale</w:t>
            </w:r>
          </w:p>
        </w:tc>
      </w:tr>
      <w:tr>
        <w:tc>
          <w:tcPr>
            <w:tcW w:type="dxa" w:w="1584"/>
            <w:tcMar>
              <w:top w:w="60" w:type="dxa"/>
              <w:left w:w="110" w:type="dxa"/>
              <w:bottom w:w="60" w:type="dxa"/>
              <w:right w:w="110" w:type="dxa"/>
            </w:tcMar>
          </w:tcPr>
          <w:p>
            <w:pPr>
              <w:spacing w:after="0"/>
            </w:pPr>
            <w:r>
              <w:rPr>
                <w:b w:val="0"/>
                <w:i w:val="0"/>
                <w:color w:val="16261F"/>
                <w:sz w:val="18"/>
              </w:rPr>
              <w:t>Rendering</w:t>
            </w:r>
          </w:p>
        </w:tc>
        <w:tc>
          <w:tcPr>
            <w:tcW w:type="dxa" w:w="2016"/>
            <w:tcMar>
              <w:top w:w="60" w:type="dxa"/>
              <w:left w:w="110" w:type="dxa"/>
              <w:bottom w:w="60" w:type="dxa"/>
              <w:right w:w="110" w:type="dxa"/>
            </w:tcMar>
          </w:tcPr>
          <w:p>
            <w:pPr>
              <w:spacing w:after="0"/>
            </w:pPr>
            <w:r>
              <w:rPr>
                <w:b w:val="0"/>
                <w:i w:val="0"/>
                <w:color w:val="16261F"/>
                <w:sz w:val="18"/>
              </w:rPr>
              <w:t>React Email</w:t>
            </w:r>
          </w:p>
        </w:tc>
        <w:tc>
          <w:tcPr>
            <w:tcW w:type="dxa" w:w="5760"/>
            <w:tcMar>
              <w:top w:w="60" w:type="dxa"/>
              <w:left w:w="110" w:type="dxa"/>
              <w:bottom w:w="60" w:type="dxa"/>
              <w:right w:w="110" w:type="dxa"/>
            </w:tcMar>
          </w:tcPr>
          <w:p>
            <w:pPr>
              <w:spacing w:after="0"/>
            </w:pPr>
            <w:r>
              <w:rPr>
                <w:b w:val="0"/>
                <w:i w:val="0"/>
                <w:color w:val="16261F"/>
                <w:sz w:val="18"/>
              </w:rPr>
              <w:t>Components in the same language and idiom as the rest of the frontend. Compiles to table-based HTML that survives Outlook.</w:t>
            </w:r>
          </w:p>
        </w:tc>
      </w:tr>
      <w:tr>
        <w:tc>
          <w:tcPr>
            <w:tcW w:type="dxa" w:w="1584"/>
            <w:tcMar>
              <w:top w:w="60" w:type="dxa"/>
              <w:left w:w="110" w:type="dxa"/>
              <w:bottom w:w="60" w:type="dxa"/>
              <w:right w:w="110" w:type="dxa"/>
            </w:tcMar>
            <w:shd w:val="clear" w:color="auto" w:fill="F5F7F5"/>
          </w:tcPr>
          <w:p>
            <w:pPr>
              <w:spacing w:after="0"/>
            </w:pPr>
            <w:r>
              <w:rPr>
                <w:b w:val="0"/>
                <w:i w:val="0"/>
                <w:color w:val="16261F"/>
                <w:sz w:val="18"/>
              </w:rPr>
              <w:t>Fallback</w:t>
            </w:r>
          </w:p>
        </w:tc>
        <w:tc>
          <w:tcPr>
            <w:tcW w:type="dxa" w:w="2016"/>
            <w:tcMar>
              <w:top w:w="60" w:type="dxa"/>
              <w:left w:w="110" w:type="dxa"/>
              <w:bottom w:w="60" w:type="dxa"/>
              <w:right w:w="110" w:type="dxa"/>
            </w:tcMar>
            <w:shd w:val="clear" w:color="auto" w:fill="F5F7F5"/>
          </w:tcPr>
          <w:p>
            <w:pPr>
              <w:spacing w:after="0"/>
            </w:pPr>
            <w:r>
              <w:rPr>
                <w:b w:val="0"/>
                <w:i w:val="0"/>
                <w:color w:val="16261F"/>
                <w:sz w:val="18"/>
              </w:rPr>
              <w:t>MJML</w:t>
            </w:r>
          </w:p>
        </w:tc>
        <w:tc>
          <w:tcPr>
            <w:tcW w:type="dxa" w:w="5760"/>
            <w:tcMar>
              <w:top w:w="60" w:type="dxa"/>
              <w:left w:w="110" w:type="dxa"/>
              <w:bottom w:w="60" w:type="dxa"/>
              <w:right w:w="110" w:type="dxa"/>
            </w:tcMar>
            <w:shd w:val="clear" w:color="auto" w:fill="F5F7F5"/>
          </w:tcPr>
          <w:p>
            <w:pPr>
              <w:spacing w:after="0"/>
            </w:pPr>
            <w:r>
              <w:rPr>
                <w:b w:val="0"/>
                <w:i w:val="0"/>
                <w:color w:val="16261F"/>
                <w:sz w:val="18"/>
              </w:rPr>
              <w:t>If React Email proves limiting for a specific template, MJML is the mature alternative with the widest client coverage.</w:t>
            </w:r>
          </w:p>
        </w:tc>
      </w:tr>
      <w:tr>
        <w:tc>
          <w:tcPr>
            <w:tcW w:type="dxa" w:w="1584"/>
            <w:tcMar>
              <w:top w:w="60" w:type="dxa"/>
              <w:left w:w="110" w:type="dxa"/>
              <w:bottom w:w="60" w:type="dxa"/>
              <w:right w:w="110" w:type="dxa"/>
            </w:tcMar>
          </w:tcPr>
          <w:p>
            <w:pPr>
              <w:spacing w:after="0"/>
            </w:pPr>
            <w:r>
              <w:rPr>
                <w:b w:val="0"/>
                <w:i w:val="0"/>
                <w:color w:val="16261F"/>
                <w:sz w:val="18"/>
              </w:rPr>
              <w:t>Delivery</w:t>
            </w:r>
          </w:p>
        </w:tc>
        <w:tc>
          <w:tcPr>
            <w:tcW w:type="dxa" w:w="2016"/>
            <w:tcMar>
              <w:top w:w="60" w:type="dxa"/>
              <w:left w:w="110" w:type="dxa"/>
              <w:bottom w:w="60" w:type="dxa"/>
              <w:right w:w="110" w:type="dxa"/>
            </w:tcMar>
          </w:tcPr>
          <w:p>
            <w:pPr>
              <w:spacing w:after="0"/>
            </w:pPr>
            <w:r>
              <w:rPr>
                <w:b w:val="0"/>
                <w:i w:val="0"/>
                <w:color w:val="16261F"/>
                <w:sz w:val="18"/>
              </w:rPr>
              <w:t>Postmark</w:t>
            </w:r>
          </w:p>
        </w:tc>
        <w:tc>
          <w:tcPr>
            <w:tcW w:type="dxa" w:w="5760"/>
            <w:tcMar>
              <w:top w:w="60" w:type="dxa"/>
              <w:left w:w="110" w:type="dxa"/>
              <w:bottom w:w="60" w:type="dxa"/>
              <w:right w:w="110" w:type="dxa"/>
            </w:tcMar>
          </w:tcPr>
          <w:p>
            <w:pPr>
              <w:spacing w:after="0"/>
            </w:pPr>
            <w:r>
              <w:rPr>
                <w:b w:val="0"/>
                <w:i w:val="0"/>
                <w:color w:val="16261F"/>
                <w:sz w:val="18"/>
              </w:rPr>
              <w:t>Best-in-class transactional deliverability and clear bounce and complaint webhooks for FR-DLV-007. Strong reputation management matters when the entire collection process depends on inbox placement.</w:t>
            </w:r>
          </w:p>
        </w:tc>
      </w:tr>
      <w:tr>
        <w:tc>
          <w:tcPr>
            <w:tcW w:type="dxa" w:w="1584"/>
            <w:tcMar>
              <w:top w:w="60" w:type="dxa"/>
              <w:left w:w="110" w:type="dxa"/>
              <w:bottom w:w="60" w:type="dxa"/>
              <w:right w:w="110" w:type="dxa"/>
            </w:tcMar>
            <w:shd w:val="clear" w:color="auto" w:fill="F5F7F5"/>
          </w:tcPr>
          <w:p>
            <w:pPr>
              <w:spacing w:after="0"/>
            </w:pPr>
            <w:r>
              <w:rPr>
                <w:b w:val="0"/>
                <w:i w:val="0"/>
                <w:color w:val="16261F"/>
                <w:sz w:val="18"/>
              </w:rPr>
              <w:t>Alternative</w:t>
            </w:r>
          </w:p>
        </w:tc>
        <w:tc>
          <w:tcPr>
            <w:tcW w:type="dxa" w:w="2016"/>
            <w:tcMar>
              <w:top w:w="60" w:type="dxa"/>
              <w:left w:w="110" w:type="dxa"/>
              <w:bottom w:w="60" w:type="dxa"/>
              <w:right w:w="110" w:type="dxa"/>
            </w:tcMar>
            <w:shd w:val="clear" w:color="auto" w:fill="F5F7F5"/>
          </w:tcPr>
          <w:p>
            <w:pPr>
              <w:spacing w:after="0"/>
            </w:pPr>
            <w:r>
              <w:rPr>
                <w:b w:val="0"/>
                <w:i w:val="0"/>
                <w:color w:val="16261F"/>
                <w:sz w:val="18"/>
              </w:rPr>
              <w:t>SendGrid or Amazon SES</w:t>
            </w:r>
          </w:p>
        </w:tc>
        <w:tc>
          <w:tcPr>
            <w:tcW w:type="dxa" w:w="5760"/>
            <w:tcMar>
              <w:top w:w="60" w:type="dxa"/>
              <w:left w:w="110" w:type="dxa"/>
              <w:bottom w:w="60" w:type="dxa"/>
              <w:right w:w="110" w:type="dxa"/>
            </w:tcMar>
            <w:shd w:val="clear" w:color="auto" w:fill="F5F7F5"/>
          </w:tcPr>
          <w:p>
            <w:pPr>
              <w:spacing w:after="0"/>
            </w:pPr>
            <w:r>
              <w:rPr>
                <w:b w:val="0"/>
                <w:i w:val="0"/>
                <w:color w:val="16261F"/>
                <w:sz w:val="18"/>
              </w:rPr>
              <w:t>SES is materially cheaper at volume but requires more reputation management effort. Consider at Month-12 volumes, not at launch.</w:t>
            </w:r>
          </w:p>
        </w:tc>
      </w:tr>
      <w:tr>
        <w:tc>
          <w:tcPr>
            <w:tcW w:type="dxa" w:w="1584"/>
            <w:tcMar>
              <w:top w:w="60" w:type="dxa"/>
              <w:left w:w="110" w:type="dxa"/>
              <w:bottom w:w="60" w:type="dxa"/>
              <w:right w:w="110" w:type="dxa"/>
            </w:tcMar>
          </w:tcPr>
          <w:p>
            <w:pPr>
              <w:spacing w:after="0"/>
            </w:pPr>
            <w:r>
              <w:rPr>
                <w:b w:val="0"/>
                <w:i w:val="0"/>
                <w:color w:val="16261F"/>
                <w:sz w:val="18"/>
              </w:rPr>
              <w:t>Testing</w:t>
            </w:r>
          </w:p>
        </w:tc>
        <w:tc>
          <w:tcPr>
            <w:tcW w:type="dxa" w:w="2016"/>
            <w:tcMar>
              <w:top w:w="60" w:type="dxa"/>
              <w:left w:w="110" w:type="dxa"/>
              <w:bottom w:w="60" w:type="dxa"/>
              <w:right w:w="110" w:type="dxa"/>
            </w:tcMar>
          </w:tcPr>
          <w:p>
            <w:pPr>
              <w:spacing w:after="0"/>
            </w:pPr>
            <w:r>
              <w:rPr>
                <w:b w:val="0"/>
                <w:i w:val="0"/>
                <w:color w:val="16261F"/>
                <w:sz w:val="18"/>
              </w:rPr>
              <w:t>Litmus or Email on Acid</w:t>
            </w:r>
          </w:p>
        </w:tc>
        <w:tc>
          <w:tcPr>
            <w:tcW w:type="dxa" w:w="5760"/>
            <w:tcMar>
              <w:top w:w="60" w:type="dxa"/>
              <w:left w:w="110" w:type="dxa"/>
              <w:bottom w:w="60" w:type="dxa"/>
              <w:right w:w="110" w:type="dxa"/>
            </w:tcMar>
          </w:tcPr>
          <w:p>
            <w:pPr>
              <w:spacing w:after="0"/>
            </w:pPr>
            <w:r>
              <w:rPr>
                <w:b w:val="0"/>
                <w:i w:val="0"/>
                <w:color w:val="16261F"/>
                <w:sz w:val="18"/>
              </w:rPr>
              <w:t>NFR-CMP-005 requires verified rendering across Outlook, Gmail and Apple Mail. Manual checking does not scale to six templates across dozens of brands.</w:t>
            </w:r>
          </w:p>
        </w:tc>
      </w:tr>
    </w:tbl>
    <w:p>
      <w:pPr>
        <w:pBdr>
          <w:left w:val="single" w:sz="18" w:space="10" w:color="2D6A6A"/>
        </w:pBdr>
        <w:shd w:val="clear" w:color="auto" w:fill="EDF1EE"/>
        <w:spacing w:before="160" w:after="180"/>
        <w:ind w:left="173"/>
      </w:pPr>
      <w:r>
        <w:rPr>
          <w:b/>
          <w:color w:val="2D6A6A"/>
          <w:sz w:val="17"/>
        </w:rPr>
        <w:t xml:space="preserve">DELIVERABILITY IS A PROJECT RISK, NOT A LIBRARY CHOICE  </w:t>
      </w:r>
      <w:r>
        <w:rPr>
          <w:color w:val="16261F"/>
          <w:sz w:val="20"/>
        </w:rPr>
        <w:t>Risk R-08 in NFR-001 is that invoice emails land in spam and collection silently stalls. Sender authentication records must be configured on each brand's sending domain (DEP-06), and bounce and complaint rates must be monitored as business metrics per NFR-OBS-011. No email library fixes a missing DNS record.</w:t>
      </w:r>
    </w:p>
    <w:p>
      <w:r>
        <w:br w:type="page"/>
      </w:r>
    </w:p>
    <w:p>
      <w:pPr>
        <w:pStyle w:val="Heading1"/>
      </w:pPr>
      <w:r>
        <w:t>9. Infrastructure and hosting</w:t>
      </w:r>
    </w:p>
    <w:p>
      <w:pPr>
        <w:pStyle w:val="Heading2"/>
      </w:pPr>
      <w:r>
        <w:t>9.1 Two viable paths</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3120"/>
        <w:gridCol w:w="3120"/>
        <w:gridCol w:w="3120"/>
      </w:tblGrid>
      <w:tr>
        <w:trPr>
          <w:tblHeader w:val="true"/>
        </w:trPr>
        <w:tc>
          <w:tcPr>
            <w:tcW w:type="dxa" w:w="1944"/>
            <w:shd w:val="clear" w:color="auto" w:fill="16261F"/>
            <w:tcMar>
              <w:top w:w="70" w:type="dxa"/>
              <w:left w:w="110" w:type="dxa"/>
              <w:bottom w:w="70" w:type="dxa"/>
              <w:right w:w="110" w:type="dxa"/>
            </w:tcMar>
          </w:tcPr>
          <w:p>
            <w:pPr>
              <w:spacing w:after="0"/>
            </w:pPr>
            <w:r>
              <w:rPr>
                <w:rFonts w:ascii="Calibri" w:hAnsi="Calibri"/>
                <w:b/>
                <w:color w:val="FFFFFF"/>
                <w:sz w:val="17"/>
              </w:rPr>
            </w:r>
          </w:p>
        </w:tc>
        <w:tc>
          <w:tcPr>
            <w:tcW w:type="dxa" w:w="3672"/>
            <w:shd w:val="clear" w:color="auto" w:fill="16261F"/>
            <w:tcMar>
              <w:top w:w="70" w:type="dxa"/>
              <w:left w:w="110" w:type="dxa"/>
              <w:bottom w:w="70" w:type="dxa"/>
              <w:right w:w="110" w:type="dxa"/>
            </w:tcMar>
          </w:tcPr>
          <w:p>
            <w:pPr>
              <w:spacing w:after="0"/>
            </w:pPr>
            <w:r>
              <w:rPr>
                <w:rFonts w:ascii="Calibri" w:hAnsi="Calibri"/>
                <w:b/>
                <w:color w:val="FFFFFF"/>
                <w:sz w:val="17"/>
              </w:rPr>
              <w:t>Path A — Railway or Render</w:t>
            </w:r>
          </w:p>
        </w:tc>
        <w:tc>
          <w:tcPr>
            <w:tcW w:type="dxa" w:w="3744"/>
            <w:shd w:val="clear" w:color="auto" w:fill="16261F"/>
            <w:tcMar>
              <w:top w:w="70" w:type="dxa"/>
              <w:left w:w="110" w:type="dxa"/>
              <w:bottom w:w="70" w:type="dxa"/>
              <w:right w:w="110" w:type="dxa"/>
            </w:tcMar>
          </w:tcPr>
          <w:p>
            <w:pPr>
              <w:spacing w:after="0"/>
            </w:pPr>
            <w:r>
              <w:rPr>
                <w:rFonts w:ascii="Calibri" w:hAnsi="Calibri"/>
                <w:b/>
                <w:color w:val="FFFFFF"/>
                <w:sz w:val="17"/>
              </w:rPr>
              <w:t>Path B — AWS ECS Fargate</w:t>
            </w:r>
          </w:p>
        </w:tc>
      </w:tr>
      <w:tr>
        <w:tc>
          <w:tcPr>
            <w:tcW w:type="dxa" w:w="1944"/>
            <w:tcMar>
              <w:top w:w="60" w:type="dxa"/>
              <w:left w:w="110" w:type="dxa"/>
              <w:bottom w:w="60" w:type="dxa"/>
              <w:right w:w="110" w:type="dxa"/>
            </w:tcMar>
          </w:tcPr>
          <w:p>
            <w:pPr>
              <w:spacing w:after="0"/>
            </w:pPr>
            <w:r>
              <w:rPr>
                <w:b w:val="0"/>
                <w:i w:val="0"/>
                <w:color w:val="16261F"/>
                <w:sz w:val="18"/>
              </w:rPr>
              <w:t>Best for</w:t>
            </w:r>
          </w:p>
        </w:tc>
        <w:tc>
          <w:tcPr>
            <w:tcW w:type="dxa" w:w="3672"/>
            <w:tcMar>
              <w:top w:w="60" w:type="dxa"/>
              <w:left w:w="110" w:type="dxa"/>
              <w:bottom w:w="60" w:type="dxa"/>
              <w:right w:w="110" w:type="dxa"/>
            </w:tcMar>
          </w:tcPr>
          <w:p>
            <w:pPr>
              <w:spacing w:after="0"/>
            </w:pPr>
            <w:r>
              <w:rPr>
                <w:b w:val="0"/>
                <w:i w:val="0"/>
                <w:color w:val="16261F"/>
                <w:sz w:val="18"/>
              </w:rPr>
              <w:t>MVP and first 6–12 months</w:t>
            </w:r>
          </w:p>
        </w:tc>
        <w:tc>
          <w:tcPr>
            <w:tcW w:type="dxa" w:w="3744"/>
            <w:tcMar>
              <w:top w:w="60" w:type="dxa"/>
              <w:left w:w="110" w:type="dxa"/>
              <w:bottom w:w="60" w:type="dxa"/>
              <w:right w:w="110" w:type="dxa"/>
            </w:tcMar>
          </w:tcPr>
          <w:p>
            <w:pPr>
              <w:spacing w:after="0"/>
            </w:pPr>
            <w:r>
              <w:rPr>
                <w:b w:val="0"/>
                <w:i w:val="0"/>
                <w:color w:val="16261F"/>
                <w:sz w:val="18"/>
              </w:rPr>
              <w:t>Scale, compliance maturity, enterprise expectation</w:t>
            </w:r>
          </w:p>
        </w:tc>
      </w:tr>
      <w:tr>
        <w:tc>
          <w:tcPr>
            <w:tcW w:type="dxa" w:w="1944"/>
            <w:tcMar>
              <w:top w:w="60" w:type="dxa"/>
              <w:left w:w="110" w:type="dxa"/>
              <w:bottom w:w="60" w:type="dxa"/>
              <w:right w:w="110" w:type="dxa"/>
            </w:tcMar>
            <w:shd w:val="clear" w:color="auto" w:fill="F5F7F5"/>
          </w:tcPr>
          <w:p>
            <w:pPr>
              <w:spacing w:after="0"/>
            </w:pPr>
            <w:r>
              <w:rPr>
                <w:b w:val="0"/>
                <w:i w:val="0"/>
                <w:color w:val="16261F"/>
                <w:sz w:val="18"/>
              </w:rPr>
              <w:t>Setup effort</w:t>
            </w:r>
          </w:p>
        </w:tc>
        <w:tc>
          <w:tcPr>
            <w:tcW w:type="dxa" w:w="3672"/>
            <w:tcMar>
              <w:top w:w="60" w:type="dxa"/>
              <w:left w:w="110" w:type="dxa"/>
              <w:bottom w:w="60" w:type="dxa"/>
              <w:right w:w="110" w:type="dxa"/>
            </w:tcMar>
            <w:shd w:val="clear" w:color="auto" w:fill="F5F7F5"/>
          </w:tcPr>
          <w:p>
            <w:pPr>
              <w:spacing w:after="0"/>
            </w:pPr>
            <w:r>
              <w:rPr>
                <w:b w:val="0"/>
                <w:i w:val="0"/>
                <w:color w:val="16261F"/>
                <w:sz w:val="18"/>
              </w:rPr>
              <w:t>Days</w:t>
            </w:r>
          </w:p>
        </w:tc>
        <w:tc>
          <w:tcPr>
            <w:tcW w:type="dxa" w:w="3744"/>
            <w:tcMar>
              <w:top w:w="60" w:type="dxa"/>
              <w:left w:w="110" w:type="dxa"/>
              <w:bottom w:w="60" w:type="dxa"/>
              <w:right w:w="110" w:type="dxa"/>
            </w:tcMar>
            <w:shd w:val="clear" w:color="auto" w:fill="F5F7F5"/>
          </w:tcPr>
          <w:p>
            <w:pPr>
              <w:spacing w:after="0"/>
            </w:pPr>
            <w:r>
              <w:rPr>
                <w:b w:val="0"/>
                <w:i w:val="0"/>
                <w:color w:val="16261F"/>
                <w:sz w:val="18"/>
              </w:rPr>
              <w:t>Weeks</w:t>
            </w:r>
          </w:p>
        </w:tc>
      </w:tr>
      <w:tr>
        <w:tc>
          <w:tcPr>
            <w:tcW w:type="dxa" w:w="1944"/>
            <w:tcMar>
              <w:top w:w="60" w:type="dxa"/>
              <w:left w:w="110" w:type="dxa"/>
              <w:bottom w:w="60" w:type="dxa"/>
              <w:right w:w="110" w:type="dxa"/>
            </w:tcMar>
          </w:tcPr>
          <w:p>
            <w:pPr>
              <w:spacing w:after="0"/>
            </w:pPr>
            <w:r>
              <w:rPr>
                <w:b w:val="0"/>
                <w:i w:val="0"/>
                <w:color w:val="16261F"/>
                <w:sz w:val="18"/>
              </w:rPr>
              <w:t>Operational burden</w:t>
            </w:r>
          </w:p>
        </w:tc>
        <w:tc>
          <w:tcPr>
            <w:tcW w:type="dxa" w:w="3672"/>
            <w:tcMar>
              <w:top w:w="60" w:type="dxa"/>
              <w:left w:w="110" w:type="dxa"/>
              <w:bottom w:w="60" w:type="dxa"/>
              <w:right w:w="110" w:type="dxa"/>
            </w:tcMar>
          </w:tcPr>
          <w:p>
            <w:pPr>
              <w:spacing w:after="0"/>
            </w:pPr>
            <w:r>
              <w:rPr>
                <w:b w:val="0"/>
                <w:i w:val="0"/>
                <w:color w:val="16261F"/>
                <w:sz w:val="18"/>
              </w:rPr>
              <w:t>Low</w:t>
            </w:r>
          </w:p>
        </w:tc>
        <w:tc>
          <w:tcPr>
            <w:tcW w:type="dxa" w:w="3744"/>
            <w:tcMar>
              <w:top w:w="60" w:type="dxa"/>
              <w:left w:w="110" w:type="dxa"/>
              <w:bottom w:w="60" w:type="dxa"/>
              <w:right w:w="110" w:type="dxa"/>
            </w:tcMar>
          </w:tcPr>
          <w:p>
            <w:pPr>
              <w:spacing w:after="0"/>
            </w:pPr>
            <w:r>
              <w:rPr>
                <w:b w:val="0"/>
                <w:i w:val="0"/>
                <w:color w:val="16261F"/>
                <w:sz w:val="18"/>
              </w:rPr>
              <w:t>Moderate; needs infrastructure capability on the team</w:t>
            </w:r>
          </w:p>
        </w:tc>
      </w:tr>
      <w:tr>
        <w:tc>
          <w:tcPr>
            <w:tcW w:type="dxa" w:w="1944"/>
            <w:tcMar>
              <w:top w:w="60" w:type="dxa"/>
              <w:left w:w="110" w:type="dxa"/>
              <w:bottom w:w="60" w:type="dxa"/>
              <w:right w:w="110" w:type="dxa"/>
            </w:tcMar>
            <w:shd w:val="clear" w:color="auto" w:fill="F5F7F5"/>
          </w:tcPr>
          <w:p>
            <w:pPr>
              <w:spacing w:after="0"/>
            </w:pPr>
            <w:r>
              <w:rPr>
                <w:b w:val="0"/>
                <w:i w:val="0"/>
                <w:color w:val="16261F"/>
                <w:sz w:val="18"/>
              </w:rPr>
              <w:t>Monthly cost at launch</w:t>
            </w:r>
          </w:p>
        </w:tc>
        <w:tc>
          <w:tcPr>
            <w:tcW w:type="dxa" w:w="3672"/>
            <w:tcMar>
              <w:top w:w="60" w:type="dxa"/>
              <w:left w:w="110" w:type="dxa"/>
              <w:bottom w:w="60" w:type="dxa"/>
              <w:right w:w="110" w:type="dxa"/>
            </w:tcMar>
            <w:shd w:val="clear" w:color="auto" w:fill="F5F7F5"/>
          </w:tcPr>
          <w:p>
            <w:pPr>
              <w:spacing w:after="0"/>
            </w:pPr>
            <w:r>
              <w:rPr>
                <w:b w:val="0"/>
                <w:i w:val="0"/>
                <w:color w:val="16261F"/>
                <w:sz w:val="18"/>
              </w:rPr>
              <w:t>300 – 600 USD</w:t>
            </w:r>
          </w:p>
        </w:tc>
        <w:tc>
          <w:tcPr>
            <w:tcW w:type="dxa" w:w="3744"/>
            <w:tcMar>
              <w:top w:w="60" w:type="dxa"/>
              <w:left w:w="110" w:type="dxa"/>
              <w:bottom w:w="60" w:type="dxa"/>
              <w:right w:w="110" w:type="dxa"/>
            </w:tcMar>
            <w:shd w:val="clear" w:color="auto" w:fill="F5F7F5"/>
          </w:tcPr>
          <w:p>
            <w:pPr>
              <w:spacing w:after="0"/>
            </w:pPr>
            <w:r>
              <w:rPr>
                <w:b w:val="0"/>
                <w:i w:val="0"/>
                <w:color w:val="16261F"/>
                <w:sz w:val="18"/>
              </w:rPr>
              <w:t>700 – 1,400 USD</w:t>
            </w:r>
          </w:p>
        </w:tc>
      </w:tr>
      <w:tr>
        <w:tc>
          <w:tcPr>
            <w:tcW w:type="dxa" w:w="1944"/>
            <w:tcMar>
              <w:top w:w="60" w:type="dxa"/>
              <w:left w:w="110" w:type="dxa"/>
              <w:bottom w:w="60" w:type="dxa"/>
              <w:right w:w="110" w:type="dxa"/>
            </w:tcMar>
          </w:tcPr>
          <w:p>
            <w:pPr>
              <w:spacing w:after="0"/>
            </w:pPr>
            <w:r>
              <w:rPr>
                <w:b w:val="0"/>
                <w:i w:val="0"/>
                <w:color w:val="16261F"/>
                <w:sz w:val="18"/>
              </w:rPr>
              <w:t>Monthly cost at Month 12</w:t>
            </w:r>
          </w:p>
        </w:tc>
        <w:tc>
          <w:tcPr>
            <w:tcW w:type="dxa" w:w="3672"/>
            <w:tcMar>
              <w:top w:w="60" w:type="dxa"/>
              <w:left w:w="110" w:type="dxa"/>
              <w:bottom w:w="60" w:type="dxa"/>
              <w:right w:w="110" w:type="dxa"/>
            </w:tcMar>
          </w:tcPr>
          <w:p>
            <w:pPr>
              <w:spacing w:after="0"/>
            </w:pPr>
            <w:r>
              <w:rPr>
                <w:b w:val="0"/>
                <w:i w:val="0"/>
                <w:color w:val="16261F"/>
                <w:sz w:val="18"/>
              </w:rPr>
              <w:t>800 – 1,500 USD</w:t>
            </w:r>
          </w:p>
        </w:tc>
        <w:tc>
          <w:tcPr>
            <w:tcW w:type="dxa" w:w="3744"/>
            <w:tcMar>
              <w:top w:w="60" w:type="dxa"/>
              <w:left w:w="110" w:type="dxa"/>
              <w:bottom w:w="60" w:type="dxa"/>
              <w:right w:w="110" w:type="dxa"/>
            </w:tcMar>
          </w:tcPr>
          <w:p>
            <w:pPr>
              <w:spacing w:after="0"/>
            </w:pPr>
            <w:r>
              <w:rPr>
                <w:b w:val="0"/>
                <w:i w:val="0"/>
                <w:color w:val="16261F"/>
                <w:sz w:val="18"/>
              </w:rPr>
              <w:t>1,500 – 3,000 USD</w:t>
            </w:r>
          </w:p>
        </w:tc>
      </w:tr>
      <w:tr>
        <w:tc>
          <w:tcPr>
            <w:tcW w:type="dxa" w:w="1944"/>
            <w:tcMar>
              <w:top w:w="60" w:type="dxa"/>
              <w:left w:w="110" w:type="dxa"/>
              <w:bottom w:w="60" w:type="dxa"/>
              <w:right w:w="110" w:type="dxa"/>
            </w:tcMar>
            <w:shd w:val="clear" w:color="auto" w:fill="F5F7F5"/>
          </w:tcPr>
          <w:p>
            <w:pPr>
              <w:spacing w:after="0"/>
            </w:pPr>
            <w:r>
              <w:rPr>
                <w:b w:val="0"/>
                <w:i w:val="0"/>
                <w:color w:val="16261F"/>
                <w:sz w:val="18"/>
              </w:rPr>
              <w:t>PCI SAQ A fit</w:t>
            </w:r>
          </w:p>
        </w:tc>
        <w:tc>
          <w:tcPr>
            <w:tcW w:type="dxa" w:w="3672"/>
            <w:tcMar>
              <w:top w:w="60" w:type="dxa"/>
              <w:left w:w="110" w:type="dxa"/>
              <w:bottom w:w="60" w:type="dxa"/>
              <w:right w:w="110" w:type="dxa"/>
            </w:tcMar>
            <w:shd w:val="clear" w:color="auto" w:fill="F5F7F5"/>
          </w:tcPr>
          <w:p>
            <w:pPr>
              <w:spacing w:after="0"/>
            </w:pPr>
            <w:r>
              <w:rPr>
                <w:b w:val="0"/>
                <w:i w:val="0"/>
                <w:color w:val="16261F"/>
                <w:sz w:val="18"/>
              </w:rPr>
              <w:t>Adequate</w:t>
            </w:r>
          </w:p>
        </w:tc>
        <w:tc>
          <w:tcPr>
            <w:tcW w:type="dxa" w:w="3744"/>
            <w:tcMar>
              <w:top w:w="60" w:type="dxa"/>
              <w:left w:w="110" w:type="dxa"/>
              <w:bottom w:w="60" w:type="dxa"/>
              <w:right w:w="110" w:type="dxa"/>
            </w:tcMar>
            <w:shd w:val="clear" w:color="auto" w:fill="F5F7F5"/>
          </w:tcPr>
          <w:p>
            <w:pPr>
              <w:spacing w:after="0"/>
            </w:pPr>
            <w:r>
              <w:rPr>
                <w:b w:val="0"/>
                <w:i w:val="0"/>
                <w:color w:val="16261F"/>
                <w:sz w:val="18"/>
              </w:rPr>
              <w:t>Adequate</w:t>
            </w:r>
          </w:p>
        </w:tc>
      </w:tr>
      <w:tr>
        <w:tc>
          <w:tcPr>
            <w:tcW w:type="dxa" w:w="1944"/>
            <w:tcMar>
              <w:top w:w="60" w:type="dxa"/>
              <w:left w:w="110" w:type="dxa"/>
              <w:bottom w:w="60" w:type="dxa"/>
              <w:right w:w="110" w:type="dxa"/>
            </w:tcMar>
          </w:tcPr>
          <w:p>
            <w:pPr>
              <w:spacing w:after="0"/>
            </w:pPr>
            <w:r>
              <w:rPr>
                <w:b w:val="0"/>
                <w:i w:val="0"/>
                <w:color w:val="16261F"/>
                <w:sz w:val="18"/>
              </w:rPr>
              <w:t>PCI SAQ D fit</w:t>
            </w:r>
          </w:p>
        </w:tc>
        <w:tc>
          <w:tcPr>
            <w:tcW w:type="dxa" w:w="3672"/>
            <w:tcMar>
              <w:top w:w="60" w:type="dxa"/>
              <w:left w:w="110" w:type="dxa"/>
              <w:bottom w:w="60" w:type="dxa"/>
              <w:right w:w="110" w:type="dxa"/>
            </w:tcMar>
          </w:tcPr>
          <w:p>
            <w:pPr>
              <w:spacing w:after="0"/>
            </w:pPr>
            <w:r>
              <w:rPr>
                <w:b/>
                <w:i w:val="0"/>
                <w:color w:val="C0473D"/>
                <w:sz w:val="18"/>
              </w:rPr>
              <w:t>Inadequate</w:t>
            </w:r>
          </w:p>
        </w:tc>
        <w:tc>
          <w:tcPr>
            <w:tcW w:type="dxa" w:w="3744"/>
            <w:tcMar>
              <w:top w:w="60" w:type="dxa"/>
              <w:left w:w="110" w:type="dxa"/>
              <w:bottom w:w="60" w:type="dxa"/>
              <w:right w:w="110" w:type="dxa"/>
            </w:tcMar>
          </w:tcPr>
          <w:p>
            <w:pPr>
              <w:spacing w:after="0"/>
            </w:pPr>
            <w:r>
              <w:rPr>
                <w:b/>
                <w:i w:val="0"/>
                <w:color w:val="1F8B5C"/>
                <w:sz w:val="18"/>
              </w:rPr>
              <w:t>Adequate with segmentation</w:t>
            </w:r>
          </w:p>
        </w:tc>
      </w:tr>
      <w:tr>
        <w:tc>
          <w:tcPr>
            <w:tcW w:type="dxa" w:w="1944"/>
            <w:tcMar>
              <w:top w:w="60" w:type="dxa"/>
              <w:left w:w="110" w:type="dxa"/>
              <w:bottom w:w="60" w:type="dxa"/>
              <w:right w:w="110" w:type="dxa"/>
            </w:tcMar>
            <w:shd w:val="clear" w:color="auto" w:fill="F5F7F5"/>
          </w:tcPr>
          <w:p>
            <w:pPr>
              <w:spacing w:after="0"/>
            </w:pPr>
            <w:r>
              <w:rPr>
                <w:b w:val="0"/>
                <w:i w:val="0"/>
                <w:color w:val="16261F"/>
                <w:sz w:val="18"/>
              </w:rPr>
              <w:t>Network isolation</w:t>
            </w:r>
          </w:p>
        </w:tc>
        <w:tc>
          <w:tcPr>
            <w:tcW w:type="dxa" w:w="3672"/>
            <w:tcMar>
              <w:top w:w="60" w:type="dxa"/>
              <w:left w:w="110" w:type="dxa"/>
              <w:bottom w:w="60" w:type="dxa"/>
              <w:right w:w="110" w:type="dxa"/>
            </w:tcMar>
            <w:shd w:val="clear" w:color="auto" w:fill="F5F7F5"/>
          </w:tcPr>
          <w:p>
            <w:pPr>
              <w:spacing w:after="0"/>
            </w:pPr>
            <w:r>
              <w:rPr>
                <w:b w:val="0"/>
                <w:i w:val="0"/>
                <w:color w:val="16261F"/>
                <w:sz w:val="18"/>
              </w:rPr>
              <w:t>Limited control</w:t>
            </w:r>
          </w:p>
        </w:tc>
        <w:tc>
          <w:tcPr>
            <w:tcW w:type="dxa" w:w="3744"/>
            <w:tcMar>
              <w:top w:w="60" w:type="dxa"/>
              <w:left w:w="110" w:type="dxa"/>
              <w:bottom w:w="60" w:type="dxa"/>
              <w:right w:w="110" w:type="dxa"/>
            </w:tcMar>
            <w:shd w:val="clear" w:color="auto" w:fill="F5F7F5"/>
          </w:tcPr>
          <w:p>
            <w:pPr>
              <w:spacing w:after="0"/>
            </w:pPr>
            <w:r>
              <w:rPr>
                <w:b w:val="0"/>
                <w:i w:val="0"/>
                <w:color w:val="16261F"/>
                <w:sz w:val="18"/>
              </w:rPr>
              <w:t>Full VPC control</w:t>
            </w:r>
          </w:p>
        </w:tc>
      </w:tr>
      <w:tr>
        <w:tc>
          <w:tcPr>
            <w:tcW w:type="dxa" w:w="1944"/>
            <w:tcMar>
              <w:top w:w="60" w:type="dxa"/>
              <w:left w:w="110" w:type="dxa"/>
              <w:bottom w:w="60" w:type="dxa"/>
              <w:right w:w="110" w:type="dxa"/>
            </w:tcMar>
          </w:tcPr>
          <w:p>
            <w:pPr>
              <w:spacing w:after="0"/>
            </w:pPr>
            <w:r>
              <w:rPr>
                <w:b w:val="0"/>
                <w:i w:val="0"/>
                <w:color w:val="16261F"/>
                <w:sz w:val="18"/>
              </w:rPr>
              <w:t>Migration cost later</w:t>
            </w:r>
          </w:p>
        </w:tc>
        <w:tc>
          <w:tcPr>
            <w:tcW w:type="dxa" w:w="3672"/>
            <w:tcMar>
              <w:top w:w="60" w:type="dxa"/>
              <w:left w:w="110" w:type="dxa"/>
              <w:bottom w:w="60" w:type="dxa"/>
              <w:right w:w="110" w:type="dxa"/>
            </w:tcMar>
          </w:tcPr>
          <w:p>
            <w:pPr>
              <w:spacing w:after="0"/>
            </w:pPr>
            <w:r>
              <w:rPr>
                <w:b w:val="0"/>
                <w:i w:val="0"/>
                <w:color w:val="16261F"/>
                <w:sz w:val="18"/>
              </w:rPr>
              <w:t>Moderate — containerised, so portable</w:t>
            </w:r>
          </w:p>
        </w:tc>
        <w:tc>
          <w:tcPr>
            <w:tcW w:type="dxa" w:w="3744"/>
            <w:tcMar>
              <w:top w:w="60" w:type="dxa"/>
              <w:left w:w="110" w:type="dxa"/>
              <w:bottom w:w="60" w:type="dxa"/>
              <w:right w:w="110" w:type="dxa"/>
            </w:tcMar>
          </w:tcPr>
          <w:p>
            <w:pPr>
              <w:spacing w:after="0"/>
            </w:pPr>
            <w:r>
              <w:rPr>
                <w:b w:val="0"/>
                <w:i w:val="0"/>
                <w:color w:val="16261F"/>
                <w:sz w:val="18"/>
              </w:rPr>
              <w:t>n/a</w:t>
            </w:r>
          </w:p>
        </w:tc>
      </w:tr>
    </w:tbl>
    <w:p>
      <w:pPr>
        <w:pBdr>
          <w:left w:val="single" w:sz="18" w:space="10" w:color="C7862B"/>
        </w:pBdr>
        <w:shd w:val="clear" w:color="auto" w:fill="FBF0DF"/>
        <w:spacing w:before="160" w:after="180"/>
        <w:ind w:left="173"/>
      </w:pPr>
      <w:r>
        <w:rPr>
          <w:b/>
          <w:color w:val="C7862B"/>
          <w:sz w:val="17"/>
        </w:rPr>
        <w:t xml:space="preserve">RECOMMENDATION, AND THE CONDITION ATTACHED TO IT  </w:t>
      </w:r>
      <w:r>
        <w:rPr>
          <w:color w:val="16261F"/>
          <w:sz w:val="20"/>
        </w:rPr>
        <w:t>Start on Path A if — and only if — DEP-01 confirms hosted card fields and PCI scope stays at SAQ A. It gets the MVP live faster with less operational overhead, and containerisation keeps the migration path open. If DEP-01 lands badly and scope escalates to SAQ D, go directly to Path B: the network segmentation SAQ D requires is not achievable on a general-purpose managed platform, and discovering that after launch is an expensive migration under time pressure.</w:t>
      </w:r>
    </w:p>
    <w:p>
      <w:pPr>
        <w:pStyle w:val="Heading2"/>
      </w:pPr>
      <w:r>
        <w:t>9.2 Components</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3120"/>
        <w:gridCol w:w="3120"/>
        <w:gridCol w:w="3120"/>
      </w:tblGrid>
      <w:tr>
        <w:trPr>
          <w:tblHeader w:val="true"/>
        </w:trPr>
        <w:tc>
          <w:tcPr>
            <w:tcW w:type="dxa" w:w="2160"/>
            <w:shd w:val="clear" w:color="auto" w:fill="16261F"/>
            <w:tcMar>
              <w:top w:w="70" w:type="dxa"/>
              <w:left w:w="110" w:type="dxa"/>
              <w:bottom w:w="70" w:type="dxa"/>
              <w:right w:w="110" w:type="dxa"/>
            </w:tcMar>
          </w:tcPr>
          <w:p>
            <w:pPr>
              <w:spacing w:after="0"/>
            </w:pPr>
            <w:r>
              <w:rPr>
                <w:rFonts w:ascii="Calibri" w:hAnsi="Calibri"/>
                <w:b/>
                <w:color w:val="FFFFFF"/>
                <w:sz w:val="17"/>
              </w:rPr>
              <w:t>Component</w:t>
            </w:r>
          </w:p>
        </w:tc>
        <w:tc>
          <w:tcPr>
            <w:tcW w:type="dxa" w:w="3312"/>
            <w:shd w:val="clear" w:color="auto" w:fill="16261F"/>
            <w:tcMar>
              <w:top w:w="70" w:type="dxa"/>
              <w:left w:w="110" w:type="dxa"/>
              <w:bottom w:w="70" w:type="dxa"/>
              <w:right w:w="110" w:type="dxa"/>
            </w:tcMar>
          </w:tcPr>
          <w:p>
            <w:pPr>
              <w:spacing w:after="0"/>
            </w:pPr>
            <w:r>
              <w:rPr>
                <w:rFonts w:ascii="Calibri" w:hAnsi="Calibri"/>
                <w:b/>
                <w:color w:val="FFFFFF"/>
                <w:sz w:val="17"/>
              </w:rPr>
              <w:t>Path A</w:t>
            </w:r>
          </w:p>
        </w:tc>
        <w:tc>
          <w:tcPr>
            <w:tcW w:type="dxa" w:w="3888"/>
            <w:shd w:val="clear" w:color="auto" w:fill="16261F"/>
            <w:tcMar>
              <w:top w:w="70" w:type="dxa"/>
              <w:left w:w="110" w:type="dxa"/>
              <w:bottom w:w="70" w:type="dxa"/>
              <w:right w:w="110" w:type="dxa"/>
            </w:tcMar>
          </w:tcPr>
          <w:p>
            <w:pPr>
              <w:spacing w:after="0"/>
            </w:pPr>
            <w:r>
              <w:rPr>
                <w:rFonts w:ascii="Calibri" w:hAnsi="Calibri"/>
                <w:b/>
                <w:color w:val="FFFFFF"/>
                <w:sz w:val="17"/>
              </w:rPr>
              <w:t>Path B</w:t>
            </w:r>
          </w:p>
        </w:tc>
      </w:tr>
      <w:tr>
        <w:tc>
          <w:tcPr>
            <w:tcW w:type="dxa" w:w="2160"/>
            <w:tcMar>
              <w:top w:w="60" w:type="dxa"/>
              <w:left w:w="110" w:type="dxa"/>
              <w:bottom w:w="60" w:type="dxa"/>
              <w:right w:w="110" w:type="dxa"/>
            </w:tcMar>
          </w:tcPr>
          <w:p>
            <w:pPr>
              <w:spacing w:after="0"/>
            </w:pPr>
            <w:r>
              <w:rPr>
                <w:b w:val="0"/>
                <w:i w:val="0"/>
                <w:color w:val="16261F"/>
                <w:sz w:val="18"/>
              </w:rPr>
              <w:t>Application hosting</w:t>
            </w:r>
          </w:p>
        </w:tc>
        <w:tc>
          <w:tcPr>
            <w:tcW w:type="dxa" w:w="3312"/>
            <w:tcMar>
              <w:top w:w="60" w:type="dxa"/>
              <w:left w:w="110" w:type="dxa"/>
              <w:bottom w:w="60" w:type="dxa"/>
              <w:right w:w="110" w:type="dxa"/>
            </w:tcMar>
          </w:tcPr>
          <w:p>
            <w:pPr>
              <w:spacing w:after="0"/>
            </w:pPr>
            <w:r>
              <w:rPr>
                <w:b w:val="0"/>
                <w:i w:val="0"/>
                <w:color w:val="16261F"/>
                <w:sz w:val="18"/>
              </w:rPr>
              <w:t>Railway services</w:t>
            </w:r>
          </w:p>
        </w:tc>
        <w:tc>
          <w:tcPr>
            <w:tcW w:type="dxa" w:w="3888"/>
            <w:tcMar>
              <w:top w:w="60" w:type="dxa"/>
              <w:left w:w="110" w:type="dxa"/>
              <w:bottom w:w="60" w:type="dxa"/>
              <w:right w:w="110" w:type="dxa"/>
            </w:tcMar>
          </w:tcPr>
          <w:p>
            <w:pPr>
              <w:spacing w:after="0"/>
            </w:pPr>
            <w:r>
              <w:rPr>
                <w:b w:val="0"/>
                <w:i w:val="0"/>
                <w:color w:val="16261F"/>
                <w:sz w:val="18"/>
              </w:rPr>
              <w:t>ECS Fargate behind an Application Load Balancer</w:t>
            </w:r>
          </w:p>
        </w:tc>
      </w:tr>
      <w:tr>
        <w:tc>
          <w:tcPr>
            <w:tcW w:type="dxa" w:w="2160"/>
            <w:tcMar>
              <w:top w:w="60" w:type="dxa"/>
              <w:left w:w="110" w:type="dxa"/>
              <w:bottom w:w="60" w:type="dxa"/>
              <w:right w:w="110" w:type="dxa"/>
            </w:tcMar>
            <w:shd w:val="clear" w:color="auto" w:fill="F5F7F5"/>
          </w:tcPr>
          <w:p>
            <w:pPr>
              <w:spacing w:after="0"/>
            </w:pPr>
            <w:r>
              <w:rPr>
                <w:b w:val="0"/>
                <w:i w:val="0"/>
                <w:color w:val="16261F"/>
                <w:sz w:val="18"/>
              </w:rPr>
              <w:t>Database</w:t>
            </w:r>
          </w:p>
        </w:tc>
        <w:tc>
          <w:tcPr>
            <w:tcW w:type="dxa" w:w="3312"/>
            <w:tcMar>
              <w:top w:w="60" w:type="dxa"/>
              <w:left w:w="110" w:type="dxa"/>
              <w:bottom w:w="60" w:type="dxa"/>
              <w:right w:w="110" w:type="dxa"/>
            </w:tcMar>
            <w:shd w:val="clear" w:color="auto" w:fill="F5F7F5"/>
          </w:tcPr>
          <w:p>
            <w:pPr>
              <w:spacing w:after="0"/>
            </w:pPr>
            <w:r>
              <w:rPr>
                <w:b w:val="0"/>
                <w:i w:val="0"/>
                <w:color w:val="16261F"/>
                <w:sz w:val="18"/>
              </w:rPr>
              <w:t>Railway PostgreSQL or Neon</w:t>
            </w:r>
          </w:p>
        </w:tc>
        <w:tc>
          <w:tcPr>
            <w:tcW w:type="dxa" w:w="3888"/>
            <w:tcMar>
              <w:top w:w="60" w:type="dxa"/>
              <w:left w:w="110" w:type="dxa"/>
              <w:bottom w:w="60" w:type="dxa"/>
              <w:right w:w="110" w:type="dxa"/>
            </w:tcMar>
            <w:shd w:val="clear" w:color="auto" w:fill="F5F7F5"/>
          </w:tcPr>
          <w:p>
            <w:pPr>
              <w:spacing w:after="0"/>
            </w:pPr>
            <w:r>
              <w:rPr>
                <w:b w:val="0"/>
                <w:i w:val="0"/>
                <w:color w:val="16261F"/>
                <w:sz w:val="18"/>
              </w:rPr>
              <w:t>RDS PostgreSQL, Multi-AZ</w:t>
            </w:r>
          </w:p>
        </w:tc>
      </w:tr>
      <w:tr>
        <w:tc>
          <w:tcPr>
            <w:tcW w:type="dxa" w:w="2160"/>
            <w:tcMar>
              <w:top w:w="60" w:type="dxa"/>
              <w:left w:w="110" w:type="dxa"/>
              <w:bottom w:w="60" w:type="dxa"/>
              <w:right w:w="110" w:type="dxa"/>
            </w:tcMar>
          </w:tcPr>
          <w:p>
            <w:pPr>
              <w:spacing w:after="0"/>
            </w:pPr>
            <w:r>
              <w:rPr>
                <w:b w:val="0"/>
                <w:i w:val="0"/>
                <w:color w:val="16261F"/>
                <w:sz w:val="18"/>
              </w:rPr>
              <w:t>Redis</w:t>
            </w:r>
          </w:p>
        </w:tc>
        <w:tc>
          <w:tcPr>
            <w:tcW w:type="dxa" w:w="3312"/>
            <w:tcMar>
              <w:top w:w="60" w:type="dxa"/>
              <w:left w:w="110" w:type="dxa"/>
              <w:bottom w:w="60" w:type="dxa"/>
              <w:right w:w="110" w:type="dxa"/>
            </w:tcMar>
          </w:tcPr>
          <w:p>
            <w:pPr>
              <w:spacing w:after="0"/>
            </w:pPr>
            <w:r>
              <w:rPr>
                <w:b w:val="0"/>
                <w:i w:val="0"/>
                <w:color w:val="16261F"/>
                <w:sz w:val="18"/>
              </w:rPr>
              <w:t>Railway Redis</w:t>
            </w:r>
          </w:p>
        </w:tc>
        <w:tc>
          <w:tcPr>
            <w:tcW w:type="dxa" w:w="3888"/>
            <w:tcMar>
              <w:top w:w="60" w:type="dxa"/>
              <w:left w:w="110" w:type="dxa"/>
              <w:bottom w:w="60" w:type="dxa"/>
              <w:right w:w="110" w:type="dxa"/>
            </w:tcMar>
          </w:tcPr>
          <w:p>
            <w:pPr>
              <w:spacing w:after="0"/>
            </w:pPr>
            <w:r>
              <w:rPr>
                <w:b w:val="0"/>
                <w:i w:val="0"/>
                <w:color w:val="16261F"/>
                <w:sz w:val="18"/>
              </w:rPr>
              <w:t>ElastiCache</w:t>
            </w:r>
          </w:p>
        </w:tc>
      </w:tr>
      <w:tr>
        <w:tc>
          <w:tcPr>
            <w:tcW w:type="dxa" w:w="2160"/>
            <w:tcMar>
              <w:top w:w="60" w:type="dxa"/>
              <w:left w:w="110" w:type="dxa"/>
              <w:bottom w:w="60" w:type="dxa"/>
              <w:right w:w="110" w:type="dxa"/>
            </w:tcMar>
            <w:shd w:val="clear" w:color="auto" w:fill="F5F7F5"/>
          </w:tcPr>
          <w:p>
            <w:pPr>
              <w:spacing w:after="0"/>
            </w:pPr>
            <w:r>
              <w:rPr>
                <w:b w:val="0"/>
                <w:i w:val="0"/>
                <w:color w:val="16261F"/>
                <w:sz w:val="18"/>
              </w:rPr>
              <w:t>Object storage</w:t>
            </w:r>
          </w:p>
        </w:tc>
        <w:tc>
          <w:tcPr>
            <w:tcW w:type="dxa" w:w="3312"/>
            <w:tcMar>
              <w:top w:w="60" w:type="dxa"/>
              <w:left w:w="110" w:type="dxa"/>
              <w:bottom w:w="60" w:type="dxa"/>
              <w:right w:w="110" w:type="dxa"/>
            </w:tcMar>
            <w:shd w:val="clear" w:color="auto" w:fill="F5F7F5"/>
          </w:tcPr>
          <w:p>
            <w:pPr>
              <w:spacing w:after="0"/>
            </w:pPr>
            <w:r>
              <w:rPr>
                <w:b w:val="0"/>
                <w:i w:val="0"/>
                <w:color w:val="16261F"/>
                <w:sz w:val="18"/>
              </w:rPr>
              <w:t>Cloudflare R2</w:t>
            </w:r>
          </w:p>
        </w:tc>
        <w:tc>
          <w:tcPr>
            <w:tcW w:type="dxa" w:w="3888"/>
            <w:tcMar>
              <w:top w:w="60" w:type="dxa"/>
              <w:left w:w="110" w:type="dxa"/>
              <w:bottom w:w="60" w:type="dxa"/>
              <w:right w:w="110" w:type="dxa"/>
            </w:tcMar>
            <w:shd w:val="clear" w:color="auto" w:fill="F5F7F5"/>
          </w:tcPr>
          <w:p>
            <w:pPr>
              <w:spacing w:after="0"/>
            </w:pPr>
            <w:r>
              <w:rPr>
                <w:b w:val="0"/>
                <w:i w:val="0"/>
                <w:color w:val="16261F"/>
                <w:sz w:val="18"/>
              </w:rPr>
              <w:t>S3</w:t>
            </w:r>
          </w:p>
        </w:tc>
      </w:tr>
      <w:tr>
        <w:tc>
          <w:tcPr>
            <w:tcW w:type="dxa" w:w="2160"/>
            <w:tcMar>
              <w:top w:w="60" w:type="dxa"/>
              <w:left w:w="110" w:type="dxa"/>
              <w:bottom w:w="60" w:type="dxa"/>
              <w:right w:w="110" w:type="dxa"/>
            </w:tcMar>
          </w:tcPr>
          <w:p>
            <w:pPr>
              <w:spacing w:after="0"/>
            </w:pPr>
            <w:r>
              <w:rPr>
                <w:b w:val="0"/>
                <w:i w:val="0"/>
                <w:color w:val="16261F"/>
                <w:sz w:val="18"/>
              </w:rPr>
              <w:t>CDN and edge</w:t>
            </w:r>
          </w:p>
        </w:tc>
        <w:tc>
          <w:tcPr>
            <w:tcW w:type="dxa" w:w="3312"/>
            <w:tcMar>
              <w:top w:w="60" w:type="dxa"/>
              <w:left w:w="110" w:type="dxa"/>
              <w:bottom w:w="60" w:type="dxa"/>
              <w:right w:w="110" w:type="dxa"/>
            </w:tcMar>
          </w:tcPr>
          <w:p>
            <w:pPr>
              <w:spacing w:after="0"/>
            </w:pPr>
            <w:r>
              <w:rPr>
                <w:b w:val="0"/>
                <w:i w:val="0"/>
                <w:color w:val="16261F"/>
                <w:sz w:val="18"/>
              </w:rPr>
              <w:t>Cloudflare</w:t>
            </w:r>
          </w:p>
        </w:tc>
        <w:tc>
          <w:tcPr>
            <w:tcW w:type="dxa" w:w="3888"/>
            <w:tcMar>
              <w:top w:w="60" w:type="dxa"/>
              <w:left w:w="110" w:type="dxa"/>
              <w:bottom w:w="60" w:type="dxa"/>
              <w:right w:w="110" w:type="dxa"/>
            </w:tcMar>
          </w:tcPr>
          <w:p>
            <w:pPr>
              <w:spacing w:after="0"/>
            </w:pPr>
            <w:r>
              <w:rPr>
                <w:b w:val="0"/>
                <w:i w:val="0"/>
                <w:color w:val="16261F"/>
                <w:sz w:val="18"/>
              </w:rPr>
              <w:t>CloudFront, or Cloudflare in front</w:t>
            </w:r>
          </w:p>
        </w:tc>
      </w:tr>
      <w:tr>
        <w:tc>
          <w:tcPr>
            <w:tcW w:type="dxa" w:w="2160"/>
            <w:tcMar>
              <w:top w:w="60" w:type="dxa"/>
              <w:left w:w="110" w:type="dxa"/>
              <w:bottom w:w="60" w:type="dxa"/>
              <w:right w:w="110" w:type="dxa"/>
            </w:tcMar>
            <w:shd w:val="clear" w:color="auto" w:fill="F5F7F5"/>
          </w:tcPr>
          <w:p>
            <w:pPr>
              <w:spacing w:after="0"/>
            </w:pPr>
            <w:r>
              <w:rPr>
                <w:b w:val="0"/>
                <w:i w:val="0"/>
                <w:color w:val="16261F"/>
                <w:sz w:val="18"/>
              </w:rPr>
              <w:t>Secrets</w:t>
            </w:r>
          </w:p>
        </w:tc>
        <w:tc>
          <w:tcPr>
            <w:tcW w:type="dxa" w:w="3312"/>
            <w:tcMar>
              <w:top w:w="60" w:type="dxa"/>
              <w:left w:w="110" w:type="dxa"/>
              <w:bottom w:w="60" w:type="dxa"/>
              <w:right w:w="110" w:type="dxa"/>
            </w:tcMar>
            <w:shd w:val="clear" w:color="auto" w:fill="F5F7F5"/>
          </w:tcPr>
          <w:p>
            <w:pPr>
              <w:spacing w:after="0"/>
            </w:pPr>
            <w:r>
              <w:rPr>
                <w:b w:val="0"/>
                <w:i w:val="0"/>
                <w:color w:val="16261F"/>
                <w:sz w:val="18"/>
              </w:rPr>
              <w:t>Railway variables + Doppler</w:t>
            </w:r>
          </w:p>
        </w:tc>
        <w:tc>
          <w:tcPr>
            <w:tcW w:type="dxa" w:w="3888"/>
            <w:tcMar>
              <w:top w:w="60" w:type="dxa"/>
              <w:left w:w="110" w:type="dxa"/>
              <w:bottom w:w="60" w:type="dxa"/>
              <w:right w:w="110" w:type="dxa"/>
            </w:tcMar>
            <w:shd w:val="clear" w:color="auto" w:fill="F5F7F5"/>
          </w:tcPr>
          <w:p>
            <w:pPr>
              <w:spacing w:after="0"/>
            </w:pPr>
            <w:r>
              <w:rPr>
                <w:b w:val="0"/>
                <w:i w:val="0"/>
                <w:color w:val="16261F"/>
                <w:sz w:val="18"/>
              </w:rPr>
              <w:t>Secrets Manager + KMS</w:t>
            </w:r>
          </w:p>
        </w:tc>
      </w:tr>
      <w:tr>
        <w:tc>
          <w:tcPr>
            <w:tcW w:type="dxa" w:w="2160"/>
            <w:tcMar>
              <w:top w:w="60" w:type="dxa"/>
              <w:left w:w="110" w:type="dxa"/>
              <w:bottom w:w="60" w:type="dxa"/>
              <w:right w:w="110" w:type="dxa"/>
            </w:tcMar>
          </w:tcPr>
          <w:p>
            <w:pPr>
              <w:spacing w:after="0"/>
            </w:pPr>
            <w:r>
              <w:rPr>
                <w:b w:val="0"/>
                <w:i w:val="0"/>
                <w:color w:val="16261F"/>
                <w:sz w:val="18"/>
              </w:rPr>
              <w:t>Certificates</w:t>
            </w:r>
          </w:p>
        </w:tc>
        <w:tc>
          <w:tcPr>
            <w:tcW w:type="dxa" w:w="3312"/>
            <w:tcMar>
              <w:top w:w="60" w:type="dxa"/>
              <w:left w:w="110" w:type="dxa"/>
              <w:bottom w:w="60" w:type="dxa"/>
              <w:right w:w="110" w:type="dxa"/>
            </w:tcMar>
          </w:tcPr>
          <w:p>
            <w:pPr>
              <w:spacing w:after="0"/>
            </w:pPr>
            <w:r>
              <w:rPr>
                <w:b w:val="0"/>
                <w:i w:val="0"/>
                <w:color w:val="16261F"/>
                <w:sz w:val="18"/>
              </w:rPr>
              <w:t>Cloudflare for Platforms</w:t>
            </w:r>
          </w:p>
        </w:tc>
        <w:tc>
          <w:tcPr>
            <w:tcW w:type="dxa" w:w="3888"/>
            <w:tcMar>
              <w:top w:w="60" w:type="dxa"/>
              <w:left w:w="110" w:type="dxa"/>
              <w:bottom w:w="60" w:type="dxa"/>
              <w:right w:w="110" w:type="dxa"/>
            </w:tcMar>
          </w:tcPr>
          <w:p>
            <w:pPr>
              <w:spacing w:after="0"/>
            </w:pPr>
            <w:r>
              <w:rPr>
                <w:b w:val="0"/>
                <w:i w:val="0"/>
                <w:color w:val="16261F"/>
                <w:sz w:val="18"/>
              </w:rPr>
              <w:t>ACM, or Cloudflare for Platforms</w:t>
            </w:r>
          </w:p>
        </w:tc>
      </w:tr>
      <w:tr>
        <w:tc>
          <w:tcPr>
            <w:tcW w:type="dxa" w:w="2160"/>
            <w:tcMar>
              <w:top w:w="60" w:type="dxa"/>
              <w:left w:w="110" w:type="dxa"/>
              <w:bottom w:w="60" w:type="dxa"/>
              <w:right w:w="110" w:type="dxa"/>
            </w:tcMar>
            <w:shd w:val="clear" w:color="auto" w:fill="F5F7F5"/>
          </w:tcPr>
          <w:p>
            <w:pPr>
              <w:spacing w:after="0"/>
            </w:pPr>
            <w:r>
              <w:rPr>
                <w:b w:val="0"/>
                <w:i w:val="0"/>
                <w:color w:val="16261F"/>
                <w:sz w:val="18"/>
              </w:rPr>
              <w:t>Container registry</w:t>
            </w:r>
          </w:p>
        </w:tc>
        <w:tc>
          <w:tcPr>
            <w:tcW w:type="dxa" w:w="3312"/>
            <w:tcMar>
              <w:top w:w="60" w:type="dxa"/>
              <w:left w:w="110" w:type="dxa"/>
              <w:bottom w:w="60" w:type="dxa"/>
              <w:right w:w="110" w:type="dxa"/>
            </w:tcMar>
            <w:shd w:val="clear" w:color="auto" w:fill="F5F7F5"/>
          </w:tcPr>
          <w:p>
            <w:pPr>
              <w:spacing w:after="0"/>
            </w:pPr>
            <w:r>
              <w:rPr>
                <w:b w:val="0"/>
                <w:i w:val="0"/>
                <w:color w:val="16261F"/>
                <w:sz w:val="18"/>
              </w:rPr>
              <w:t>Railway internal</w:t>
            </w:r>
          </w:p>
        </w:tc>
        <w:tc>
          <w:tcPr>
            <w:tcW w:type="dxa" w:w="3888"/>
            <w:tcMar>
              <w:top w:w="60" w:type="dxa"/>
              <w:left w:w="110" w:type="dxa"/>
              <w:bottom w:w="60" w:type="dxa"/>
              <w:right w:w="110" w:type="dxa"/>
            </w:tcMar>
            <w:shd w:val="clear" w:color="auto" w:fill="F5F7F5"/>
          </w:tcPr>
          <w:p>
            <w:pPr>
              <w:spacing w:after="0"/>
            </w:pPr>
            <w:r>
              <w:rPr>
                <w:b w:val="0"/>
                <w:i w:val="0"/>
                <w:color w:val="16261F"/>
                <w:sz w:val="18"/>
              </w:rPr>
              <w:t>ECR</w:t>
            </w:r>
          </w:p>
        </w:tc>
      </w:tr>
    </w:tbl>
    <w:p>
      <w:pPr>
        <w:pStyle w:val="Heading2"/>
      </w:pPr>
      <w:r>
        <w:t>9.3 Custom domain provisioning</w:t>
      </w:r>
    </w:p>
    <w:p>
      <w:pPr>
        <w:spacing w:after="140"/>
      </w:pPr>
      <w:r>
        <w:rPr>
          <w:b w:val="0"/>
          <w:i w:val="0"/>
          <w:color w:val="16261F"/>
          <w:sz w:val="21"/>
        </w:rPr>
        <w:t>FR-DOM requires per-brand domains with automatic certificate issue. Cloudflare for Platforms (Custom Hostnames) handles verification, issue and renewal through an API and is the recommendation on either path. Building this against ACM plus Route 53 directly is possible but represents several weeks of work for a Phase 2 feature.</w:t>
      </w:r>
    </w:p>
    <w:p>
      <w:r>
        <w:br w:type="page"/>
      </w:r>
    </w:p>
    <w:p>
      <w:pPr>
        <w:pStyle w:val="Heading1"/>
      </w:pPr>
      <w:r>
        <w:t>10. Security and secret management</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3120"/>
        <w:gridCol w:w="3120"/>
        <w:gridCol w:w="3120"/>
      </w:tblGrid>
      <w:tr>
        <w:trPr>
          <w:tblHeader w:val="true"/>
        </w:trPr>
        <w:tc>
          <w:tcPr>
            <w:tcW w:type="dxa" w:w="2016"/>
            <w:shd w:val="clear" w:color="auto" w:fill="16261F"/>
            <w:tcMar>
              <w:top w:w="70" w:type="dxa"/>
              <w:left w:w="110" w:type="dxa"/>
              <w:bottom w:w="70" w:type="dxa"/>
              <w:right w:w="110" w:type="dxa"/>
            </w:tcMar>
          </w:tcPr>
          <w:p>
            <w:pPr>
              <w:spacing w:after="0"/>
            </w:pPr>
            <w:r>
              <w:rPr>
                <w:rFonts w:ascii="Calibri" w:hAnsi="Calibri"/>
                <w:b/>
                <w:color w:val="FFFFFF"/>
                <w:sz w:val="17"/>
              </w:rPr>
              <w:t>Concern</w:t>
            </w:r>
          </w:p>
        </w:tc>
        <w:tc>
          <w:tcPr>
            <w:tcW w:type="dxa" w:w="4608"/>
            <w:shd w:val="clear" w:color="auto" w:fill="16261F"/>
            <w:tcMar>
              <w:top w:w="70" w:type="dxa"/>
              <w:left w:w="110" w:type="dxa"/>
              <w:bottom w:w="70" w:type="dxa"/>
              <w:right w:w="110" w:type="dxa"/>
            </w:tcMar>
          </w:tcPr>
          <w:p>
            <w:pPr>
              <w:spacing w:after="0"/>
            </w:pPr>
            <w:r>
              <w:rPr>
                <w:rFonts w:ascii="Calibri" w:hAnsi="Calibri"/>
                <w:b/>
                <w:color w:val="FFFFFF"/>
                <w:sz w:val="17"/>
              </w:rPr>
              <w:t>Technology</w:t>
            </w:r>
          </w:p>
        </w:tc>
        <w:tc>
          <w:tcPr>
            <w:tcW w:type="dxa" w:w="2736"/>
            <w:shd w:val="clear" w:color="auto" w:fill="16261F"/>
            <w:tcMar>
              <w:top w:w="70" w:type="dxa"/>
              <w:left w:w="110" w:type="dxa"/>
              <w:bottom w:w="70" w:type="dxa"/>
              <w:right w:w="110" w:type="dxa"/>
            </w:tcMar>
          </w:tcPr>
          <w:p>
            <w:pPr>
              <w:spacing w:after="0"/>
            </w:pPr>
            <w:r>
              <w:rPr>
                <w:rFonts w:ascii="Calibri" w:hAnsi="Calibri"/>
                <w:b/>
                <w:color w:val="FFFFFF"/>
                <w:sz w:val="17"/>
              </w:rPr>
              <w:t>Satisfies</w:t>
            </w:r>
          </w:p>
        </w:tc>
      </w:tr>
      <w:tr>
        <w:tc>
          <w:tcPr>
            <w:tcW w:type="dxa" w:w="2016"/>
            <w:tcMar>
              <w:top w:w="60" w:type="dxa"/>
              <w:left w:w="110" w:type="dxa"/>
              <w:bottom w:w="60" w:type="dxa"/>
              <w:right w:w="110" w:type="dxa"/>
            </w:tcMar>
          </w:tcPr>
          <w:p>
            <w:pPr>
              <w:spacing w:after="0"/>
            </w:pPr>
            <w:r>
              <w:rPr>
                <w:b w:val="0"/>
                <w:i w:val="0"/>
                <w:color w:val="16261F"/>
                <w:sz w:val="18"/>
              </w:rPr>
              <w:t>Secret storage</w:t>
            </w:r>
          </w:p>
        </w:tc>
        <w:tc>
          <w:tcPr>
            <w:tcW w:type="dxa" w:w="4608"/>
            <w:tcMar>
              <w:top w:w="60" w:type="dxa"/>
              <w:left w:w="110" w:type="dxa"/>
              <w:bottom w:w="60" w:type="dxa"/>
              <w:right w:w="110" w:type="dxa"/>
            </w:tcMar>
          </w:tcPr>
          <w:p>
            <w:pPr>
              <w:spacing w:after="0"/>
            </w:pPr>
            <w:r>
              <w:rPr>
                <w:b w:val="0"/>
                <w:i w:val="0"/>
                <w:color w:val="16261F"/>
                <w:sz w:val="18"/>
              </w:rPr>
              <w:t>AWS Secrets Manager, or Doppler on Path A</w:t>
            </w:r>
          </w:p>
        </w:tc>
        <w:tc>
          <w:tcPr>
            <w:tcW w:type="dxa" w:w="2736"/>
            <w:tcMar>
              <w:top w:w="60" w:type="dxa"/>
              <w:left w:w="110" w:type="dxa"/>
              <w:bottom w:w="60" w:type="dxa"/>
              <w:right w:w="110" w:type="dxa"/>
            </w:tcMar>
          </w:tcPr>
          <w:p>
            <w:pPr>
              <w:spacing w:after="0"/>
            </w:pPr>
            <w:r>
              <w:rPr>
                <w:b w:val="0"/>
                <w:i w:val="0"/>
                <w:color w:val="16261F"/>
                <w:sz w:val="18"/>
              </w:rPr>
              <w:t>NFR-SEC-004</w:t>
            </w:r>
          </w:p>
        </w:tc>
      </w:tr>
      <w:tr>
        <w:tc>
          <w:tcPr>
            <w:tcW w:type="dxa" w:w="2016"/>
            <w:tcMar>
              <w:top w:w="60" w:type="dxa"/>
              <w:left w:w="110" w:type="dxa"/>
              <w:bottom w:w="60" w:type="dxa"/>
              <w:right w:w="110" w:type="dxa"/>
            </w:tcMar>
            <w:shd w:val="clear" w:color="auto" w:fill="F5F7F5"/>
          </w:tcPr>
          <w:p>
            <w:pPr>
              <w:spacing w:after="0"/>
            </w:pPr>
            <w:r>
              <w:rPr>
                <w:b w:val="0"/>
                <w:i w:val="0"/>
                <w:color w:val="16261F"/>
                <w:sz w:val="18"/>
              </w:rPr>
              <w:t>Encryption keys</w:t>
            </w:r>
          </w:p>
        </w:tc>
        <w:tc>
          <w:tcPr>
            <w:tcW w:type="dxa" w:w="4608"/>
            <w:tcMar>
              <w:top w:w="60" w:type="dxa"/>
              <w:left w:w="110" w:type="dxa"/>
              <w:bottom w:w="60" w:type="dxa"/>
              <w:right w:w="110" w:type="dxa"/>
            </w:tcMar>
            <w:shd w:val="clear" w:color="auto" w:fill="F5F7F5"/>
          </w:tcPr>
          <w:p>
            <w:pPr>
              <w:spacing w:after="0"/>
            </w:pPr>
            <w:r>
              <w:rPr>
                <w:b w:val="0"/>
                <w:i w:val="0"/>
                <w:color w:val="16261F"/>
                <w:sz w:val="18"/>
              </w:rPr>
              <w:t>AWS KMS with envelope encryption per brand</w:t>
            </w:r>
          </w:p>
        </w:tc>
        <w:tc>
          <w:tcPr>
            <w:tcW w:type="dxa" w:w="2736"/>
            <w:tcMar>
              <w:top w:w="60" w:type="dxa"/>
              <w:left w:w="110" w:type="dxa"/>
              <w:bottom w:w="60" w:type="dxa"/>
              <w:right w:w="110" w:type="dxa"/>
            </w:tcMar>
            <w:shd w:val="clear" w:color="auto" w:fill="F5F7F5"/>
          </w:tcPr>
          <w:p>
            <w:pPr>
              <w:spacing w:after="0"/>
            </w:pPr>
            <w:r>
              <w:rPr>
                <w:b w:val="0"/>
                <w:i w:val="0"/>
                <w:color w:val="16261F"/>
                <w:sz w:val="18"/>
              </w:rPr>
              <w:t>NFR-SEC-004, FR-GTW-004</w:t>
            </w:r>
          </w:p>
        </w:tc>
      </w:tr>
      <w:tr>
        <w:tc>
          <w:tcPr>
            <w:tcW w:type="dxa" w:w="2016"/>
            <w:tcMar>
              <w:top w:w="60" w:type="dxa"/>
              <w:left w:w="110" w:type="dxa"/>
              <w:bottom w:w="60" w:type="dxa"/>
              <w:right w:w="110" w:type="dxa"/>
            </w:tcMar>
          </w:tcPr>
          <w:p>
            <w:pPr>
              <w:spacing w:after="0"/>
            </w:pPr>
            <w:r>
              <w:rPr>
                <w:b w:val="0"/>
                <w:i w:val="0"/>
                <w:color w:val="16261F"/>
                <w:sz w:val="18"/>
              </w:rPr>
              <w:t>Password hashing</w:t>
            </w:r>
          </w:p>
        </w:tc>
        <w:tc>
          <w:tcPr>
            <w:tcW w:type="dxa" w:w="4608"/>
            <w:tcMar>
              <w:top w:w="60" w:type="dxa"/>
              <w:left w:w="110" w:type="dxa"/>
              <w:bottom w:w="60" w:type="dxa"/>
              <w:right w:w="110" w:type="dxa"/>
            </w:tcMar>
          </w:tcPr>
          <w:p>
            <w:pPr>
              <w:spacing w:after="0"/>
            </w:pPr>
            <w:r>
              <w:rPr>
                <w:b w:val="0"/>
                <w:i w:val="0"/>
                <w:color w:val="16261F"/>
                <w:sz w:val="18"/>
              </w:rPr>
              <w:t>argon2 (node binding)</w:t>
            </w:r>
          </w:p>
        </w:tc>
        <w:tc>
          <w:tcPr>
            <w:tcW w:type="dxa" w:w="2736"/>
            <w:tcMar>
              <w:top w:w="60" w:type="dxa"/>
              <w:left w:w="110" w:type="dxa"/>
              <w:bottom w:w="60" w:type="dxa"/>
              <w:right w:w="110" w:type="dxa"/>
            </w:tcMar>
          </w:tcPr>
          <w:p>
            <w:pPr>
              <w:spacing w:after="0"/>
            </w:pPr>
            <w:r>
              <w:rPr>
                <w:b w:val="0"/>
                <w:i w:val="0"/>
                <w:color w:val="16261F"/>
                <w:sz w:val="18"/>
              </w:rPr>
              <w:t>NFR-SEC-005</w:t>
            </w:r>
          </w:p>
        </w:tc>
      </w:tr>
      <w:tr>
        <w:tc>
          <w:tcPr>
            <w:tcW w:type="dxa" w:w="2016"/>
            <w:tcMar>
              <w:top w:w="60" w:type="dxa"/>
              <w:left w:w="110" w:type="dxa"/>
              <w:bottom w:w="60" w:type="dxa"/>
              <w:right w:w="110" w:type="dxa"/>
            </w:tcMar>
            <w:shd w:val="clear" w:color="auto" w:fill="F5F7F5"/>
          </w:tcPr>
          <w:p>
            <w:pPr>
              <w:spacing w:after="0"/>
            </w:pPr>
            <w:r>
              <w:rPr>
                <w:b w:val="0"/>
                <w:i w:val="0"/>
                <w:color w:val="16261F"/>
                <w:sz w:val="18"/>
              </w:rPr>
              <w:t>Secret scanning</w:t>
            </w:r>
          </w:p>
        </w:tc>
        <w:tc>
          <w:tcPr>
            <w:tcW w:type="dxa" w:w="4608"/>
            <w:tcMar>
              <w:top w:w="60" w:type="dxa"/>
              <w:left w:w="110" w:type="dxa"/>
              <w:bottom w:w="60" w:type="dxa"/>
              <w:right w:w="110" w:type="dxa"/>
            </w:tcMar>
            <w:shd w:val="clear" w:color="auto" w:fill="F5F7F5"/>
          </w:tcPr>
          <w:p>
            <w:pPr>
              <w:spacing w:after="0"/>
            </w:pPr>
            <w:r>
              <w:rPr>
                <w:b w:val="0"/>
                <w:i w:val="0"/>
                <w:color w:val="16261F"/>
                <w:sz w:val="18"/>
              </w:rPr>
              <w:t>gitleaks in pre-commit and in CI</w:t>
            </w:r>
          </w:p>
        </w:tc>
        <w:tc>
          <w:tcPr>
            <w:tcW w:type="dxa" w:w="2736"/>
            <w:tcMar>
              <w:top w:w="60" w:type="dxa"/>
              <w:left w:w="110" w:type="dxa"/>
              <w:bottom w:w="60" w:type="dxa"/>
              <w:right w:w="110" w:type="dxa"/>
            </w:tcMar>
            <w:shd w:val="clear" w:color="auto" w:fill="F5F7F5"/>
          </w:tcPr>
          <w:p>
            <w:pPr>
              <w:spacing w:after="0"/>
            </w:pPr>
            <w:r>
              <w:rPr>
                <w:b w:val="0"/>
                <w:i w:val="0"/>
                <w:color w:val="16261F"/>
                <w:sz w:val="18"/>
              </w:rPr>
              <w:t>NFR-SEC-006</w:t>
            </w:r>
          </w:p>
        </w:tc>
      </w:tr>
      <w:tr>
        <w:tc>
          <w:tcPr>
            <w:tcW w:type="dxa" w:w="2016"/>
            <w:tcMar>
              <w:top w:w="60" w:type="dxa"/>
              <w:left w:w="110" w:type="dxa"/>
              <w:bottom w:w="60" w:type="dxa"/>
              <w:right w:w="110" w:type="dxa"/>
            </w:tcMar>
          </w:tcPr>
          <w:p>
            <w:pPr>
              <w:spacing w:after="0"/>
            </w:pPr>
            <w:r>
              <w:rPr>
                <w:b w:val="0"/>
                <w:i w:val="0"/>
                <w:color w:val="16261F"/>
                <w:sz w:val="18"/>
              </w:rPr>
              <w:t>Dependency scanning</w:t>
            </w:r>
          </w:p>
        </w:tc>
        <w:tc>
          <w:tcPr>
            <w:tcW w:type="dxa" w:w="4608"/>
            <w:tcMar>
              <w:top w:w="60" w:type="dxa"/>
              <w:left w:w="110" w:type="dxa"/>
              <w:bottom w:w="60" w:type="dxa"/>
              <w:right w:w="110" w:type="dxa"/>
            </w:tcMar>
          </w:tcPr>
          <w:p>
            <w:pPr>
              <w:spacing w:after="0"/>
            </w:pPr>
            <w:r>
              <w:rPr>
                <w:b w:val="0"/>
                <w:i w:val="0"/>
                <w:color w:val="16261F"/>
                <w:sz w:val="18"/>
              </w:rPr>
              <w:t>npm audit + Snyk or Dependabot, build-failing on critical</w:t>
            </w:r>
          </w:p>
        </w:tc>
        <w:tc>
          <w:tcPr>
            <w:tcW w:type="dxa" w:w="2736"/>
            <w:tcMar>
              <w:top w:w="60" w:type="dxa"/>
              <w:left w:w="110" w:type="dxa"/>
              <w:bottom w:w="60" w:type="dxa"/>
              <w:right w:w="110" w:type="dxa"/>
            </w:tcMar>
          </w:tcPr>
          <w:p>
            <w:pPr>
              <w:spacing w:after="0"/>
            </w:pPr>
            <w:r>
              <w:rPr>
                <w:b w:val="0"/>
                <w:i w:val="0"/>
                <w:color w:val="16261F"/>
                <w:sz w:val="18"/>
              </w:rPr>
              <w:t>NFR-SEC-040</w:t>
            </w:r>
          </w:p>
        </w:tc>
      </w:tr>
      <w:tr>
        <w:tc>
          <w:tcPr>
            <w:tcW w:type="dxa" w:w="2016"/>
            <w:tcMar>
              <w:top w:w="60" w:type="dxa"/>
              <w:left w:w="110" w:type="dxa"/>
              <w:bottom w:w="60" w:type="dxa"/>
              <w:right w:w="110" w:type="dxa"/>
            </w:tcMar>
            <w:shd w:val="clear" w:color="auto" w:fill="F5F7F5"/>
          </w:tcPr>
          <w:p>
            <w:pPr>
              <w:spacing w:after="0"/>
            </w:pPr>
            <w:r>
              <w:rPr>
                <w:b w:val="0"/>
                <w:i w:val="0"/>
                <w:color w:val="16261F"/>
                <w:sz w:val="18"/>
              </w:rPr>
              <w:t>Static analysis</w:t>
            </w:r>
          </w:p>
        </w:tc>
        <w:tc>
          <w:tcPr>
            <w:tcW w:type="dxa" w:w="4608"/>
            <w:tcMar>
              <w:top w:w="60" w:type="dxa"/>
              <w:left w:w="110" w:type="dxa"/>
              <w:bottom w:w="60" w:type="dxa"/>
              <w:right w:w="110" w:type="dxa"/>
            </w:tcMar>
            <w:shd w:val="clear" w:color="auto" w:fill="F5F7F5"/>
          </w:tcPr>
          <w:p>
            <w:pPr>
              <w:spacing w:after="0"/>
            </w:pPr>
            <w:r>
              <w:rPr>
                <w:b w:val="0"/>
                <w:i w:val="0"/>
                <w:color w:val="16261F"/>
                <w:sz w:val="18"/>
              </w:rPr>
              <w:t>ESLint with security plugin; Semgrep rules for money and authorisation</w:t>
            </w:r>
          </w:p>
        </w:tc>
        <w:tc>
          <w:tcPr>
            <w:tcW w:type="dxa" w:w="2736"/>
            <w:tcMar>
              <w:top w:w="60" w:type="dxa"/>
              <w:left w:w="110" w:type="dxa"/>
              <w:bottom w:w="60" w:type="dxa"/>
              <w:right w:w="110" w:type="dxa"/>
            </w:tcMar>
            <w:shd w:val="clear" w:color="auto" w:fill="F5F7F5"/>
          </w:tcPr>
          <w:p>
            <w:pPr>
              <w:spacing w:after="0"/>
            </w:pPr>
            <w:r>
              <w:rPr>
                <w:b w:val="0"/>
                <w:i w:val="0"/>
                <w:color w:val="16261F"/>
                <w:sz w:val="18"/>
              </w:rPr>
              <w:t>NFR-SEC-021, NFR-INT-001</w:t>
            </w:r>
          </w:p>
        </w:tc>
      </w:tr>
      <w:tr>
        <w:tc>
          <w:tcPr>
            <w:tcW w:type="dxa" w:w="2016"/>
            <w:tcMar>
              <w:top w:w="60" w:type="dxa"/>
              <w:left w:w="110" w:type="dxa"/>
              <w:bottom w:w="60" w:type="dxa"/>
              <w:right w:w="110" w:type="dxa"/>
            </w:tcMar>
          </w:tcPr>
          <w:p>
            <w:pPr>
              <w:spacing w:after="0"/>
            </w:pPr>
            <w:r>
              <w:rPr>
                <w:b w:val="0"/>
                <w:i w:val="0"/>
                <w:color w:val="16261F"/>
                <w:sz w:val="18"/>
              </w:rPr>
              <w:t>Malware scanning</w:t>
            </w:r>
          </w:p>
        </w:tc>
        <w:tc>
          <w:tcPr>
            <w:tcW w:type="dxa" w:w="4608"/>
            <w:tcMar>
              <w:top w:w="60" w:type="dxa"/>
              <w:left w:w="110" w:type="dxa"/>
              <w:bottom w:w="60" w:type="dxa"/>
              <w:right w:w="110" w:type="dxa"/>
            </w:tcMar>
          </w:tcPr>
          <w:p>
            <w:pPr>
              <w:spacing w:after="0"/>
            </w:pPr>
            <w:r>
              <w:rPr>
                <w:b w:val="0"/>
                <w:i w:val="0"/>
                <w:color w:val="16261F"/>
                <w:sz w:val="18"/>
              </w:rPr>
              <w:t>ClamAV in the upload pipeline, or a managed scanning service</w:t>
            </w:r>
          </w:p>
        </w:tc>
        <w:tc>
          <w:tcPr>
            <w:tcW w:type="dxa" w:w="2736"/>
            <w:tcMar>
              <w:top w:w="60" w:type="dxa"/>
              <w:left w:w="110" w:type="dxa"/>
              <w:bottom w:w="60" w:type="dxa"/>
              <w:right w:w="110" w:type="dxa"/>
            </w:tcMar>
          </w:tcPr>
          <w:p>
            <w:pPr>
              <w:spacing w:after="0"/>
            </w:pPr>
            <w:r>
              <w:rPr>
                <w:b w:val="0"/>
                <w:i w:val="0"/>
                <w:color w:val="16261F"/>
                <w:sz w:val="18"/>
              </w:rPr>
              <w:t>NFR-SEC-024</w:t>
            </w:r>
          </w:p>
        </w:tc>
      </w:tr>
      <w:tr>
        <w:tc>
          <w:tcPr>
            <w:tcW w:type="dxa" w:w="2016"/>
            <w:tcMar>
              <w:top w:w="60" w:type="dxa"/>
              <w:left w:w="110" w:type="dxa"/>
              <w:bottom w:w="60" w:type="dxa"/>
              <w:right w:w="110" w:type="dxa"/>
            </w:tcMar>
            <w:shd w:val="clear" w:color="auto" w:fill="F5F7F5"/>
          </w:tcPr>
          <w:p>
            <w:pPr>
              <w:spacing w:after="0"/>
            </w:pPr>
            <w:r>
              <w:rPr>
                <w:b w:val="0"/>
                <w:i w:val="0"/>
                <w:color w:val="16261F"/>
                <w:sz w:val="18"/>
              </w:rPr>
              <w:t>Web application firewall</w:t>
            </w:r>
          </w:p>
        </w:tc>
        <w:tc>
          <w:tcPr>
            <w:tcW w:type="dxa" w:w="4608"/>
            <w:tcMar>
              <w:top w:w="60" w:type="dxa"/>
              <w:left w:w="110" w:type="dxa"/>
              <w:bottom w:w="60" w:type="dxa"/>
              <w:right w:w="110" w:type="dxa"/>
            </w:tcMar>
            <w:shd w:val="clear" w:color="auto" w:fill="F5F7F5"/>
          </w:tcPr>
          <w:p>
            <w:pPr>
              <w:spacing w:after="0"/>
            </w:pPr>
            <w:r>
              <w:rPr>
                <w:b w:val="0"/>
                <w:i w:val="0"/>
                <w:color w:val="16261F"/>
                <w:sz w:val="18"/>
              </w:rPr>
              <w:t>Cloudflare WAF</w:t>
            </w:r>
          </w:p>
        </w:tc>
        <w:tc>
          <w:tcPr>
            <w:tcW w:type="dxa" w:w="2736"/>
            <w:tcMar>
              <w:top w:w="60" w:type="dxa"/>
              <w:left w:w="110" w:type="dxa"/>
              <w:bottom w:w="60" w:type="dxa"/>
              <w:right w:w="110" w:type="dxa"/>
            </w:tcMar>
            <w:shd w:val="clear" w:color="auto" w:fill="F5F7F5"/>
          </w:tcPr>
          <w:p>
            <w:pPr>
              <w:spacing w:after="0"/>
            </w:pPr>
            <w:r>
              <w:rPr>
                <w:b w:val="0"/>
                <w:i w:val="0"/>
                <w:color w:val="16261F"/>
                <w:sz w:val="18"/>
              </w:rPr>
              <w:t>NFR-SEC-030, NFR-SEC-031</w:t>
            </w:r>
          </w:p>
        </w:tc>
      </w:tr>
      <w:tr>
        <w:tc>
          <w:tcPr>
            <w:tcW w:type="dxa" w:w="2016"/>
            <w:tcMar>
              <w:top w:w="60" w:type="dxa"/>
              <w:left w:w="110" w:type="dxa"/>
              <w:bottom w:w="60" w:type="dxa"/>
              <w:right w:w="110" w:type="dxa"/>
            </w:tcMar>
          </w:tcPr>
          <w:p>
            <w:pPr>
              <w:spacing w:after="0"/>
            </w:pPr>
            <w:r>
              <w:rPr>
                <w:b w:val="0"/>
                <w:i w:val="0"/>
                <w:color w:val="16261F"/>
                <w:sz w:val="18"/>
              </w:rPr>
              <w:t>Runtime headers</w:t>
            </w:r>
          </w:p>
        </w:tc>
        <w:tc>
          <w:tcPr>
            <w:tcW w:type="dxa" w:w="4608"/>
            <w:tcMar>
              <w:top w:w="60" w:type="dxa"/>
              <w:left w:w="110" w:type="dxa"/>
              <w:bottom w:w="60" w:type="dxa"/>
              <w:right w:w="110" w:type="dxa"/>
            </w:tcMar>
          </w:tcPr>
          <w:p>
            <w:pPr>
              <w:spacing w:after="0"/>
            </w:pPr>
            <w:r>
              <w:rPr>
                <w:b w:val="0"/>
                <w:i w:val="0"/>
                <w:color w:val="16261F"/>
                <w:sz w:val="18"/>
              </w:rPr>
              <w:t>helmet, with a bespoke strict CSP on the payment app</w:t>
            </w:r>
          </w:p>
        </w:tc>
        <w:tc>
          <w:tcPr>
            <w:tcW w:type="dxa" w:w="2736"/>
            <w:tcMar>
              <w:top w:w="60" w:type="dxa"/>
              <w:left w:w="110" w:type="dxa"/>
              <w:bottom w:w="60" w:type="dxa"/>
              <w:right w:w="110" w:type="dxa"/>
            </w:tcMar>
          </w:tcPr>
          <w:p>
            <w:pPr>
              <w:spacing w:after="0"/>
            </w:pPr>
            <w:r>
              <w:rPr>
                <w:b w:val="0"/>
                <w:i w:val="0"/>
                <w:color w:val="16261F"/>
                <w:sz w:val="18"/>
              </w:rPr>
              <w:t>NFR-SEC-022, NFR-SEC-033</w:t>
            </w:r>
          </w:p>
        </w:tc>
      </w:tr>
      <w:tr>
        <w:tc>
          <w:tcPr>
            <w:tcW w:type="dxa" w:w="2016"/>
            <w:tcMar>
              <w:top w:w="60" w:type="dxa"/>
              <w:left w:w="110" w:type="dxa"/>
              <w:bottom w:w="60" w:type="dxa"/>
              <w:right w:w="110" w:type="dxa"/>
            </w:tcMar>
            <w:shd w:val="clear" w:color="auto" w:fill="F5F7F5"/>
          </w:tcPr>
          <w:p>
            <w:pPr>
              <w:spacing w:after="0"/>
            </w:pPr>
            <w:r>
              <w:rPr>
                <w:b w:val="0"/>
                <w:i w:val="0"/>
                <w:color w:val="16261F"/>
                <w:sz w:val="18"/>
              </w:rPr>
              <w:t>Penetration testing</w:t>
            </w:r>
          </w:p>
        </w:tc>
        <w:tc>
          <w:tcPr>
            <w:tcW w:type="dxa" w:w="4608"/>
            <w:tcMar>
              <w:top w:w="60" w:type="dxa"/>
              <w:left w:w="110" w:type="dxa"/>
              <w:bottom w:w="60" w:type="dxa"/>
              <w:right w:w="110" w:type="dxa"/>
            </w:tcMar>
            <w:shd w:val="clear" w:color="auto" w:fill="F5F7F5"/>
          </w:tcPr>
          <w:p>
            <w:pPr>
              <w:spacing w:after="0"/>
            </w:pPr>
            <w:r>
              <w:rPr>
                <w:b w:val="0"/>
                <w:i w:val="0"/>
                <w:color w:val="16261F"/>
                <w:sz w:val="18"/>
              </w:rPr>
              <w:t>External specialist, annually and pre-launch</w:t>
            </w:r>
          </w:p>
        </w:tc>
        <w:tc>
          <w:tcPr>
            <w:tcW w:type="dxa" w:w="2736"/>
            <w:tcMar>
              <w:top w:w="60" w:type="dxa"/>
              <w:left w:w="110" w:type="dxa"/>
              <w:bottom w:w="60" w:type="dxa"/>
              <w:right w:w="110" w:type="dxa"/>
            </w:tcMar>
            <w:shd w:val="clear" w:color="auto" w:fill="F5F7F5"/>
          </w:tcPr>
          <w:p>
            <w:pPr>
              <w:spacing w:after="0"/>
            </w:pPr>
            <w:r>
              <w:rPr>
                <w:b w:val="0"/>
                <w:i w:val="0"/>
                <w:color w:val="16261F"/>
                <w:sz w:val="18"/>
              </w:rPr>
              <w:t>NFR-SEC-042</w:t>
            </w:r>
          </w:p>
        </w:tc>
      </w:tr>
    </w:tbl>
    <w:p>
      <w:pPr>
        <w:pBdr>
          <w:left w:val="single" w:sz="18" w:space="10" w:color="2D6A6A"/>
        </w:pBdr>
        <w:shd w:val="clear" w:color="auto" w:fill="EDF1EE"/>
        <w:spacing w:before="160" w:after="180"/>
        <w:ind w:left="173"/>
      </w:pPr>
      <w:r>
        <w:rPr>
          <w:b/>
          <w:color w:val="2D6A6A"/>
          <w:sz w:val="17"/>
        </w:rPr>
        <w:t xml:space="preserve">TWO CUSTOM LINT RULES WORTH WRITING  </w:t>
      </w:r>
      <w:r>
        <w:rPr>
          <w:color w:val="16261F"/>
          <w:sz w:val="20"/>
        </w:rPr>
        <w:t>First — fail the build on arithmetic operators applied to any identifier matching a monetary naming pattern outside the approved money module. Second — fail the build on any route handler lacking an authorisation guard decorator. These two rules mechanically enforce the project's two most expensive failure modes, GAP-003 and GAP-001. A code review checklist will not hold that line for two years; a build failure will.</w:t>
      </w:r>
    </w:p>
    <w:p>
      <w:r>
        <w:br w:type="page"/>
      </w:r>
    </w:p>
    <w:p>
      <w:pPr>
        <w:pStyle w:val="Heading1"/>
      </w:pPr>
      <w:r>
        <w:t>11. Observability</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3120"/>
        <w:gridCol w:w="3120"/>
        <w:gridCol w:w="3120"/>
      </w:tblGrid>
      <w:tr>
        <w:trPr>
          <w:tblHeader w:val="true"/>
        </w:trPr>
        <w:tc>
          <w:tcPr>
            <w:tcW w:type="dxa" w:w="1944"/>
            <w:shd w:val="clear" w:color="auto" w:fill="16261F"/>
            <w:tcMar>
              <w:top w:w="70" w:type="dxa"/>
              <w:left w:w="110" w:type="dxa"/>
              <w:bottom w:w="70" w:type="dxa"/>
              <w:right w:w="110" w:type="dxa"/>
            </w:tcMar>
          </w:tcPr>
          <w:p>
            <w:pPr>
              <w:spacing w:after="0"/>
            </w:pPr>
            <w:r>
              <w:rPr>
                <w:rFonts w:ascii="Calibri" w:hAnsi="Calibri"/>
                <w:b/>
                <w:color w:val="FFFFFF"/>
                <w:sz w:val="17"/>
              </w:rPr>
              <w:t>Concern</w:t>
            </w:r>
          </w:p>
        </w:tc>
        <w:tc>
          <w:tcPr>
            <w:tcW w:type="dxa" w:w="2952"/>
            <w:shd w:val="clear" w:color="auto" w:fill="16261F"/>
            <w:tcMar>
              <w:top w:w="70" w:type="dxa"/>
              <w:left w:w="110" w:type="dxa"/>
              <w:bottom w:w="70" w:type="dxa"/>
              <w:right w:w="110" w:type="dxa"/>
            </w:tcMar>
          </w:tcPr>
          <w:p>
            <w:pPr>
              <w:spacing w:after="0"/>
            </w:pPr>
            <w:r>
              <w:rPr>
                <w:rFonts w:ascii="Calibri" w:hAnsi="Calibri"/>
                <w:b/>
                <w:color w:val="FFFFFF"/>
                <w:sz w:val="17"/>
              </w:rPr>
              <w:t>Technology</w:t>
            </w:r>
          </w:p>
        </w:tc>
        <w:tc>
          <w:tcPr>
            <w:tcW w:type="dxa" w:w="4464"/>
            <w:shd w:val="clear" w:color="auto" w:fill="16261F"/>
            <w:tcMar>
              <w:top w:w="70" w:type="dxa"/>
              <w:left w:w="110" w:type="dxa"/>
              <w:bottom w:w="70" w:type="dxa"/>
              <w:right w:w="110" w:type="dxa"/>
            </w:tcMar>
          </w:tcPr>
          <w:p>
            <w:pPr>
              <w:spacing w:after="0"/>
            </w:pPr>
            <w:r>
              <w:rPr>
                <w:rFonts w:ascii="Calibri" w:hAnsi="Calibri"/>
                <w:b/>
                <w:color w:val="FFFFFF"/>
                <w:sz w:val="17"/>
              </w:rPr>
              <w:t>Note</w:t>
            </w:r>
          </w:p>
        </w:tc>
      </w:tr>
      <w:tr>
        <w:tc>
          <w:tcPr>
            <w:tcW w:type="dxa" w:w="1944"/>
            <w:tcMar>
              <w:top w:w="60" w:type="dxa"/>
              <w:left w:w="110" w:type="dxa"/>
              <w:bottom w:w="60" w:type="dxa"/>
              <w:right w:w="110" w:type="dxa"/>
            </w:tcMar>
          </w:tcPr>
          <w:p>
            <w:pPr>
              <w:spacing w:after="0"/>
            </w:pPr>
            <w:r>
              <w:rPr>
                <w:b w:val="0"/>
                <w:i w:val="0"/>
                <w:color w:val="16261F"/>
                <w:sz w:val="18"/>
              </w:rPr>
              <w:t>Instrumentation</w:t>
            </w:r>
          </w:p>
        </w:tc>
        <w:tc>
          <w:tcPr>
            <w:tcW w:type="dxa" w:w="2952"/>
            <w:tcMar>
              <w:top w:w="60" w:type="dxa"/>
              <w:left w:w="110" w:type="dxa"/>
              <w:bottom w:w="60" w:type="dxa"/>
              <w:right w:w="110" w:type="dxa"/>
            </w:tcMar>
          </w:tcPr>
          <w:p>
            <w:pPr>
              <w:spacing w:after="0"/>
            </w:pPr>
            <w:r>
              <w:rPr>
                <w:b w:val="0"/>
                <w:i w:val="0"/>
                <w:color w:val="16261F"/>
                <w:sz w:val="18"/>
              </w:rPr>
              <w:t>OpenTelemetry</w:t>
            </w:r>
          </w:p>
        </w:tc>
        <w:tc>
          <w:tcPr>
            <w:tcW w:type="dxa" w:w="4464"/>
            <w:tcMar>
              <w:top w:w="60" w:type="dxa"/>
              <w:left w:w="110" w:type="dxa"/>
              <w:bottom w:w="60" w:type="dxa"/>
              <w:right w:w="110" w:type="dxa"/>
            </w:tcMar>
          </w:tcPr>
          <w:p>
            <w:pPr>
              <w:spacing w:after="0"/>
            </w:pPr>
            <w:r>
              <w:rPr>
                <w:b w:val="0"/>
                <w:i w:val="0"/>
                <w:color w:val="16261F"/>
                <w:sz w:val="18"/>
              </w:rPr>
              <w:t>Vendor-neutral. Avoids re-instrumenting if the backend changes.</w:t>
            </w:r>
          </w:p>
        </w:tc>
      </w:tr>
      <w:tr>
        <w:tc>
          <w:tcPr>
            <w:tcW w:type="dxa" w:w="1944"/>
            <w:tcMar>
              <w:top w:w="60" w:type="dxa"/>
              <w:left w:w="110" w:type="dxa"/>
              <w:bottom w:w="60" w:type="dxa"/>
              <w:right w:w="110" w:type="dxa"/>
            </w:tcMar>
            <w:shd w:val="clear" w:color="auto" w:fill="F5F7F5"/>
          </w:tcPr>
          <w:p>
            <w:pPr>
              <w:spacing w:after="0"/>
            </w:pPr>
            <w:r>
              <w:rPr>
                <w:b w:val="0"/>
                <w:i w:val="0"/>
                <w:color w:val="16261F"/>
                <w:sz w:val="18"/>
              </w:rPr>
              <w:t>Metrics and dashboards</w:t>
            </w:r>
          </w:p>
        </w:tc>
        <w:tc>
          <w:tcPr>
            <w:tcW w:type="dxa" w:w="2952"/>
            <w:tcMar>
              <w:top w:w="60" w:type="dxa"/>
              <w:left w:w="110" w:type="dxa"/>
              <w:bottom w:w="60" w:type="dxa"/>
              <w:right w:w="110" w:type="dxa"/>
            </w:tcMar>
            <w:shd w:val="clear" w:color="auto" w:fill="F5F7F5"/>
          </w:tcPr>
          <w:p>
            <w:pPr>
              <w:spacing w:after="0"/>
            </w:pPr>
            <w:r>
              <w:rPr>
                <w:b w:val="0"/>
                <w:i w:val="0"/>
                <w:color w:val="16261F"/>
                <w:sz w:val="18"/>
              </w:rPr>
              <w:t>Grafana Cloud, or Datadog</w:t>
            </w:r>
          </w:p>
        </w:tc>
        <w:tc>
          <w:tcPr>
            <w:tcW w:type="dxa" w:w="4464"/>
            <w:tcMar>
              <w:top w:w="60" w:type="dxa"/>
              <w:left w:w="110" w:type="dxa"/>
              <w:bottom w:w="60" w:type="dxa"/>
              <w:right w:w="110" w:type="dxa"/>
            </w:tcMar>
            <w:shd w:val="clear" w:color="auto" w:fill="F5F7F5"/>
          </w:tcPr>
          <w:p>
            <w:pPr>
              <w:spacing w:after="0"/>
            </w:pPr>
            <w:r>
              <w:rPr>
                <w:b w:val="0"/>
                <w:i w:val="0"/>
                <w:color w:val="16261F"/>
                <w:sz w:val="18"/>
              </w:rPr>
              <w:t>Grafana Cloud is materially cheaper; Datadog has the better out-of-box experience.</w:t>
            </w:r>
          </w:p>
        </w:tc>
      </w:tr>
      <w:tr>
        <w:tc>
          <w:tcPr>
            <w:tcW w:type="dxa" w:w="1944"/>
            <w:tcMar>
              <w:top w:w="60" w:type="dxa"/>
              <w:left w:w="110" w:type="dxa"/>
              <w:bottom w:w="60" w:type="dxa"/>
              <w:right w:w="110" w:type="dxa"/>
            </w:tcMar>
          </w:tcPr>
          <w:p>
            <w:pPr>
              <w:spacing w:after="0"/>
            </w:pPr>
            <w:r>
              <w:rPr>
                <w:b w:val="0"/>
                <w:i w:val="0"/>
                <w:color w:val="16261F"/>
                <w:sz w:val="18"/>
              </w:rPr>
              <w:t>Log aggregation</w:t>
            </w:r>
          </w:p>
        </w:tc>
        <w:tc>
          <w:tcPr>
            <w:tcW w:type="dxa" w:w="2952"/>
            <w:tcMar>
              <w:top w:w="60" w:type="dxa"/>
              <w:left w:w="110" w:type="dxa"/>
              <w:bottom w:w="60" w:type="dxa"/>
              <w:right w:w="110" w:type="dxa"/>
            </w:tcMar>
          </w:tcPr>
          <w:p>
            <w:pPr>
              <w:spacing w:after="0"/>
            </w:pPr>
            <w:r>
              <w:rPr>
                <w:b w:val="0"/>
                <w:i w:val="0"/>
                <w:color w:val="16261F"/>
                <w:sz w:val="18"/>
              </w:rPr>
              <w:t>Grafana Loki, or Datadog Logs</w:t>
            </w:r>
          </w:p>
        </w:tc>
        <w:tc>
          <w:tcPr>
            <w:tcW w:type="dxa" w:w="4464"/>
            <w:tcMar>
              <w:top w:w="60" w:type="dxa"/>
              <w:left w:w="110" w:type="dxa"/>
              <w:bottom w:w="60" w:type="dxa"/>
              <w:right w:w="110" w:type="dxa"/>
            </w:tcMar>
          </w:tcPr>
          <w:p>
            <w:pPr>
              <w:spacing w:after="0"/>
            </w:pPr>
            <w:r>
              <w:rPr>
                <w:b w:val="0"/>
                <w:i w:val="0"/>
                <w:color w:val="16261F"/>
                <w:sz w:val="18"/>
              </w:rPr>
              <w:t>Structured JSON with correlation identifiers per NFR-OBS-002.</w:t>
            </w:r>
          </w:p>
        </w:tc>
      </w:tr>
      <w:tr>
        <w:tc>
          <w:tcPr>
            <w:tcW w:type="dxa" w:w="1944"/>
            <w:tcMar>
              <w:top w:w="60" w:type="dxa"/>
              <w:left w:w="110" w:type="dxa"/>
              <w:bottom w:w="60" w:type="dxa"/>
              <w:right w:w="110" w:type="dxa"/>
            </w:tcMar>
            <w:shd w:val="clear" w:color="auto" w:fill="F5F7F5"/>
          </w:tcPr>
          <w:p>
            <w:pPr>
              <w:spacing w:after="0"/>
            </w:pPr>
            <w:r>
              <w:rPr>
                <w:b w:val="0"/>
                <w:i w:val="0"/>
                <w:color w:val="16261F"/>
                <w:sz w:val="18"/>
              </w:rPr>
              <w:t>Tracing</w:t>
            </w:r>
          </w:p>
        </w:tc>
        <w:tc>
          <w:tcPr>
            <w:tcW w:type="dxa" w:w="2952"/>
            <w:tcMar>
              <w:top w:w="60" w:type="dxa"/>
              <w:left w:w="110" w:type="dxa"/>
              <w:bottom w:w="60" w:type="dxa"/>
              <w:right w:w="110" w:type="dxa"/>
            </w:tcMar>
            <w:shd w:val="clear" w:color="auto" w:fill="F5F7F5"/>
          </w:tcPr>
          <w:p>
            <w:pPr>
              <w:spacing w:after="0"/>
            </w:pPr>
            <w:r>
              <w:rPr>
                <w:b w:val="0"/>
                <w:i w:val="0"/>
                <w:color w:val="16261F"/>
                <w:sz w:val="18"/>
              </w:rPr>
              <w:t>Grafana Tempo, or Datadog APM</w:t>
            </w:r>
          </w:p>
        </w:tc>
        <w:tc>
          <w:tcPr>
            <w:tcW w:type="dxa" w:w="4464"/>
            <w:tcMar>
              <w:top w:w="60" w:type="dxa"/>
              <w:left w:w="110" w:type="dxa"/>
              <w:bottom w:w="60" w:type="dxa"/>
              <w:right w:w="110" w:type="dxa"/>
            </w:tcMar>
            <w:shd w:val="clear" w:color="auto" w:fill="F5F7F5"/>
          </w:tcPr>
          <w:p>
            <w:pPr>
              <w:spacing w:after="0"/>
            </w:pPr>
            <w:r>
              <w:rPr>
                <w:b w:val="0"/>
                <w:i w:val="0"/>
                <w:color w:val="16261F"/>
                <w:sz w:val="18"/>
              </w:rPr>
              <w:t>Payment path traced end to end per NFR-OBS-012.</w:t>
            </w:r>
          </w:p>
        </w:tc>
      </w:tr>
      <w:tr>
        <w:tc>
          <w:tcPr>
            <w:tcW w:type="dxa" w:w="1944"/>
            <w:tcMar>
              <w:top w:w="60" w:type="dxa"/>
              <w:left w:w="110" w:type="dxa"/>
              <w:bottom w:w="60" w:type="dxa"/>
              <w:right w:w="110" w:type="dxa"/>
            </w:tcMar>
          </w:tcPr>
          <w:p>
            <w:pPr>
              <w:spacing w:after="0"/>
            </w:pPr>
            <w:r>
              <w:rPr>
                <w:b w:val="0"/>
                <w:i w:val="0"/>
                <w:color w:val="16261F"/>
                <w:sz w:val="18"/>
              </w:rPr>
              <w:t>Error tracking</w:t>
            </w:r>
          </w:p>
        </w:tc>
        <w:tc>
          <w:tcPr>
            <w:tcW w:type="dxa" w:w="2952"/>
            <w:tcMar>
              <w:top w:w="60" w:type="dxa"/>
              <w:left w:w="110" w:type="dxa"/>
              <w:bottom w:w="60" w:type="dxa"/>
              <w:right w:w="110" w:type="dxa"/>
            </w:tcMar>
          </w:tcPr>
          <w:p>
            <w:pPr>
              <w:spacing w:after="0"/>
            </w:pPr>
            <w:r>
              <w:rPr>
                <w:b w:val="0"/>
                <w:i w:val="0"/>
                <w:color w:val="16261F"/>
                <w:sz w:val="18"/>
              </w:rPr>
              <w:t>Sentry</w:t>
            </w:r>
          </w:p>
        </w:tc>
        <w:tc>
          <w:tcPr>
            <w:tcW w:type="dxa" w:w="4464"/>
            <w:tcMar>
              <w:top w:w="60" w:type="dxa"/>
              <w:left w:w="110" w:type="dxa"/>
              <w:bottom w:w="60" w:type="dxa"/>
              <w:right w:w="110" w:type="dxa"/>
            </w:tcMar>
          </w:tcPr>
          <w:p>
            <w:pPr>
              <w:spacing w:after="0"/>
            </w:pPr>
            <w:r>
              <w:rPr>
                <w:b w:val="0"/>
                <w:i w:val="0"/>
                <w:color w:val="16261F"/>
                <w:sz w:val="18"/>
              </w:rPr>
              <w:t>Deduplication and release tracking. Must be configured to scrub payment fields per NFR-OBS-003.</w:t>
            </w:r>
          </w:p>
        </w:tc>
      </w:tr>
      <w:tr>
        <w:tc>
          <w:tcPr>
            <w:tcW w:type="dxa" w:w="1944"/>
            <w:tcMar>
              <w:top w:w="60" w:type="dxa"/>
              <w:left w:w="110" w:type="dxa"/>
              <w:bottom w:w="60" w:type="dxa"/>
              <w:right w:w="110" w:type="dxa"/>
            </w:tcMar>
            <w:shd w:val="clear" w:color="auto" w:fill="F5F7F5"/>
          </w:tcPr>
          <w:p>
            <w:pPr>
              <w:spacing w:after="0"/>
            </w:pPr>
            <w:r>
              <w:rPr>
                <w:b w:val="0"/>
                <w:i w:val="0"/>
                <w:color w:val="16261F"/>
                <w:sz w:val="18"/>
              </w:rPr>
              <w:t>Uptime monitoring</w:t>
            </w:r>
          </w:p>
        </w:tc>
        <w:tc>
          <w:tcPr>
            <w:tcW w:type="dxa" w:w="2952"/>
            <w:tcMar>
              <w:top w:w="60" w:type="dxa"/>
              <w:left w:w="110" w:type="dxa"/>
              <w:bottom w:w="60" w:type="dxa"/>
              <w:right w:w="110" w:type="dxa"/>
            </w:tcMar>
            <w:shd w:val="clear" w:color="auto" w:fill="F5F7F5"/>
          </w:tcPr>
          <w:p>
            <w:pPr>
              <w:spacing w:after="0"/>
            </w:pPr>
            <w:r>
              <w:rPr>
                <w:b w:val="0"/>
                <w:i w:val="0"/>
                <w:color w:val="16261F"/>
                <w:sz w:val="18"/>
              </w:rPr>
              <w:t>Better Stack, or Checkly</w:t>
            </w:r>
          </w:p>
        </w:tc>
        <w:tc>
          <w:tcPr>
            <w:tcW w:type="dxa" w:w="4464"/>
            <w:tcMar>
              <w:top w:w="60" w:type="dxa"/>
              <w:left w:w="110" w:type="dxa"/>
              <w:bottom w:w="60" w:type="dxa"/>
              <w:right w:w="110" w:type="dxa"/>
            </w:tcMar>
            <w:shd w:val="clear" w:color="auto" w:fill="F5F7F5"/>
          </w:tcPr>
          <w:p>
            <w:pPr>
              <w:spacing w:after="0"/>
            </w:pPr>
            <w:r>
              <w:rPr>
                <w:b w:val="0"/>
                <w:i w:val="0"/>
                <w:color w:val="16261F"/>
                <w:sz w:val="18"/>
              </w:rPr>
              <w:t>External probes against payment pages specifically — not just the admin app.</w:t>
            </w:r>
          </w:p>
        </w:tc>
      </w:tr>
      <w:tr>
        <w:tc>
          <w:tcPr>
            <w:tcW w:type="dxa" w:w="1944"/>
            <w:tcMar>
              <w:top w:w="60" w:type="dxa"/>
              <w:left w:w="110" w:type="dxa"/>
              <w:bottom w:w="60" w:type="dxa"/>
              <w:right w:w="110" w:type="dxa"/>
            </w:tcMar>
          </w:tcPr>
          <w:p>
            <w:pPr>
              <w:spacing w:after="0"/>
            </w:pPr>
            <w:r>
              <w:rPr>
                <w:b w:val="0"/>
                <w:i w:val="0"/>
                <w:color w:val="16261F"/>
                <w:sz w:val="18"/>
              </w:rPr>
              <w:t>Alerting</w:t>
            </w:r>
          </w:p>
        </w:tc>
        <w:tc>
          <w:tcPr>
            <w:tcW w:type="dxa" w:w="2952"/>
            <w:tcMar>
              <w:top w:w="60" w:type="dxa"/>
              <w:left w:w="110" w:type="dxa"/>
              <w:bottom w:w="60" w:type="dxa"/>
              <w:right w:w="110" w:type="dxa"/>
            </w:tcMar>
          </w:tcPr>
          <w:p>
            <w:pPr>
              <w:spacing w:after="0"/>
            </w:pPr>
            <w:r>
              <w:rPr>
                <w:b w:val="0"/>
                <w:i w:val="0"/>
                <w:color w:val="16261F"/>
                <w:sz w:val="18"/>
              </w:rPr>
              <w:t>Grafana Alerting or Datadog Monitors into PagerDuty</w:t>
            </w:r>
          </w:p>
        </w:tc>
        <w:tc>
          <w:tcPr>
            <w:tcW w:type="dxa" w:w="4464"/>
            <w:tcMar>
              <w:top w:w="60" w:type="dxa"/>
              <w:left w:w="110" w:type="dxa"/>
              <w:bottom w:w="60" w:type="dxa"/>
              <w:right w:w="110" w:type="dxa"/>
            </w:tcMar>
          </w:tcPr>
          <w:p>
            <w:pPr>
              <w:spacing w:after="0"/>
            </w:pPr>
            <w:r>
              <w:rPr>
                <w:b w:val="0"/>
                <w:i w:val="0"/>
                <w:color w:val="16261F"/>
                <w:sz w:val="18"/>
              </w:rPr>
              <w:t>NFR-OBS-020 thresholds, each with a named owner and a runbook.</w:t>
            </w:r>
          </w:p>
        </w:tc>
      </w:tr>
    </w:tbl>
    <w:p>
      <w:pPr>
        <w:pBdr>
          <w:left w:val="single" w:sz="18" w:space="10" w:color="C0473D"/>
        </w:pBdr>
        <w:shd w:val="clear" w:color="auto" w:fill="F9E7E5"/>
        <w:spacing w:before="160" w:after="180"/>
        <w:ind w:left="173"/>
      </w:pPr>
      <w:r>
        <w:rPr>
          <w:b/>
          <w:color w:val="C0473D"/>
          <w:sz w:val="17"/>
        </w:rPr>
        <w:t xml:space="preserve">NON-NEGOTIABLE CONFIGURATION  </w:t>
      </w:r>
      <w:r>
        <w:rPr>
          <w:color w:val="16261F"/>
          <w:sz w:val="20"/>
        </w:rPr>
        <w:t>NFR-OBS-003 requires automatic redaction of card numbers, security codes, bank account numbers, passwords, tokens and API keys from logs and error payloads. Sentry and any log shipper must be configured with scrubbing rules before the first production deployment, not after the first incident review discovers a card number in a stack trace.</w:t>
      </w:r>
    </w:p>
    <w:p>
      <w:r>
        <w:br w:type="page"/>
      </w:r>
    </w:p>
    <w:p>
      <w:pPr>
        <w:pStyle w:val="Heading1"/>
      </w:pPr>
      <w:r>
        <w:t>12. Testing stack</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3120"/>
        <w:gridCol w:w="3120"/>
        <w:gridCol w:w="3120"/>
      </w:tblGrid>
      <w:tr>
        <w:trPr>
          <w:tblHeader w:val="true"/>
        </w:trPr>
        <w:tc>
          <w:tcPr>
            <w:tcW w:type="dxa" w:w="1512"/>
            <w:shd w:val="clear" w:color="auto" w:fill="16261F"/>
            <w:tcMar>
              <w:top w:w="70" w:type="dxa"/>
              <w:left w:w="110" w:type="dxa"/>
              <w:bottom w:w="70" w:type="dxa"/>
              <w:right w:w="110" w:type="dxa"/>
            </w:tcMar>
          </w:tcPr>
          <w:p>
            <w:pPr>
              <w:spacing w:after="0"/>
            </w:pPr>
            <w:r>
              <w:rPr>
                <w:rFonts w:ascii="Calibri" w:hAnsi="Calibri"/>
                <w:b/>
                <w:color w:val="FFFFFF"/>
                <w:sz w:val="17"/>
              </w:rPr>
              <w:t>Level</w:t>
            </w:r>
          </w:p>
        </w:tc>
        <w:tc>
          <w:tcPr>
            <w:tcW w:type="dxa" w:w="2664"/>
            <w:shd w:val="clear" w:color="auto" w:fill="16261F"/>
            <w:tcMar>
              <w:top w:w="70" w:type="dxa"/>
              <w:left w:w="110" w:type="dxa"/>
              <w:bottom w:w="70" w:type="dxa"/>
              <w:right w:w="110" w:type="dxa"/>
            </w:tcMar>
          </w:tcPr>
          <w:p>
            <w:pPr>
              <w:spacing w:after="0"/>
            </w:pPr>
            <w:r>
              <w:rPr>
                <w:rFonts w:ascii="Calibri" w:hAnsi="Calibri"/>
                <w:b/>
                <w:color w:val="FFFFFF"/>
                <w:sz w:val="17"/>
              </w:rPr>
              <w:t>Technology</w:t>
            </w:r>
          </w:p>
        </w:tc>
        <w:tc>
          <w:tcPr>
            <w:tcW w:type="dxa" w:w="5184"/>
            <w:shd w:val="clear" w:color="auto" w:fill="16261F"/>
            <w:tcMar>
              <w:top w:w="70" w:type="dxa"/>
              <w:left w:w="110" w:type="dxa"/>
              <w:bottom w:w="70" w:type="dxa"/>
              <w:right w:w="110" w:type="dxa"/>
            </w:tcMar>
          </w:tcPr>
          <w:p>
            <w:pPr>
              <w:spacing w:after="0"/>
            </w:pPr>
            <w:r>
              <w:rPr>
                <w:rFonts w:ascii="Calibri" w:hAnsi="Calibri"/>
                <w:b/>
                <w:color w:val="FFFFFF"/>
                <w:sz w:val="17"/>
              </w:rPr>
              <w:t>Covers</w:t>
            </w:r>
          </w:p>
        </w:tc>
      </w:tr>
      <w:tr>
        <w:tc>
          <w:tcPr>
            <w:tcW w:type="dxa" w:w="1512"/>
            <w:tcMar>
              <w:top w:w="60" w:type="dxa"/>
              <w:left w:w="110" w:type="dxa"/>
              <w:bottom w:w="60" w:type="dxa"/>
              <w:right w:w="110" w:type="dxa"/>
            </w:tcMar>
          </w:tcPr>
          <w:p>
            <w:pPr>
              <w:spacing w:after="0"/>
            </w:pPr>
            <w:r>
              <w:rPr>
                <w:b w:val="0"/>
                <w:i w:val="0"/>
                <w:color w:val="16261F"/>
                <w:sz w:val="18"/>
              </w:rPr>
              <w:t>Unit</w:t>
            </w:r>
          </w:p>
        </w:tc>
        <w:tc>
          <w:tcPr>
            <w:tcW w:type="dxa" w:w="2664"/>
            <w:tcMar>
              <w:top w:w="60" w:type="dxa"/>
              <w:left w:w="110" w:type="dxa"/>
              <w:bottom w:w="60" w:type="dxa"/>
              <w:right w:w="110" w:type="dxa"/>
            </w:tcMar>
          </w:tcPr>
          <w:p>
            <w:pPr>
              <w:spacing w:after="0"/>
            </w:pPr>
            <w:r>
              <w:rPr>
                <w:b w:val="0"/>
                <w:i w:val="0"/>
                <w:color w:val="16261F"/>
                <w:sz w:val="18"/>
              </w:rPr>
              <w:t>Vitest</w:t>
            </w:r>
          </w:p>
        </w:tc>
        <w:tc>
          <w:tcPr>
            <w:tcW w:type="dxa" w:w="5184"/>
            <w:tcMar>
              <w:top w:w="60" w:type="dxa"/>
              <w:left w:w="110" w:type="dxa"/>
              <w:bottom w:w="60" w:type="dxa"/>
              <w:right w:w="110" w:type="dxa"/>
            </w:tcMar>
          </w:tcPr>
          <w:p>
            <w:pPr>
              <w:spacing w:after="0"/>
            </w:pPr>
            <w:r>
              <w:rPr>
                <w:b w:val="0"/>
                <w:i w:val="0"/>
                <w:color w:val="16261F"/>
                <w:sz w:val="18"/>
              </w:rPr>
              <w:t>Domain logic, money arithmetic, tax and fee calculation, state transition guards. Target 90% on the calculation module per NFR-TST-001.</w:t>
            </w:r>
          </w:p>
        </w:tc>
      </w:tr>
      <w:tr>
        <w:tc>
          <w:tcPr>
            <w:tcW w:type="dxa" w:w="1512"/>
            <w:tcMar>
              <w:top w:w="60" w:type="dxa"/>
              <w:left w:w="110" w:type="dxa"/>
              <w:bottom w:w="60" w:type="dxa"/>
              <w:right w:w="110" w:type="dxa"/>
            </w:tcMar>
            <w:shd w:val="clear" w:color="auto" w:fill="F5F7F5"/>
          </w:tcPr>
          <w:p>
            <w:pPr>
              <w:spacing w:after="0"/>
            </w:pPr>
            <w:r>
              <w:rPr>
                <w:b w:val="0"/>
                <w:i w:val="0"/>
                <w:color w:val="16261F"/>
                <w:sz w:val="18"/>
              </w:rPr>
              <w:t>Integration</w:t>
            </w:r>
          </w:p>
        </w:tc>
        <w:tc>
          <w:tcPr>
            <w:tcW w:type="dxa" w:w="2664"/>
            <w:tcMar>
              <w:top w:w="60" w:type="dxa"/>
              <w:left w:w="110" w:type="dxa"/>
              <w:bottom w:w="60" w:type="dxa"/>
              <w:right w:w="110" w:type="dxa"/>
            </w:tcMar>
            <w:shd w:val="clear" w:color="auto" w:fill="F5F7F5"/>
          </w:tcPr>
          <w:p>
            <w:pPr>
              <w:spacing w:after="0"/>
            </w:pPr>
            <w:r>
              <w:rPr>
                <w:b w:val="0"/>
                <w:i w:val="0"/>
                <w:color w:val="16261F"/>
                <w:sz w:val="18"/>
              </w:rPr>
              <w:t>Vitest + Testcontainers</w:t>
            </w:r>
          </w:p>
        </w:tc>
        <w:tc>
          <w:tcPr>
            <w:tcW w:type="dxa" w:w="5184"/>
            <w:tcMar>
              <w:top w:w="60" w:type="dxa"/>
              <w:left w:w="110" w:type="dxa"/>
              <w:bottom w:w="60" w:type="dxa"/>
              <w:right w:w="110" w:type="dxa"/>
            </w:tcMar>
            <w:shd w:val="clear" w:color="auto" w:fill="F5F7F5"/>
          </w:tcPr>
          <w:p>
            <w:pPr>
              <w:spacing w:after="0"/>
            </w:pPr>
            <w:r>
              <w:rPr>
                <w:b w:val="0"/>
                <w:i w:val="0"/>
                <w:color w:val="16261F"/>
                <w:sz w:val="18"/>
              </w:rPr>
              <w:t>Repositories against a real PostgreSQL with RLS active — the only way to prove ADR-003 actually works.</w:t>
            </w:r>
          </w:p>
        </w:tc>
      </w:tr>
      <w:tr>
        <w:tc>
          <w:tcPr>
            <w:tcW w:type="dxa" w:w="1512"/>
            <w:tcMar>
              <w:top w:w="60" w:type="dxa"/>
              <w:left w:w="110" w:type="dxa"/>
              <w:bottom w:w="60" w:type="dxa"/>
              <w:right w:w="110" w:type="dxa"/>
            </w:tcMar>
          </w:tcPr>
          <w:p>
            <w:pPr>
              <w:spacing w:after="0"/>
            </w:pPr>
            <w:r>
              <w:rPr>
                <w:b w:val="0"/>
                <w:i w:val="0"/>
                <w:color w:val="16261F"/>
                <w:sz w:val="18"/>
              </w:rPr>
              <w:t>Contract</w:t>
            </w:r>
          </w:p>
        </w:tc>
        <w:tc>
          <w:tcPr>
            <w:tcW w:type="dxa" w:w="2664"/>
            <w:tcMar>
              <w:top w:w="60" w:type="dxa"/>
              <w:left w:w="110" w:type="dxa"/>
              <w:bottom w:w="60" w:type="dxa"/>
              <w:right w:w="110" w:type="dxa"/>
            </w:tcMar>
          </w:tcPr>
          <w:p>
            <w:pPr>
              <w:spacing w:after="0"/>
            </w:pPr>
            <w:r>
              <w:rPr>
                <w:b w:val="0"/>
                <w:i w:val="0"/>
                <w:color w:val="16261F"/>
                <w:sz w:val="18"/>
              </w:rPr>
              <w:t>Recorded fixtures + provider sandboxes</w:t>
            </w:r>
          </w:p>
        </w:tc>
        <w:tc>
          <w:tcPr>
            <w:tcW w:type="dxa" w:w="5184"/>
            <w:tcMar>
              <w:top w:w="60" w:type="dxa"/>
              <w:left w:w="110" w:type="dxa"/>
              <w:bottom w:w="60" w:type="dxa"/>
              <w:right w:w="110" w:type="dxa"/>
            </w:tcMar>
          </w:tcPr>
          <w:p>
            <w:pPr>
              <w:spacing w:after="0"/>
            </w:pPr>
            <w:r>
              <w:rPr>
                <w:b w:val="0"/>
                <w:i w:val="0"/>
                <w:color w:val="16261F"/>
                <w:sz w:val="18"/>
              </w:rPr>
              <w:t>Each adapter against the real provider contract per NFR-TST-002.</w:t>
            </w:r>
          </w:p>
        </w:tc>
      </w:tr>
      <w:tr>
        <w:tc>
          <w:tcPr>
            <w:tcW w:type="dxa" w:w="1512"/>
            <w:tcMar>
              <w:top w:w="60" w:type="dxa"/>
              <w:left w:w="110" w:type="dxa"/>
              <w:bottom w:w="60" w:type="dxa"/>
              <w:right w:w="110" w:type="dxa"/>
            </w:tcMar>
            <w:shd w:val="clear" w:color="auto" w:fill="F5F7F5"/>
          </w:tcPr>
          <w:p>
            <w:pPr>
              <w:spacing w:after="0"/>
            </w:pPr>
            <w:r>
              <w:rPr>
                <w:b w:val="0"/>
                <w:i w:val="0"/>
                <w:color w:val="16261F"/>
                <w:sz w:val="18"/>
              </w:rPr>
              <w:t>Authorisation</w:t>
            </w:r>
          </w:p>
        </w:tc>
        <w:tc>
          <w:tcPr>
            <w:tcW w:type="dxa" w:w="2664"/>
            <w:tcMar>
              <w:top w:w="60" w:type="dxa"/>
              <w:left w:w="110" w:type="dxa"/>
              <w:bottom w:w="60" w:type="dxa"/>
              <w:right w:w="110" w:type="dxa"/>
            </w:tcMar>
            <w:shd w:val="clear" w:color="auto" w:fill="F5F7F5"/>
          </w:tcPr>
          <w:p>
            <w:pPr>
              <w:spacing w:after="0"/>
            </w:pPr>
            <w:r>
              <w:rPr>
                <w:b w:val="0"/>
                <w:i w:val="0"/>
                <w:color w:val="16261F"/>
                <w:sz w:val="18"/>
              </w:rPr>
              <w:t>Generated matrix suite</w:t>
            </w:r>
          </w:p>
        </w:tc>
        <w:tc>
          <w:tcPr>
            <w:tcW w:type="dxa" w:w="5184"/>
            <w:tcMar>
              <w:top w:w="60" w:type="dxa"/>
              <w:left w:w="110" w:type="dxa"/>
              <w:bottom w:w="60" w:type="dxa"/>
              <w:right w:w="110" w:type="dxa"/>
            </w:tcMar>
            <w:shd w:val="clear" w:color="auto" w:fill="F5F7F5"/>
          </w:tcPr>
          <w:p>
            <w:pPr>
              <w:spacing w:after="0"/>
            </w:pPr>
            <w:r>
              <w:rPr>
                <w:b w:val="0"/>
                <w:i w:val="0"/>
                <w:color w:val="16261F"/>
                <w:sz w:val="18"/>
              </w:rPr>
              <w:t>Every role against every protected endpoint, generated from the permission matrix so a new endpoint without an entry fails the build. NFR-TST-004.</w:t>
            </w:r>
          </w:p>
        </w:tc>
      </w:tr>
      <w:tr>
        <w:tc>
          <w:tcPr>
            <w:tcW w:type="dxa" w:w="1512"/>
            <w:tcMar>
              <w:top w:w="60" w:type="dxa"/>
              <w:left w:w="110" w:type="dxa"/>
              <w:bottom w:w="60" w:type="dxa"/>
              <w:right w:w="110" w:type="dxa"/>
            </w:tcMar>
          </w:tcPr>
          <w:p>
            <w:pPr>
              <w:spacing w:after="0"/>
            </w:pPr>
            <w:r>
              <w:rPr>
                <w:b w:val="0"/>
                <w:i w:val="0"/>
                <w:color w:val="16261F"/>
                <w:sz w:val="18"/>
              </w:rPr>
              <w:t>Concurrency</w:t>
            </w:r>
          </w:p>
        </w:tc>
        <w:tc>
          <w:tcPr>
            <w:tcW w:type="dxa" w:w="2664"/>
            <w:tcMar>
              <w:top w:w="60" w:type="dxa"/>
              <w:left w:w="110" w:type="dxa"/>
              <w:bottom w:w="60" w:type="dxa"/>
              <w:right w:w="110" w:type="dxa"/>
            </w:tcMar>
          </w:tcPr>
          <w:p>
            <w:pPr>
              <w:spacing w:after="0"/>
            </w:pPr>
            <w:r>
              <w:rPr>
                <w:b w:val="0"/>
                <w:i w:val="0"/>
                <w:color w:val="16261F"/>
                <w:sz w:val="18"/>
              </w:rPr>
              <w:t>Vitest with deliberate parallel and out-of-order scenarios</w:t>
            </w:r>
          </w:p>
        </w:tc>
        <w:tc>
          <w:tcPr>
            <w:tcW w:type="dxa" w:w="5184"/>
            <w:tcMar>
              <w:top w:w="60" w:type="dxa"/>
              <w:left w:w="110" w:type="dxa"/>
              <w:bottom w:w="60" w:type="dxa"/>
              <w:right w:w="110" w:type="dxa"/>
            </w:tcMar>
          </w:tcPr>
          <w:p>
            <w:pPr>
              <w:spacing w:after="0"/>
            </w:pPr>
            <w:r>
              <w:rPr>
                <w:b w:val="0"/>
                <w:i w:val="0"/>
                <w:color w:val="16261F"/>
                <w:sz w:val="18"/>
              </w:rPr>
              <w:t>Duplicate payment submission, replayed and reordered webhooks, simultaneous invoice numbering. NFR-TST-005.</w:t>
            </w:r>
          </w:p>
        </w:tc>
      </w:tr>
      <w:tr>
        <w:tc>
          <w:tcPr>
            <w:tcW w:type="dxa" w:w="1512"/>
            <w:tcMar>
              <w:top w:w="60" w:type="dxa"/>
              <w:left w:w="110" w:type="dxa"/>
              <w:bottom w:w="60" w:type="dxa"/>
              <w:right w:w="110" w:type="dxa"/>
            </w:tcMar>
            <w:shd w:val="clear" w:color="auto" w:fill="F5F7F5"/>
          </w:tcPr>
          <w:p>
            <w:pPr>
              <w:spacing w:after="0"/>
            </w:pPr>
            <w:r>
              <w:rPr>
                <w:b w:val="0"/>
                <w:i w:val="0"/>
                <w:color w:val="16261F"/>
                <w:sz w:val="18"/>
              </w:rPr>
              <w:t>End-to-end</w:t>
            </w:r>
          </w:p>
        </w:tc>
        <w:tc>
          <w:tcPr>
            <w:tcW w:type="dxa" w:w="2664"/>
            <w:tcMar>
              <w:top w:w="60" w:type="dxa"/>
              <w:left w:w="110" w:type="dxa"/>
              <w:bottom w:w="60" w:type="dxa"/>
              <w:right w:w="110" w:type="dxa"/>
            </w:tcMar>
            <w:shd w:val="clear" w:color="auto" w:fill="F5F7F5"/>
          </w:tcPr>
          <w:p>
            <w:pPr>
              <w:spacing w:after="0"/>
            </w:pPr>
            <w:r>
              <w:rPr>
                <w:b w:val="0"/>
                <w:i w:val="0"/>
                <w:color w:val="16261F"/>
                <w:sz w:val="18"/>
              </w:rPr>
              <w:t>Playwright</w:t>
            </w:r>
          </w:p>
        </w:tc>
        <w:tc>
          <w:tcPr>
            <w:tcW w:type="dxa" w:w="5184"/>
            <w:tcMar>
              <w:top w:w="60" w:type="dxa"/>
              <w:left w:w="110" w:type="dxa"/>
              <w:bottom w:w="60" w:type="dxa"/>
              <w:right w:w="110" w:type="dxa"/>
            </w:tcMar>
            <w:shd w:val="clear" w:color="auto" w:fill="F5F7F5"/>
          </w:tcPr>
          <w:p>
            <w:pPr>
              <w:spacing w:after="0"/>
            </w:pPr>
            <w:r>
              <w:rPr>
                <w:b w:val="0"/>
                <w:i w:val="0"/>
                <w:color w:val="16261F"/>
                <w:sz w:val="18"/>
              </w:rPr>
              <w:t>Invoice creation through payment receipt; every payment method; check approval; Zoho round trip. NFR-TST-003.</w:t>
            </w:r>
          </w:p>
        </w:tc>
      </w:tr>
      <w:tr>
        <w:tc>
          <w:tcPr>
            <w:tcW w:type="dxa" w:w="1512"/>
            <w:tcMar>
              <w:top w:w="60" w:type="dxa"/>
              <w:left w:w="110" w:type="dxa"/>
              <w:bottom w:w="60" w:type="dxa"/>
              <w:right w:w="110" w:type="dxa"/>
            </w:tcMar>
          </w:tcPr>
          <w:p>
            <w:pPr>
              <w:spacing w:after="0"/>
            </w:pPr>
            <w:r>
              <w:rPr>
                <w:b w:val="0"/>
                <w:i w:val="0"/>
                <w:color w:val="16261F"/>
                <w:sz w:val="18"/>
              </w:rPr>
              <w:t>Accessibility</w:t>
            </w:r>
          </w:p>
        </w:tc>
        <w:tc>
          <w:tcPr>
            <w:tcW w:type="dxa" w:w="2664"/>
            <w:tcMar>
              <w:top w:w="60" w:type="dxa"/>
              <w:left w:w="110" w:type="dxa"/>
              <w:bottom w:w="60" w:type="dxa"/>
              <w:right w:w="110" w:type="dxa"/>
            </w:tcMar>
          </w:tcPr>
          <w:p>
            <w:pPr>
              <w:spacing w:after="0"/>
            </w:pPr>
            <w:r>
              <w:rPr>
                <w:b w:val="0"/>
                <w:i w:val="0"/>
                <w:color w:val="16261F"/>
                <w:sz w:val="18"/>
              </w:rPr>
              <w:t>axe-core in the Playwright pipeline</w:t>
            </w:r>
          </w:p>
        </w:tc>
        <w:tc>
          <w:tcPr>
            <w:tcW w:type="dxa" w:w="5184"/>
            <w:tcMar>
              <w:top w:w="60" w:type="dxa"/>
              <w:left w:w="110" w:type="dxa"/>
              <w:bottom w:w="60" w:type="dxa"/>
              <w:right w:w="110" w:type="dxa"/>
            </w:tcMar>
          </w:tcPr>
          <w:p>
            <w:pPr>
              <w:spacing w:after="0"/>
            </w:pPr>
            <w:r>
              <w:rPr>
                <w:b w:val="0"/>
                <w:i w:val="0"/>
                <w:color w:val="16261F"/>
                <w:sz w:val="18"/>
              </w:rPr>
              <w:t>All customer-facing pages per NFR-TST-006.</w:t>
            </w:r>
          </w:p>
        </w:tc>
      </w:tr>
      <w:tr>
        <w:tc>
          <w:tcPr>
            <w:tcW w:type="dxa" w:w="1512"/>
            <w:tcMar>
              <w:top w:w="60" w:type="dxa"/>
              <w:left w:w="110" w:type="dxa"/>
              <w:bottom w:w="60" w:type="dxa"/>
              <w:right w:w="110" w:type="dxa"/>
            </w:tcMar>
            <w:shd w:val="clear" w:color="auto" w:fill="F5F7F5"/>
          </w:tcPr>
          <w:p>
            <w:pPr>
              <w:spacing w:after="0"/>
            </w:pPr>
            <w:r>
              <w:rPr>
                <w:b w:val="0"/>
                <w:i w:val="0"/>
                <w:color w:val="16261F"/>
                <w:sz w:val="18"/>
              </w:rPr>
              <w:t>Load</w:t>
            </w:r>
          </w:p>
        </w:tc>
        <w:tc>
          <w:tcPr>
            <w:tcW w:type="dxa" w:w="2664"/>
            <w:tcMar>
              <w:top w:w="60" w:type="dxa"/>
              <w:left w:w="110" w:type="dxa"/>
              <w:bottom w:w="60" w:type="dxa"/>
              <w:right w:w="110" w:type="dxa"/>
            </w:tcMar>
            <w:shd w:val="clear" w:color="auto" w:fill="F5F7F5"/>
          </w:tcPr>
          <w:p>
            <w:pPr>
              <w:spacing w:after="0"/>
            </w:pPr>
            <w:r>
              <w:rPr>
                <w:b w:val="0"/>
                <w:i w:val="0"/>
                <w:color w:val="16261F"/>
                <w:sz w:val="18"/>
              </w:rPr>
              <w:t>k6</w:t>
            </w:r>
          </w:p>
        </w:tc>
        <w:tc>
          <w:tcPr>
            <w:tcW w:type="dxa" w:w="5184"/>
            <w:tcMar>
              <w:top w:w="60" w:type="dxa"/>
              <w:left w:w="110" w:type="dxa"/>
              <w:bottom w:w="60" w:type="dxa"/>
              <w:right w:w="110" w:type="dxa"/>
            </w:tcMar>
            <w:shd w:val="clear" w:color="auto" w:fill="F5F7F5"/>
          </w:tcPr>
          <w:p>
            <w:pPr>
              <w:spacing w:after="0"/>
            </w:pPr>
            <w:r>
              <w:rPr>
                <w:b w:val="0"/>
                <w:i w:val="0"/>
                <w:color w:val="16261F"/>
                <w:sz w:val="18"/>
              </w:rPr>
              <w:t>Month-12 model plus month-end burst per NFR-TST-007.</w:t>
            </w:r>
          </w:p>
        </w:tc>
      </w:tr>
      <w:tr>
        <w:tc>
          <w:tcPr>
            <w:tcW w:type="dxa" w:w="1512"/>
            <w:tcMar>
              <w:top w:w="60" w:type="dxa"/>
              <w:left w:w="110" w:type="dxa"/>
              <w:bottom w:w="60" w:type="dxa"/>
              <w:right w:w="110" w:type="dxa"/>
            </w:tcMar>
          </w:tcPr>
          <w:p>
            <w:pPr>
              <w:spacing w:after="0"/>
            </w:pPr>
            <w:r>
              <w:rPr>
                <w:b w:val="0"/>
                <w:i w:val="0"/>
                <w:color w:val="16261F"/>
                <w:sz w:val="18"/>
              </w:rPr>
              <w:t>Visual regression</w:t>
            </w:r>
          </w:p>
        </w:tc>
        <w:tc>
          <w:tcPr>
            <w:tcW w:type="dxa" w:w="2664"/>
            <w:tcMar>
              <w:top w:w="60" w:type="dxa"/>
              <w:left w:w="110" w:type="dxa"/>
              <w:bottom w:w="60" w:type="dxa"/>
              <w:right w:w="110" w:type="dxa"/>
            </w:tcMar>
          </w:tcPr>
          <w:p>
            <w:pPr>
              <w:spacing w:after="0"/>
            </w:pPr>
            <w:r>
              <w:rPr>
                <w:b w:val="0"/>
                <w:i w:val="0"/>
                <w:color w:val="16261F"/>
                <w:sz w:val="18"/>
              </w:rPr>
              <w:t>Playwright snapshots</w:t>
            </w:r>
          </w:p>
        </w:tc>
        <w:tc>
          <w:tcPr>
            <w:tcW w:type="dxa" w:w="5184"/>
            <w:tcMar>
              <w:top w:w="60" w:type="dxa"/>
              <w:left w:w="110" w:type="dxa"/>
              <w:bottom w:w="60" w:type="dxa"/>
              <w:right w:w="110" w:type="dxa"/>
            </w:tcMar>
          </w:tcPr>
          <w:p>
            <w:pPr>
              <w:spacing w:after="0"/>
            </w:pPr>
            <w:r>
              <w:rPr>
                <w:b w:val="0"/>
                <w:i w:val="0"/>
                <w:color w:val="16261F"/>
                <w:sz w:val="18"/>
              </w:rPr>
              <w:t>Payment pages across brand themes — catches contrast and layout regressions from theme changes.</w:t>
            </w:r>
          </w:p>
        </w:tc>
      </w:tr>
    </w:tbl>
    <w:p>
      <w:r>
        <w:br w:type="page"/>
      </w:r>
    </w:p>
    <w:p>
      <w:pPr>
        <w:pStyle w:val="Heading1"/>
      </w:pPr>
      <w:r>
        <w:t>13. Alternatives considered and rejected</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3120"/>
        <w:gridCol w:w="3120"/>
        <w:gridCol w:w="3120"/>
      </w:tblGrid>
      <w:tr>
        <w:trPr>
          <w:tblHeader w:val="true"/>
        </w:trPr>
        <w:tc>
          <w:tcPr>
            <w:tcW w:type="dxa" w:w="1728"/>
            <w:shd w:val="clear" w:color="auto" w:fill="16261F"/>
            <w:tcMar>
              <w:top w:w="70" w:type="dxa"/>
              <w:left w:w="110" w:type="dxa"/>
              <w:bottom w:w="70" w:type="dxa"/>
              <w:right w:w="110" w:type="dxa"/>
            </w:tcMar>
          </w:tcPr>
          <w:p>
            <w:pPr>
              <w:spacing w:after="0"/>
            </w:pPr>
            <w:r>
              <w:rPr>
                <w:rFonts w:ascii="Calibri" w:hAnsi="Calibri"/>
                <w:b/>
                <w:color w:val="FFFFFF"/>
                <w:sz w:val="16"/>
              </w:rPr>
              <w:t>Option</w:t>
            </w:r>
          </w:p>
        </w:tc>
        <w:tc>
          <w:tcPr>
            <w:tcW w:type="dxa" w:w="1728"/>
            <w:shd w:val="clear" w:color="auto" w:fill="16261F"/>
            <w:tcMar>
              <w:top w:w="70" w:type="dxa"/>
              <w:left w:w="110" w:type="dxa"/>
              <w:bottom w:w="70" w:type="dxa"/>
              <w:right w:w="110" w:type="dxa"/>
            </w:tcMar>
          </w:tcPr>
          <w:p>
            <w:pPr>
              <w:spacing w:after="0"/>
            </w:pPr>
            <w:r>
              <w:rPr>
                <w:rFonts w:ascii="Calibri" w:hAnsi="Calibri"/>
                <w:b/>
                <w:color w:val="FFFFFF"/>
                <w:sz w:val="16"/>
              </w:rPr>
              <w:t>Considered for</w:t>
            </w:r>
          </w:p>
        </w:tc>
        <w:tc>
          <w:tcPr>
            <w:tcW w:type="dxa" w:w="5904"/>
            <w:shd w:val="clear" w:color="auto" w:fill="16261F"/>
            <w:tcMar>
              <w:top w:w="70" w:type="dxa"/>
              <w:left w:w="110" w:type="dxa"/>
              <w:bottom w:w="70" w:type="dxa"/>
              <w:right w:w="110" w:type="dxa"/>
            </w:tcMar>
          </w:tcPr>
          <w:p>
            <w:pPr>
              <w:spacing w:after="0"/>
            </w:pPr>
            <w:r>
              <w:rPr>
                <w:rFonts w:ascii="Calibri" w:hAnsi="Calibri"/>
                <w:b/>
                <w:color w:val="FFFFFF"/>
                <w:sz w:val="16"/>
              </w:rPr>
              <w:t>Rejected because</w:t>
            </w:r>
          </w:p>
        </w:tc>
      </w:tr>
      <w:tr>
        <w:tc>
          <w:tcPr>
            <w:tcW w:type="dxa" w:w="1728"/>
            <w:tcMar>
              <w:top w:w="60" w:type="dxa"/>
              <w:left w:w="110" w:type="dxa"/>
              <w:bottom w:w="60" w:type="dxa"/>
              <w:right w:w="110" w:type="dxa"/>
            </w:tcMar>
          </w:tcPr>
          <w:p>
            <w:pPr>
              <w:spacing w:after="0"/>
            </w:pPr>
            <w:r>
              <w:rPr>
                <w:b w:val="0"/>
                <w:i w:val="0"/>
                <w:color w:val="16261F"/>
                <w:sz w:val="17"/>
              </w:rPr>
              <w:t>Ruby on Rails</w:t>
            </w:r>
          </w:p>
        </w:tc>
        <w:tc>
          <w:tcPr>
            <w:tcW w:type="dxa" w:w="1728"/>
            <w:tcMar>
              <w:top w:w="60" w:type="dxa"/>
              <w:left w:w="110" w:type="dxa"/>
              <w:bottom w:w="60" w:type="dxa"/>
              <w:right w:w="110" w:type="dxa"/>
            </w:tcMar>
          </w:tcPr>
          <w:p>
            <w:pPr>
              <w:spacing w:after="0"/>
            </w:pPr>
            <w:r>
              <w:rPr>
                <w:b w:val="0"/>
                <w:i w:val="0"/>
                <w:color w:val="16261F"/>
                <w:sz w:val="17"/>
              </w:rPr>
              <w:t>Backend</w:t>
            </w:r>
          </w:p>
        </w:tc>
        <w:tc>
          <w:tcPr>
            <w:tcW w:type="dxa" w:w="5904"/>
            <w:tcMar>
              <w:top w:w="60" w:type="dxa"/>
              <w:left w:w="110" w:type="dxa"/>
              <w:bottom w:w="60" w:type="dxa"/>
              <w:right w:w="110" w:type="dxa"/>
            </w:tcMar>
          </w:tcPr>
          <w:p>
            <w:pPr>
              <w:spacing w:after="0"/>
            </w:pPr>
            <w:r>
              <w:rPr>
                <w:b w:val="0"/>
                <w:i w:val="0"/>
                <w:color w:val="16261F"/>
                <w:sz w:val="17"/>
              </w:rPr>
              <w:t>Excellent fit for CRUD-heavy financial applications and a genuine contender. Rejected on team-language consistency: a second language costs shared types, shared validation schemas and a shared money module.</w:t>
            </w:r>
          </w:p>
        </w:tc>
      </w:tr>
      <w:tr>
        <w:tc>
          <w:tcPr>
            <w:tcW w:type="dxa" w:w="1728"/>
            <w:tcMar>
              <w:top w:w="60" w:type="dxa"/>
              <w:left w:w="110" w:type="dxa"/>
              <w:bottom w:w="60" w:type="dxa"/>
              <w:right w:w="110" w:type="dxa"/>
            </w:tcMar>
            <w:shd w:val="clear" w:color="auto" w:fill="F5F7F5"/>
          </w:tcPr>
          <w:p>
            <w:pPr>
              <w:spacing w:after="0"/>
            </w:pPr>
            <w:r>
              <w:rPr>
                <w:b w:val="0"/>
                <w:i w:val="0"/>
                <w:color w:val="16261F"/>
                <w:sz w:val="17"/>
              </w:rPr>
              <w:t>Django</w:t>
            </w:r>
          </w:p>
        </w:tc>
        <w:tc>
          <w:tcPr>
            <w:tcW w:type="dxa" w:w="1728"/>
            <w:tcMar>
              <w:top w:w="60" w:type="dxa"/>
              <w:left w:w="110" w:type="dxa"/>
              <w:bottom w:w="60" w:type="dxa"/>
              <w:right w:w="110" w:type="dxa"/>
            </w:tcMar>
            <w:shd w:val="clear" w:color="auto" w:fill="F5F7F5"/>
          </w:tcPr>
          <w:p>
            <w:pPr>
              <w:spacing w:after="0"/>
            </w:pPr>
            <w:r>
              <w:rPr>
                <w:b w:val="0"/>
                <w:i w:val="0"/>
                <w:color w:val="16261F"/>
                <w:sz w:val="17"/>
              </w:rPr>
              <w:t>Backend</w:t>
            </w:r>
          </w:p>
        </w:tc>
        <w:tc>
          <w:tcPr>
            <w:tcW w:type="dxa" w:w="5904"/>
            <w:tcMar>
              <w:top w:w="60" w:type="dxa"/>
              <w:left w:w="110" w:type="dxa"/>
              <w:bottom w:w="60" w:type="dxa"/>
              <w:right w:w="110" w:type="dxa"/>
            </w:tcMar>
            <w:shd w:val="clear" w:color="auto" w:fill="F5F7F5"/>
          </w:tcPr>
          <w:p>
            <w:pPr>
              <w:spacing w:after="0"/>
            </w:pPr>
            <w:r>
              <w:rPr>
                <w:b w:val="0"/>
                <w:i w:val="0"/>
                <w:color w:val="16261F"/>
                <w:sz w:val="17"/>
              </w:rPr>
              <w:t>Same reasoning. Python's native decimal type is a real advantage for money, but not enough to outweigh a split-language stack at this team size.</w:t>
            </w:r>
          </w:p>
        </w:tc>
      </w:tr>
      <w:tr>
        <w:tc>
          <w:tcPr>
            <w:tcW w:type="dxa" w:w="1728"/>
            <w:tcMar>
              <w:top w:w="60" w:type="dxa"/>
              <w:left w:w="110" w:type="dxa"/>
              <w:bottom w:w="60" w:type="dxa"/>
              <w:right w:w="110" w:type="dxa"/>
            </w:tcMar>
          </w:tcPr>
          <w:p>
            <w:pPr>
              <w:spacing w:after="0"/>
            </w:pPr>
            <w:r>
              <w:rPr>
                <w:b w:val="0"/>
                <w:i w:val="0"/>
                <w:color w:val="16261F"/>
                <w:sz w:val="17"/>
              </w:rPr>
              <w:t>Go</w:t>
            </w:r>
          </w:p>
        </w:tc>
        <w:tc>
          <w:tcPr>
            <w:tcW w:type="dxa" w:w="1728"/>
            <w:tcMar>
              <w:top w:w="60" w:type="dxa"/>
              <w:left w:w="110" w:type="dxa"/>
              <w:bottom w:w="60" w:type="dxa"/>
              <w:right w:w="110" w:type="dxa"/>
            </w:tcMar>
          </w:tcPr>
          <w:p>
            <w:pPr>
              <w:spacing w:after="0"/>
            </w:pPr>
            <w:r>
              <w:rPr>
                <w:b w:val="0"/>
                <w:i w:val="0"/>
                <w:color w:val="16261F"/>
                <w:sz w:val="17"/>
              </w:rPr>
              <w:t>Backend</w:t>
            </w:r>
          </w:p>
        </w:tc>
        <w:tc>
          <w:tcPr>
            <w:tcW w:type="dxa" w:w="5904"/>
            <w:tcMar>
              <w:top w:w="60" w:type="dxa"/>
              <w:left w:w="110" w:type="dxa"/>
              <w:bottom w:w="60" w:type="dxa"/>
              <w:right w:w="110" w:type="dxa"/>
            </w:tcMar>
          </w:tcPr>
          <w:p>
            <w:pPr>
              <w:spacing w:after="0"/>
            </w:pPr>
            <w:r>
              <w:rPr>
                <w:b w:val="0"/>
                <w:i w:val="0"/>
                <w:color w:val="16261F"/>
                <w:sz w:val="17"/>
              </w:rPr>
              <w:t>Excellent concurrency and deployment story. Rejected on ecosystem fit — weaker libraries for PDF rendering and email templating, and a smaller hiring pool for this project's shape.</w:t>
            </w:r>
          </w:p>
        </w:tc>
      </w:tr>
      <w:tr>
        <w:tc>
          <w:tcPr>
            <w:tcW w:type="dxa" w:w="1728"/>
            <w:tcMar>
              <w:top w:w="60" w:type="dxa"/>
              <w:left w:w="110" w:type="dxa"/>
              <w:bottom w:w="60" w:type="dxa"/>
              <w:right w:w="110" w:type="dxa"/>
            </w:tcMar>
            <w:shd w:val="clear" w:color="auto" w:fill="F5F7F5"/>
          </w:tcPr>
          <w:p>
            <w:pPr>
              <w:spacing w:after="0"/>
            </w:pPr>
            <w:r>
              <w:rPr>
                <w:b w:val="0"/>
                <w:i w:val="0"/>
                <w:color w:val="16261F"/>
                <w:sz w:val="17"/>
              </w:rPr>
              <w:t>MySQL</w:t>
            </w:r>
          </w:p>
        </w:tc>
        <w:tc>
          <w:tcPr>
            <w:tcW w:type="dxa" w:w="1728"/>
            <w:tcMar>
              <w:top w:w="60" w:type="dxa"/>
              <w:left w:w="110" w:type="dxa"/>
              <w:bottom w:w="60" w:type="dxa"/>
              <w:right w:w="110" w:type="dxa"/>
            </w:tcMar>
            <w:shd w:val="clear" w:color="auto" w:fill="F5F7F5"/>
          </w:tcPr>
          <w:p>
            <w:pPr>
              <w:spacing w:after="0"/>
            </w:pPr>
            <w:r>
              <w:rPr>
                <w:b w:val="0"/>
                <w:i w:val="0"/>
                <w:color w:val="16261F"/>
                <w:sz w:val="17"/>
              </w:rPr>
              <w:t>Database</w:t>
            </w:r>
          </w:p>
        </w:tc>
        <w:tc>
          <w:tcPr>
            <w:tcW w:type="dxa" w:w="5904"/>
            <w:tcMar>
              <w:top w:w="60" w:type="dxa"/>
              <w:left w:w="110" w:type="dxa"/>
              <w:bottom w:w="60" w:type="dxa"/>
              <w:right w:w="110" w:type="dxa"/>
            </w:tcMar>
            <w:shd w:val="clear" w:color="auto" w:fill="F5F7F5"/>
          </w:tcPr>
          <w:p>
            <w:pPr>
              <w:spacing w:after="0"/>
            </w:pPr>
            <w:r>
              <w:rPr>
                <w:b w:val="0"/>
                <w:i w:val="0"/>
                <w:color w:val="16261F"/>
                <w:sz w:val="17"/>
              </w:rPr>
              <w:t>No row-level security equivalent, which is the decisive capability behind ADR-003.</w:t>
            </w:r>
          </w:p>
        </w:tc>
      </w:tr>
      <w:tr>
        <w:tc>
          <w:tcPr>
            <w:tcW w:type="dxa" w:w="1728"/>
            <w:tcMar>
              <w:top w:w="60" w:type="dxa"/>
              <w:left w:w="110" w:type="dxa"/>
              <w:bottom w:w="60" w:type="dxa"/>
              <w:right w:w="110" w:type="dxa"/>
            </w:tcMar>
          </w:tcPr>
          <w:p>
            <w:pPr>
              <w:spacing w:after="0"/>
            </w:pPr>
            <w:r>
              <w:rPr>
                <w:b w:val="0"/>
                <w:i w:val="0"/>
                <w:color w:val="16261F"/>
                <w:sz w:val="17"/>
              </w:rPr>
              <w:t>MongoDB</w:t>
            </w:r>
          </w:p>
        </w:tc>
        <w:tc>
          <w:tcPr>
            <w:tcW w:type="dxa" w:w="1728"/>
            <w:tcMar>
              <w:top w:w="60" w:type="dxa"/>
              <w:left w:w="110" w:type="dxa"/>
              <w:bottom w:w="60" w:type="dxa"/>
              <w:right w:w="110" w:type="dxa"/>
            </w:tcMar>
          </w:tcPr>
          <w:p>
            <w:pPr>
              <w:spacing w:after="0"/>
            </w:pPr>
            <w:r>
              <w:rPr>
                <w:b w:val="0"/>
                <w:i w:val="0"/>
                <w:color w:val="16261F"/>
                <w:sz w:val="17"/>
              </w:rPr>
              <w:t>Database</w:t>
            </w:r>
          </w:p>
        </w:tc>
        <w:tc>
          <w:tcPr>
            <w:tcW w:type="dxa" w:w="5904"/>
            <w:tcMar>
              <w:top w:w="60" w:type="dxa"/>
              <w:left w:w="110" w:type="dxa"/>
              <w:bottom w:w="60" w:type="dxa"/>
              <w:right w:w="110" w:type="dxa"/>
            </w:tcMar>
          </w:tcPr>
          <w:p>
            <w:pPr>
              <w:spacing w:after="0"/>
            </w:pPr>
            <w:r>
              <w:rPr>
                <w:b w:val="0"/>
                <w:i w:val="0"/>
                <w:color w:val="16261F"/>
                <w:sz w:val="17"/>
              </w:rPr>
              <w:t>Financial records need referential integrity and multi-table atomicity as first-class guarantees, not optional ones.</w:t>
            </w:r>
          </w:p>
        </w:tc>
      </w:tr>
      <w:tr>
        <w:tc>
          <w:tcPr>
            <w:tcW w:type="dxa" w:w="1728"/>
            <w:tcMar>
              <w:top w:w="60" w:type="dxa"/>
              <w:left w:w="110" w:type="dxa"/>
              <w:bottom w:w="60" w:type="dxa"/>
              <w:right w:w="110" w:type="dxa"/>
            </w:tcMar>
            <w:shd w:val="clear" w:color="auto" w:fill="F5F7F5"/>
          </w:tcPr>
          <w:p>
            <w:pPr>
              <w:spacing w:after="0"/>
            </w:pPr>
            <w:r>
              <w:rPr>
                <w:b w:val="0"/>
                <w:i w:val="0"/>
                <w:color w:val="16261F"/>
                <w:sz w:val="17"/>
              </w:rPr>
              <w:t>Supabase</w:t>
            </w:r>
          </w:p>
        </w:tc>
        <w:tc>
          <w:tcPr>
            <w:tcW w:type="dxa" w:w="1728"/>
            <w:tcMar>
              <w:top w:w="60" w:type="dxa"/>
              <w:left w:w="110" w:type="dxa"/>
              <w:bottom w:w="60" w:type="dxa"/>
              <w:right w:w="110" w:type="dxa"/>
            </w:tcMar>
            <w:shd w:val="clear" w:color="auto" w:fill="F5F7F5"/>
          </w:tcPr>
          <w:p>
            <w:pPr>
              <w:spacing w:after="0"/>
            </w:pPr>
            <w:r>
              <w:rPr>
                <w:b w:val="0"/>
                <w:i w:val="0"/>
                <w:color w:val="16261F"/>
                <w:sz w:val="17"/>
              </w:rPr>
              <w:t>Backend platform</w:t>
            </w:r>
          </w:p>
        </w:tc>
        <w:tc>
          <w:tcPr>
            <w:tcW w:type="dxa" w:w="5904"/>
            <w:tcMar>
              <w:top w:w="60" w:type="dxa"/>
              <w:left w:w="110" w:type="dxa"/>
              <w:bottom w:w="60" w:type="dxa"/>
              <w:right w:w="110" w:type="dxa"/>
            </w:tcMar>
            <w:shd w:val="clear" w:color="auto" w:fill="F5F7F5"/>
          </w:tcPr>
          <w:p>
            <w:pPr>
              <w:spacing w:after="0"/>
            </w:pPr>
            <w:r>
              <w:rPr>
                <w:b w:val="0"/>
                <w:i w:val="0"/>
                <w:color w:val="16261F"/>
                <w:sz w:val="17"/>
              </w:rPr>
              <w:t>Attractive RLS story and fast to start. Rejected because the complex asynchronous processing in TDD-001 section 14 fits awkwardly, and coupling both the database and the authentication model to one vendor is a large bet.</w:t>
            </w:r>
          </w:p>
        </w:tc>
      </w:tr>
      <w:tr>
        <w:tc>
          <w:tcPr>
            <w:tcW w:type="dxa" w:w="1728"/>
            <w:tcMar>
              <w:top w:w="60" w:type="dxa"/>
              <w:left w:w="110" w:type="dxa"/>
              <w:bottom w:w="60" w:type="dxa"/>
              <w:right w:w="110" w:type="dxa"/>
            </w:tcMar>
          </w:tcPr>
          <w:p>
            <w:pPr>
              <w:spacing w:after="0"/>
            </w:pPr>
            <w:r>
              <w:rPr>
                <w:b w:val="0"/>
                <w:i w:val="0"/>
                <w:color w:val="16261F"/>
                <w:sz w:val="17"/>
              </w:rPr>
              <w:t>Firebase</w:t>
            </w:r>
          </w:p>
        </w:tc>
        <w:tc>
          <w:tcPr>
            <w:tcW w:type="dxa" w:w="1728"/>
            <w:tcMar>
              <w:top w:w="60" w:type="dxa"/>
              <w:left w:w="110" w:type="dxa"/>
              <w:bottom w:w="60" w:type="dxa"/>
              <w:right w:w="110" w:type="dxa"/>
            </w:tcMar>
          </w:tcPr>
          <w:p>
            <w:pPr>
              <w:spacing w:after="0"/>
            </w:pPr>
            <w:r>
              <w:rPr>
                <w:b w:val="0"/>
                <w:i w:val="0"/>
                <w:color w:val="16261F"/>
                <w:sz w:val="17"/>
              </w:rPr>
              <w:t>Backend platform</w:t>
            </w:r>
          </w:p>
        </w:tc>
        <w:tc>
          <w:tcPr>
            <w:tcW w:type="dxa" w:w="5904"/>
            <w:tcMar>
              <w:top w:w="60" w:type="dxa"/>
              <w:left w:w="110" w:type="dxa"/>
              <w:bottom w:w="60" w:type="dxa"/>
              <w:right w:w="110" w:type="dxa"/>
            </w:tcMar>
          </w:tcPr>
          <w:p>
            <w:pPr>
              <w:spacing w:after="0"/>
            </w:pPr>
            <w:r>
              <w:rPr>
                <w:b w:val="0"/>
                <w:i w:val="0"/>
                <w:color w:val="16261F"/>
                <w:sz w:val="17"/>
              </w:rPr>
              <w:t>Poor fit for relational financial data and for exact monetary arithmetic.</w:t>
            </w:r>
          </w:p>
        </w:tc>
      </w:tr>
      <w:tr>
        <w:tc>
          <w:tcPr>
            <w:tcW w:type="dxa" w:w="1728"/>
            <w:tcMar>
              <w:top w:w="60" w:type="dxa"/>
              <w:left w:w="110" w:type="dxa"/>
              <w:bottom w:w="60" w:type="dxa"/>
              <w:right w:w="110" w:type="dxa"/>
            </w:tcMar>
            <w:shd w:val="clear" w:color="auto" w:fill="F5F7F5"/>
          </w:tcPr>
          <w:p>
            <w:pPr>
              <w:spacing w:after="0"/>
            </w:pPr>
            <w:r>
              <w:rPr>
                <w:b w:val="0"/>
                <w:i w:val="0"/>
                <w:color w:val="16261F"/>
                <w:sz w:val="17"/>
              </w:rPr>
              <w:t>Kafka</w:t>
            </w:r>
          </w:p>
        </w:tc>
        <w:tc>
          <w:tcPr>
            <w:tcW w:type="dxa" w:w="1728"/>
            <w:tcMar>
              <w:top w:w="60" w:type="dxa"/>
              <w:left w:w="110" w:type="dxa"/>
              <w:bottom w:w="60" w:type="dxa"/>
              <w:right w:w="110" w:type="dxa"/>
            </w:tcMar>
            <w:shd w:val="clear" w:color="auto" w:fill="F5F7F5"/>
          </w:tcPr>
          <w:p>
            <w:pPr>
              <w:spacing w:after="0"/>
            </w:pPr>
            <w:r>
              <w:rPr>
                <w:b w:val="0"/>
                <w:i w:val="0"/>
                <w:color w:val="16261F"/>
                <w:sz w:val="17"/>
              </w:rPr>
              <w:t>Queue</w:t>
            </w:r>
          </w:p>
        </w:tc>
        <w:tc>
          <w:tcPr>
            <w:tcW w:type="dxa" w:w="5904"/>
            <w:tcMar>
              <w:top w:w="60" w:type="dxa"/>
              <w:left w:w="110" w:type="dxa"/>
              <w:bottom w:w="60" w:type="dxa"/>
              <w:right w:w="110" w:type="dxa"/>
            </w:tcMar>
            <w:shd w:val="clear" w:color="auto" w:fill="F5F7F5"/>
          </w:tcPr>
          <w:p>
            <w:pPr>
              <w:spacing w:after="0"/>
            </w:pPr>
            <w:r>
              <w:rPr>
                <w:b w:val="0"/>
                <w:i w:val="0"/>
                <w:color w:val="16261F"/>
                <w:sz w:val="17"/>
              </w:rPr>
              <w:t>Substantial operational overhead for volumes BullMQ handles comfortably. Reconsider only if event streaming becomes a product requirement.</w:t>
            </w:r>
          </w:p>
        </w:tc>
      </w:tr>
      <w:tr>
        <w:tc>
          <w:tcPr>
            <w:tcW w:type="dxa" w:w="1728"/>
            <w:tcMar>
              <w:top w:w="60" w:type="dxa"/>
              <w:left w:w="110" w:type="dxa"/>
              <w:bottom w:w="60" w:type="dxa"/>
              <w:right w:w="110" w:type="dxa"/>
            </w:tcMar>
          </w:tcPr>
          <w:p>
            <w:pPr>
              <w:spacing w:after="0"/>
            </w:pPr>
            <w:r>
              <w:rPr>
                <w:b w:val="0"/>
                <w:i w:val="0"/>
                <w:color w:val="16261F"/>
                <w:sz w:val="17"/>
              </w:rPr>
              <w:t>RabbitMQ</w:t>
            </w:r>
          </w:p>
        </w:tc>
        <w:tc>
          <w:tcPr>
            <w:tcW w:type="dxa" w:w="1728"/>
            <w:tcMar>
              <w:top w:w="60" w:type="dxa"/>
              <w:left w:w="110" w:type="dxa"/>
              <w:bottom w:w="60" w:type="dxa"/>
              <w:right w:w="110" w:type="dxa"/>
            </w:tcMar>
          </w:tcPr>
          <w:p>
            <w:pPr>
              <w:spacing w:after="0"/>
            </w:pPr>
            <w:r>
              <w:rPr>
                <w:b w:val="0"/>
                <w:i w:val="0"/>
                <w:color w:val="16261F"/>
                <w:sz w:val="17"/>
              </w:rPr>
              <w:t>Queue</w:t>
            </w:r>
          </w:p>
        </w:tc>
        <w:tc>
          <w:tcPr>
            <w:tcW w:type="dxa" w:w="5904"/>
            <w:tcMar>
              <w:top w:w="60" w:type="dxa"/>
              <w:left w:w="110" w:type="dxa"/>
              <w:bottom w:w="60" w:type="dxa"/>
              <w:right w:w="110" w:type="dxa"/>
            </w:tcMar>
          </w:tcPr>
          <w:p>
            <w:pPr>
              <w:spacing w:after="0"/>
            </w:pPr>
            <w:r>
              <w:rPr>
                <w:b w:val="0"/>
                <w:i w:val="0"/>
                <w:color w:val="16261F"/>
                <w:sz w:val="17"/>
              </w:rPr>
              <w:t>Defensible, but adds a second piece of infrastructure when Redis is already required for cache and rate limiting.</w:t>
            </w:r>
          </w:p>
        </w:tc>
      </w:tr>
      <w:tr>
        <w:tc>
          <w:tcPr>
            <w:tcW w:type="dxa" w:w="1728"/>
            <w:tcMar>
              <w:top w:w="60" w:type="dxa"/>
              <w:left w:w="110" w:type="dxa"/>
              <w:bottom w:w="60" w:type="dxa"/>
              <w:right w:w="110" w:type="dxa"/>
            </w:tcMar>
            <w:shd w:val="clear" w:color="auto" w:fill="F5F7F5"/>
          </w:tcPr>
          <w:p>
            <w:pPr>
              <w:spacing w:after="0"/>
            </w:pPr>
            <w:r>
              <w:rPr>
                <w:b w:val="0"/>
                <w:i w:val="0"/>
                <w:color w:val="16261F"/>
                <w:sz w:val="17"/>
              </w:rPr>
              <w:t>Stripe</w:t>
            </w:r>
          </w:p>
        </w:tc>
        <w:tc>
          <w:tcPr>
            <w:tcW w:type="dxa" w:w="1728"/>
            <w:tcMar>
              <w:top w:w="60" w:type="dxa"/>
              <w:left w:w="110" w:type="dxa"/>
              <w:bottom w:w="60" w:type="dxa"/>
              <w:right w:w="110" w:type="dxa"/>
            </w:tcMar>
            <w:shd w:val="clear" w:color="auto" w:fill="F5F7F5"/>
          </w:tcPr>
          <w:p>
            <w:pPr>
              <w:spacing w:after="0"/>
            </w:pPr>
            <w:r>
              <w:rPr>
                <w:b w:val="0"/>
                <w:i w:val="0"/>
                <w:color w:val="16261F"/>
                <w:sz w:val="17"/>
              </w:rPr>
              <w:t>Payment gateway</w:t>
            </w:r>
          </w:p>
        </w:tc>
        <w:tc>
          <w:tcPr>
            <w:tcW w:type="dxa" w:w="5904"/>
            <w:tcMar>
              <w:top w:w="60" w:type="dxa"/>
              <w:left w:w="110" w:type="dxa"/>
              <w:bottom w:w="60" w:type="dxa"/>
              <w:right w:w="110" w:type="dxa"/>
            </w:tcMar>
            <w:shd w:val="clear" w:color="auto" w:fill="F5F7F5"/>
          </w:tcPr>
          <w:p>
            <w:pPr>
              <w:spacing w:after="0"/>
            </w:pPr>
            <w:r>
              <w:rPr>
                <w:b w:val="0"/>
                <w:i w:val="0"/>
                <w:color w:val="16261F"/>
                <w:sz w:val="17"/>
              </w:rPr>
              <w:t>Not a choice available to us — Numbers Gateway is the specified provider. Noted only because the prototype seeds Stripe, which is misleading (GAP-013).</w:t>
            </w:r>
          </w:p>
        </w:tc>
      </w:tr>
      <w:tr>
        <w:tc>
          <w:tcPr>
            <w:tcW w:type="dxa" w:w="1728"/>
            <w:tcMar>
              <w:top w:w="60" w:type="dxa"/>
              <w:left w:w="110" w:type="dxa"/>
              <w:bottom w:w="60" w:type="dxa"/>
              <w:right w:w="110" w:type="dxa"/>
            </w:tcMar>
          </w:tcPr>
          <w:p>
            <w:pPr>
              <w:spacing w:after="0"/>
            </w:pPr>
            <w:r>
              <w:rPr>
                <w:b w:val="0"/>
                <w:i w:val="0"/>
                <w:color w:val="16261F"/>
                <w:sz w:val="17"/>
              </w:rPr>
              <w:t>Micro-frontends</w:t>
            </w:r>
          </w:p>
        </w:tc>
        <w:tc>
          <w:tcPr>
            <w:tcW w:type="dxa" w:w="1728"/>
            <w:tcMar>
              <w:top w:w="60" w:type="dxa"/>
              <w:left w:w="110" w:type="dxa"/>
              <w:bottom w:w="60" w:type="dxa"/>
              <w:right w:w="110" w:type="dxa"/>
            </w:tcMar>
          </w:tcPr>
          <w:p>
            <w:pPr>
              <w:spacing w:after="0"/>
            </w:pPr>
            <w:r>
              <w:rPr>
                <w:b w:val="0"/>
                <w:i w:val="0"/>
                <w:color w:val="16261F"/>
                <w:sz w:val="17"/>
              </w:rPr>
              <w:t>Frontend</w:t>
            </w:r>
          </w:p>
        </w:tc>
        <w:tc>
          <w:tcPr>
            <w:tcW w:type="dxa" w:w="5904"/>
            <w:tcMar>
              <w:top w:w="60" w:type="dxa"/>
              <w:left w:w="110" w:type="dxa"/>
              <w:bottom w:w="60" w:type="dxa"/>
              <w:right w:w="110" w:type="dxa"/>
            </w:tcMar>
          </w:tcPr>
          <w:p>
            <w:pPr>
              <w:spacing w:after="0"/>
            </w:pPr>
            <w:r>
              <w:rPr>
                <w:b w:val="0"/>
                <w:i w:val="0"/>
                <w:color w:val="16261F"/>
                <w:sz w:val="17"/>
              </w:rPr>
              <w:t>Solves an organisational problem this team does not have.</w:t>
            </w:r>
          </w:p>
        </w:tc>
      </w:tr>
      <w:tr>
        <w:tc>
          <w:tcPr>
            <w:tcW w:type="dxa" w:w="1728"/>
            <w:tcMar>
              <w:top w:w="60" w:type="dxa"/>
              <w:left w:w="110" w:type="dxa"/>
              <w:bottom w:w="60" w:type="dxa"/>
              <w:right w:w="110" w:type="dxa"/>
            </w:tcMar>
            <w:shd w:val="clear" w:color="auto" w:fill="F5F7F5"/>
          </w:tcPr>
          <w:p>
            <w:pPr>
              <w:spacing w:after="0"/>
            </w:pPr>
            <w:r>
              <w:rPr>
                <w:b w:val="0"/>
                <w:i w:val="0"/>
                <w:color w:val="16261F"/>
                <w:sz w:val="17"/>
              </w:rPr>
              <w:t>GraphQL</w:t>
            </w:r>
          </w:p>
        </w:tc>
        <w:tc>
          <w:tcPr>
            <w:tcW w:type="dxa" w:w="1728"/>
            <w:tcMar>
              <w:top w:w="60" w:type="dxa"/>
              <w:left w:w="110" w:type="dxa"/>
              <w:bottom w:w="60" w:type="dxa"/>
              <w:right w:w="110" w:type="dxa"/>
            </w:tcMar>
            <w:shd w:val="clear" w:color="auto" w:fill="F5F7F5"/>
          </w:tcPr>
          <w:p>
            <w:pPr>
              <w:spacing w:after="0"/>
            </w:pPr>
            <w:r>
              <w:rPr>
                <w:b w:val="0"/>
                <w:i w:val="0"/>
                <w:color w:val="16261F"/>
                <w:sz w:val="17"/>
              </w:rPr>
              <w:t>API</w:t>
            </w:r>
          </w:p>
        </w:tc>
        <w:tc>
          <w:tcPr>
            <w:tcW w:type="dxa" w:w="5904"/>
            <w:tcMar>
              <w:top w:w="60" w:type="dxa"/>
              <w:left w:w="110" w:type="dxa"/>
              <w:bottom w:w="60" w:type="dxa"/>
              <w:right w:w="110" w:type="dxa"/>
            </w:tcMar>
            <w:shd w:val="clear" w:color="auto" w:fill="F5F7F5"/>
          </w:tcPr>
          <w:p>
            <w:pPr>
              <w:spacing w:after="0"/>
            </w:pPr>
            <w:r>
              <w:rPr>
                <w:b w:val="0"/>
                <w:i w:val="0"/>
                <w:color w:val="16261F"/>
                <w:sz w:val="17"/>
              </w:rPr>
              <w:t>tRPC gives equivalent type safety with far less machinery for a single first-party consumer. Revisit if third-party API consumers appear.</w:t>
            </w:r>
          </w:p>
        </w:tc>
      </w:tr>
      <w:tr>
        <w:tc>
          <w:tcPr>
            <w:tcW w:type="dxa" w:w="1728"/>
            <w:tcMar>
              <w:top w:w="60" w:type="dxa"/>
              <w:left w:w="110" w:type="dxa"/>
              <w:bottom w:w="60" w:type="dxa"/>
              <w:right w:w="110" w:type="dxa"/>
            </w:tcMar>
          </w:tcPr>
          <w:p>
            <w:pPr>
              <w:spacing w:after="0"/>
            </w:pPr>
            <w:r>
              <w:rPr>
                <w:b w:val="0"/>
                <w:i w:val="0"/>
                <w:color w:val="16261F"/>
                <w:sz w:val="17"/>
              </w:rPr>
              <w:t>Evolving the prototype</w:t>
            </w:r>
          </w:p>
        </w:tc>
        <w:tc>
          <w:tcPr>
            <w:tcW w:type="dxa" w:w="1728"/>
            <w:tcMar>
              <w:top w:w="60" w:type="dxa"/>
              <w:left w:w="110" w:type="dxa"/>
              <w:bottom w:w="60" w:type="dxa"/>
              <w:right w:w="110" w:type="dxa"/>
            </w:tcMar>
          </w:tcPr>
          <w:p>
            <w:pPr>
              <w:spacing w:after="0"/>
            </w:pPr>
            <w:r>
              <w:rPr>
                <w:b w:val="0"/>
                <w:i w:val="0"/>
                <w:color w:val="16261F"/>
                <w:sz w:val="17"/>
              </w:rPr>
              <w:t>Whole system</w:t>
            </w:r>
          </w:p>
        </w:tc>
        <w:tc>
          <w:tcPr>
            <w:tcW w:type="dxa" w:w="5904"/>
            <w:tcMar>
              <w:top w:w="60" w:type="dxa"/>
              <w:left w:w="110" w:type="dxa"/>
              <w:bottom w:w="60" w:type="dxa"/>
              <w:right w:w="110" w:type="dxa"/>
            </w:tcMar>
          </w:tcPr>
          <w:p>
            <w:pPr>
              <w:spacing w:after="0"/>
            </w:pPr>
            <w:r>
              <w:rPr>
                <w:b w:val="0"/>
                <w:i w:val="0"/>
                <w:color w:val="16261F"/>
                <w:sz w:val="17"/>
              </w:rPr>
              <w:t>Per ADR-010. Browser-transpiled JSX, CDN dependencies, in-memory data, no access control, no persistence, no responsive layout. The design transfers; the code does not.</w:t>
            </w:r>
          </w:p>
        </w:tc>
      </w:tr>
    </w:tbl>
    <w:p>
      <w:r>
        <w:br w:type="page"/>
      </w:r>
    </w:p>
    <w:p>
      <w:pPr>
        <w:pStyle w:val="Heading1"/>
      </w:pPr>
      <w:r>
        <w:t>14. Indicative cost model</w:t>
      </w:r>
    </w:p>
    <w:p>
      <w:pPr>
        <w:pBdr>
          <w:left w:val="single" w:sz="18" w:space="10" w:color="C7862B"/>
        </w:pBdr>
        <w:shd w:val="clear" w:color="auto" w:fill="FBF0DF"/>
        <w:spacing w:before="160" w:after="180"/>
        <w:ind w:left="173"/>
      </w:pPr>
      <w:r>
        <w:rPr>
          <w:b/>
          <w:color w:val="C7862B"/>
          <w:sz w:val="17"/>
        </w:rPr>
        <w:t xml:space="preserve">BASIS AND CAVEATS  </w:t>
      </w:r>
      <w:r>
        <w:rPr>
          <w:color w:val="16261F"/>
          <w:sz w:val="20"/>
        </w:rPr>
        <w:t>Figures are monthly, in USD, at list price, based on the load model in NFR-001 section 2. They exclude engineering salaries, the payment gateway's transaction fees, and any PCI assessment cost. They are indicative for budgeting, not a quotation.</w:t>
      </w:r>
    </w:p>
    <w:p>
      <w:pPr>
        <w:pStyle w:val="Heading2"/>
      </w:pPr>
      <w:r>
        <w:t>14.1 Path A — Railway, MVP</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3120"/>
        <w:gridCol w:w="3120"/>
        <w:gridCol w:w="3120"/>
      </w:tblGrid>
      <w:tr>
        <w:trPr>
          <w:tblHeader w:val="true"/>
        </w:trPr>
        <w:tc>
          <w:tcPr>
            <w:tcW w:type="dxa" w:w="4896"/>
            <w:shd w:val="clear" w:color="auto" w:fill="16261F"/>
            <w:tcMar>
              <w:top w:w="70" w:type="dxa"/>
              <w:left w:w="110" w:type="dxa"/>
              <w:bottom w:w="70" w:type="dxa"/>
              <w:right w:w="110" w:type="dxa"/>
            </w:tcMar>
          </w:tcPr>
          <w:p>
            <w:pPr>
              <w:spacing w:after="0"/>
            </w:pPr>
            <w:r>
              <w:rPr>
                <w:rFonts w:ascii="Calibri" w:hAnsi="Calibri"/>
                <w:b/>
                <w:color w:val="FFFFFF"/>
                <w:sz w:val="17"/>
              </w:rPr>
              <w:t>Item</w:t>
            </w:r>
          </w:p>
        </w:tc>
        <w:tc>
          <w:tcPr>
            <w:tcW w:type="dxa" w:w="2232"/>
            <w:shd w:val="clear" w:color="auto" w:fill="16261F"/>
            <w:tcMar>
              <w:top w:w="70" w:type="dxa"/>
              <w:left w:w="110" w:type="dxa"/>
              <w:bottom w:w="70" w:type="dxa"/>
              <w:right w:w="110" w:type="dxa"/>
            </w:tcMar>
          </w:tcPr>
          <w:p>
            <w:pPr>
              <w:spacing w:after="0"/>
              <w:jc w:val="center"/>
            </w:pPr>
            <w:r>
              <w:rPr>
                <w:rFonts w:ascii="Calibri" w:hAnsi="Calibri"/>
                <w:b/>
                <w:color w:val="FFFFFF"/>
                <w:sz w:val="17"/>
              </w:rPr>
              <w:t>At launch</w:t>
            </w:r>
          </w:p>
        </w:tc>
        <w:tc>
          <w:tcPr>
            <w:tcW w:type="dxa" w:w="2232"/>
            <w:shd w:val="clear" w:color="auto" w:fill="16261F"/>
            <w:tcMar>
              <w:top w:w="70" w:type="dxa"/>
              <w:left w:w="110" w:type="dxa"/>
              <w:bottom w:w="70" w:type="dxa"/>
              <w:right w:w="110" w:type="dxa"/>
            </w:tcMar>
          </w:tcPr>
          <w:p>
            <w:pPr>
              <w:spacing w:after="0"/>
              <w:jc w:val="center"/>
            </w:pPr>
            <w:r>
              <w:rPr>
                <w:rFonts w:ascii="Calibri" w:hAnsi="Calibri"/>
                <w:b/>
                <w:color w:val="FFFFFF"/>
                <w:sz w:val="17"/>
              </w:rPr>
              <w:t>Month 12</w:t>
            </w:r>
          </w:p>
        </w:tc>
      </w:tr>
      <w:tr>
        <w:tc>
          <w:tcPr>
            <w:tcW w:type="dxa" w:w="4896"/>
            <w:tcMar>
              <w:top w:w="60" w:type="dxa"/>
              <w:left w:w="110" w:type="dxa"/>
              <w:bottom w:w="60" w:type="dxa"/>
              <w:right w:w="110" w:type="dxa"/>
            </w:tcMar>
          </w:tcPr>
          <w:p>
            <w:pPr>
              <w:spacing w:after="0"/>
            </w:pPr>
            <w:r>
              <w:rPr>
                <w:b w:val="0"/>
                <w:i w:val="0"/>
                <w:color w:val="16261F"/>
                <w:sz w:val="18"/>
              </w:rPr>
              <w:t>Application hosting</w:t>
            </w:r>
          </w:p>
        </w:tc>
        <w:tc>
          <w:tcPr>
            <w:tcW w:type="dxa" w:w="2232"/>
            <w:tcMar>
              <w:top w:w="60" w:type="dxa"/>
              <w:left w:w="110" w:type="dxa"/>
              <w:bottom w:w="60" w:type="dxa"/>
              <w:right w:w="110" w:type="dxa"/>
            </w:tcMar>
          </w:tcPr>
          <w:p>
            <w:pPr>
              <w:spacing w:after="0"/>
              <w:jc w:val="center"/>
            </w:pPr>
            <w:r>
              <w:rPr>
                <w:b w:val="0"/>
                <w:i w:val="0"/>
                <w:color w:val="16261F"/>
                <w:sz w:val="18"/>
              </w:rPr>
              <w:t>80</w:t>
            </w:r>
          </w:p>
        </w:tc>
        <w:tc>
          <w:tcPr>
            <w:tcW w:type="dxa" w:w="2232"/>
            <w:tcMar>
              <w:top w:w="60" w:type="dxa"/>
              <w:left w:w="110" w:type="dxa"/>
              <w:bottom w:w="60" w:type="dxa"/>
              <w:right w:w="110" w:type="dxa"/>
            </w:tcMar>
          </w:tcPr>
          <w:p>
            <w:pPr>
              <w:spacing w:after="0"/>
              <w:jc w:val="center"/>
            </w:pPr>
            <w:r>
              <w:rPr>
                <w:b w:val="0"/>
                <w:i w:val="0"/>
                <w:color w:val="16261F"/>
                <w:sz w:val="18"/>
              </w:rPr>
              <w:t>220</w:t>
            </w:r>
          </w:p>
        </w:tc>
      </w:tr>
      <w:tr>
        <w:tc>
          <w:tcPr>
            <w:tcW w:type="dxa" w:w="4896"/>
            <w:tcMar>
              <w:top w:w="60" w:type="dxa"/>
              <w:left w:w="110" w:type="dxa"/>
              <w:bottom w:w="60" w:type="dxa"/>
              <w:right w:w="110" w:type="dxa"/>
            </w:tcMar>
            <w:shd w:val="clear" w:color="auto" w:fill="F5F7F5"/>
          </w:tcPr>
          <w:p>
            <w:pPr>
              <w:spacing w:after="0"/>
            </w:pPr>
            <w:r>
              <w:rPr>
                <w:b w:val="0"/>
                <w:i w:val="0"/>
                <w:color w:val="16261F"/>
                <w:sz w:val="18"/>
              </w:rPr>
              <w:t>PostgreSQL (managed, with backups)</w:t>
            </w:r>
          </w:p>
        </w:tc>
        <w:tc>
          <w:tcPr>
            <w:tcW w:type="dxa" w:w="2232"/>
            <w:tcMar>
              <w:top w:w="60" w:type="dxa"/>
              <w:left w:w="110" w:type="dxa"/>
              <w:bottom w:w="60" w:type="dxa"/>
              <w:right w:w="110" w:type="dxa"/>
            </w:tcMar>
            <w:shd w:val="clear" w:color="auto" w:fill="F5F7F5"/>
          </w:tcPr>
          <w:p>
            <w:pPr>
              <w:spacing w:after="0"/>
              <w:jc w:val="center"/>
            </w:pPr>
            <w:r>
              <w:rPr>
                <w:b w:val="0"/>
                <w:i w:val="0"/>
                <w:color w:val="16261F"/>
                <w:sz w:val="18"/>
              </w:rPr>
              <w:t>60</w:t>
            </w:r>
          </w:p>
        </w:tc>
        <w:tc>
          <w:tcPr>
            <w:tcW w:type="dxa" w:w="2232"/>
            <w:tcMar>
              <w:top w:w="60" w:type="dxa"/>
              <w:left w:w="110" w:type="dxa"/>
              <w:bottom w:w="60" w:type="dxa"/>
              <w:right w:w="110" w:type="dxa"/>
            </w:tcMar>
            <w:shd w:val="clear" w:color="auto" w:fill="F5F7F5"/>
          </w:tcPr>
          <w:p>
            <w:pPr>
              <w:spacing w:after="0"/>
              <w:jc w:val="center"/>
            </w:pPr>
            <w:r>
              <w:rPr>
                <w:b w:val="0"/>
                <w:i w:val="0"/>
                <w:color w:val="16261F"/>
                <w:sz w:val="18"/>
              </w:rPr>
              <w:t>180</w:t>
            </w:r>
          </w:p>
        </w:tc>
      </w:tr>
      <w:tr>
        <w:tc>
          <w:tcPr>
            <w:tcW w:type="dxa" w:w="4896"/>
            <w:tcMar>
              <w:top w:w="60" w:type="dxa"/>
              <w:left w:w="110" w:type="dxa"/>
              <w:bottom w:w="60" w:type="dxa"/>
              <w:right w:w="110" w:type="dxa"/>
            </w:tcMar>
          </w:tcPr>
          <w:p>
            <w:pPr>
              <w:spacing w:after="0"/>
            </w:pPr>
            <w:r>
              <w:rPr>
                <w:b w:val="0"/>
                <w:i w:val="0"/>
                <w:color w:val="16261F"/>
                <w:sz w:val="18"/>
              </w:rPr>
              <w:t>Redis</w:t>
            </w:r>
          </w:p>
        </w:tc>
        <w:tc>
          <w:tcPr>
            <w:tcW w:type="dxa" w:w="2232"/>
            <w:tcMar>
              <w:top w:w="60" w:type="dxa"/>
              <w:left w:w="110" w:type="dxa"/>
              <w:bottom w:w="60" w:type="dxa"/>
              <w:right w:w="110" w:type="dxa"/>
            </w:tcMar>
          </w:tcPr>
          <w:p>
            <w:pPr>
              <w:spacing w:after="0"/>
              <w:jc w:val="center"/>
            </w:pPr>
            <w:r>
              <w:rPr>
                <w:b w:val="0"/>
                <w:i w:val="0"/>
                <w:color w:val="16261F"/>
                <w:sz w:val="18"/>
              </w:rPr>
              <w:t>20</w:t>
            </w:r>
          </w:p>
        </w:tc>
        <w:tc>
          <w:tcPr>
            <w:tcW w:type="dxa" w:w="2232"/>
            <w:tcMar>
              <w:top w:w="60" w:type="dxa"/>
              <w:left w:w="110" w:type="dxa"/>
              <w:bottom w:w="60" w:type="dxa"/>
              <w:right w:w="110" w:type="dxa"/>
            </w:tcMar>
          </w:tcPr>
          <w:p>
            <w:pPr>
              <w:spacing w:after="0"/>
              <w:jc w:val="center"/>
            </w:pPr>
            <w:r>
              <w:rPr>
                <w:b w:val="0"/>
                <w:i w:val="0"/>
                <w:color w:val="16261F"/>
                <w:sz w:val="18"/>
              </w:rPr>
              <w:t>50</w:t>
            </w:r>
          </w:p>
        </w:tc>
      </w:tr>
      <w:tr>
        <w:tc>
          <w:tcPr>
            <w:tcW w:type="dxa" w:w="4896"/>
            <w:tcMar>
              <w:top w:w="60" w:type="dxa"/>
              <w:left w:w="110" w:type="dxa"/>
              <w:bottom w:w="60" w:type="dxa"/>
              <w:right w:w="110" w:type="dxa"/>
            </w:tcMar>
            <w:shd w:val="clear" w:color="auto" w:fill="F5F7F5"/>
          </w:tcPr>
          <w:p>
            <w:pPr>
              <w:spacing w:after="0"/>
            </w:pPr>
            <w:r>
              <w:rPr>
                <w:b w:val="0"/>
                <w:i w:val="0"/>
                <w:color w:val="16261F"/>
                <w:sz w:val="18"/>
              </w:rPr>
              <w:t>Object storage and egress</w:t>
            </w:r>
          </w:p>
        </w:tc>
        <w:tc>
          <w:tcPr>
            <w:tcW w:type="dxa" w:w="2232"/>
            <w:tcMar>
              <w:top w:w="60" w:type="dxa"/>
              <w:left w:w="110" w:type="dxa"/>
              <w:bottom w:w="60" w:type="dxa"/>
              <w:right w:w="110" w:type="dxa"/>
            </w:tcMar>
            <w:shd w:val="clear" w:color="auto" w:fill="F5F7F5"/>
          </w:tcPr>
          <w:p>
            <w:pPr>
              <w:spacing w:after="0"/>
              <w:jc w:val="center"/>
            </w:pPr>
            <w:r>
              <w:rPr>
                <w:b w:val="0"/>
                <w:i w:val="0"/>
                <w:color w:val="16261F"/>
                <w:sz w:val="18"/>
              </w:rPr>
              <w:t>10</w:t>
            </w:r>
          </w:p>
        </w:tc>
        <w:tc>
          <w:tcPr>
            <w:tcW w:type="dxa" w:w="2232"/>
            <w:tcMar>
              <w:top w:w="60" w:type="dxa"/>
              <w:left w:w="110" w:type="dxa"/>
              <w:bottom w:w="60" w:type="dxa"/>
              <w:right w:w="110" w:type="dxa"/>
            </w:tcMar>
            <w:shd w:val="clear" w:color="auto" w:fill="F5F7F5"/>
          </w:tcPr>
          <w:p>
            <w:pPr>
              <w:spacing w:after="0"/>
              <w:jc w:val="center"/>
            </w:pPr>
            <w:r>
              <w:rPr>
                <w:b w:val="0"/>
                <w:i w:val="0"/>
                <w:color w:val="16261F"/>
                <w:sz w:val="18"/>
              </w:rPr>
              <w:t>45</w:t>
            </w:r>
          </w:p>
        </w:tc>
      </w:tr>
      <w:tr>
        <w:tc>
          <w:tcPr>
            <w:tcW w:type="dxa" w:w="4896"/>
            <w:tcMar>
              <w:top w:w="60" w:type="dxa"/>
              <w:left w:w="110" w:type="dxa"/>
              <w:bottom w:w="60" w:type="dxa"/>
              <w:right w:w="110" w:type="dxa"/>
            </w:tcMar>
          </w:tcPr>
          <w:p>
            <w:pPr>
              <w:spacing w:after="0"/>
            </w:pPr>
            <w:r>
              <w:rPr>
                <w:b w:val="0"/>
                <w:i w:val="0"/>
                <w:color w:val="16261F"/>
                <w:sz w:val="18"/>
              </w:rPr>
              <w:t>CDN and WAF (Cloudflare Pro)</w:t>
            </w:r>
          </w:p>
        </w:tc>
        <w:tc>
          <w:tcPr>
            <w:tcW w:type="dxa" w:w="2232"/>
            <w:tcMar>
              <w:top w:w="60" w:type="dxa"/>
              <w:left w:w="110" w:type="dxa"/>
              <w:bottom w:w="60" w:type="dxa"/>
              <w:right w:w="110" w:type="dxa"/>
            </w:tcMar>
          </w:tcPr>
          <w:p>
            <w:pPr>
              <w:spacing w:after="0"/>
              <w:jc w:val="center"/>
            </w:pPr>
            <w:r>
              <w:rPr>
                <w:b w:val="0"/>
                <w:i w:val="0"/>
                <w:color w:val="16261F"/>
                <w:sz w:val="18"/>
              </w:rPr>
              <w:t>25</w:t>
            </w:r>
          </w:p>
        </w:tc>
        <w:tc>
          <w:tcPr>
            <w:tcW w:type="dxa" w:w="2232"/>
            <w:tcMar>
              <w:top w:w="60" w:type="dxa"/>
              <w:left w:w="110" w:type="dxa"/>
              <w:bottom w:w="60" w:type="dxa"/>
              <w:right w:w="110" w:type="dxa"/>
            </w:tcMar>
          </w:tcPr>
          <w:p>
            <w:pPr>
              <w:spacing w:after="0"/>
              <w:jc w:val="center"/>
            </w:pPr>
            <w:r>
              <w:rPr>
                <w:b w:val="0"/>
                <w:i w:val="0"/>
                <w:color w:val="16261F"/>
                <w:sz w:val="18"/>
              </w:rPr>
              <w:t>25</w:t>
            </w:r>
          </w:p>
        </w:tc>
      </w:tr>
      <w:tr>
        <w:tc>
          <w:tcPr>
            <w:tcW w:type="dxa" w:w="4896"/>
            <w:tcMar>
              <w:top w:w="60" w:type="dxa"/>
              <w:left w:w="110" w:type="dxa"/>
              <w:bottom w:w="60" w:type="dxa"/>
              <w:right w:w="110" w:type="dxa"/>
            </w:tcMar>
            <w:shd w:val="clear" w:color="auto" w:fill="F5F7F5"/>
          </w:tcPr>
          <w:p>
            <w:pPr>
              <w:spacing w:after="0"/>
            </w:pPr>
            <w:r>
              <w:rPr>
                <w:b w:val="0"/>
                <w:i w:val="0"/>
                <w:color w:val="16261F"/>
                <w:sz w:val="18"/>
              </w:rPr>
              <w:t>Cloudflare for Platforms (custom domains)</w:t>
            </w:r>
          </w:p>
        </w:tc>
        <w:tc>
          <w:tcPr>
            <w:tcW w:type="dxa" w:w="2232"/>
            <w:tcMar>
              <w:top w:w="60" w:type="dxa"/>
              <w:left w:w="110" w:type="dxa"/>
              <w:bottom w:w="60" w:type="dxa"/>
              <w:right w:w="110" w:type="dxa"/>
            </w:tcMar>
            <w:shd w:val="clear" w:color="auto" w:fill="F5F7F5"/>
          </w:tcPr>
          <w:p>
            <w:pPr>
              <w:spacing w:after="0"/>
              <w:jc w:val="center"/>
            </w:pPr>
            <w:r>
              <w:rPr>
                <w:b w:val="0"/>
                <w:i w:val="0"/>
                <w:color w:val="16261F"/>
                <w:sz w:val="18"/>
              </w:rPr>
              <w:t>0</w:t>
            </w:r>
          </w:p>
        </w:tc>
        <w:tc>
          <w:tcPr>
            <w:tcW w:type="dxa" w:w="2232"/>
            <w:tcMar>
              <w:top w:w="60" w:type="dxa"/>
              <w:left w:w="110" w:type="dxa"/>
              <w:bottom w:w="60" w:type="dxa"/>
              <w:right w:w="110" w:type="dxa"/>
            </w:tcMar>
            <w:shd w:val="clear" w:color="auto" w:fill="F5F7F5"/>
          </w:tcPr>
          <w:p>
            <w:pPr>
              <w:spacing w:after="0"/>
              <w:jc w:val="center"/>
            </w:pPr>
            <w:r>
              <w:rPr>
                <w:b w:val="0"/>
                <w:i w:val="0"/>
                <w:color w:val="16261F"/>
                <w:sz w:val="18"/>
              </w:rPr>
              <w:t>60</w:t>
            </w:r>
          </w:p>
        </w:tc>
      </w:tr>
      <w:tr>
        <w:tc>
          <w:tcPr>
            <w:tcW w:type="dxa" w:w="4896"/>
            <w:tcMar>
              <w:top w:w="60" w:type="dxa"/>
              <w:left w:w="110" w:type="dxa"/>
              <w:bottom w:w="60" w:type="dxa"/>
              <w:right w:w="110" w:type="dxa"/>
            </w:tcMar>
          </w:tcPr>
          <w:p>
            <w:pPr>
              <w:spacing w:after="0"/>
            </w:pPr>
            <w:r>
              <w:rPr>
                <w:b w:val="0"/>
                <w:i w:val="0"/>
                <w:color w:val="16261F"/>
                <w:sz w:val="18"/>
              </w:rPr>
              <w:t>Email delivery</w:t>
            </w:r>
          </w:p>
        </w:tc>
        <w:tc>
          <w:tcPr>
            <w:tcW w:type="dxa" w:w="2232"/>
            <w:tcMar>
              <w:top w:w="60" w:type="dxa"/>
              <w:left w:w="110" w:type="dxa"/>
              <w:bottom w:w="60" w:type="dxa"/>
              <w:right w:w="110" w:type="dxa"/>
            </w:tcMar>
          </w:tcPr>
          <w:p>
            <w:pPr>
              <w:spacing w:after="0"/>
              <w:jc w:val="center"/>
            </w:pPr>
            <w:r>
              <w:rPr>
                <w:b w:val="0"/>
                <w:i w:val="0"/>
                <w:color w:val="16261F"/>
                <w:sz w:val="18"/>
              </w:rPr>
              <w:t>15</w:t>
            </w:r>
          </w:p>
        </w:tc>
        <w:tc>
          <w:tcPr>
            <w:tcW w:type="dxa" w:w="2232"/>
            <w:tcMar>
              <w:top w:w="60" w:type="dxa"/>
              <w:left w:w="110" w:type="dxa"/>
              <w:bottom w:w="60" w:type="dxa"/>
              <w:right w:w="110" w:type="dxa"/>
            </w:tcMar>
          </w:tcPr>
          <w:p>
            <w:pPr>
              <w:spacing w:after="0"/>
              <w:jc w:val="center"/>
            </w:pPr>
            <w:r>
              <w:rPr>
                <w:b w:val="0"/>
                <w:i w:val="0"/>
                <w:color w:val="16261F"/>
                <w:sz w:val="18"/>
              </w:rPr>
              <w:t>120</w:t>
            </w:r>
          </w:p>
        </w:tc>
      </w:tr>
      <w:tr>
        <w:tc>
          <w:tcPr>
            <w:tcW w:type="dxa" w:w="4896"/>
            <w:tcMar>
              <w:top w:w="60" w:type="dxa"/>
              <w:left w:w="110" w:type="dxa"/>
              <w:bottom w:w="60" w:type="dxa"/>
              <w:right w:w="110" w:type="dxa"/>
            </w:tcMar>
            <w:shd w:val="clear" w:color="auto" w:fill="F5F7F5"/>
          </w:tcPr>
          <w:p>
            <w:pPr>
              <w:spacing w:after="0"/>
            </w:pPr>
            <w:r>
              <w:rPr>
                <w:b w:val="0"/>
                <w:i w:val="0"/>
                <w:color w:val="16261F"/>
                <w:sz w:val="18"/>
              </w:rPr>
              <w:t>Error tracking (Sentry)</w:t>
            </w:r>
          </w:p>
        </w:tc>
        <w:tc>
          <w:tcPr>
            <w:tcW w:type="dxa" w:w="2232"/>
            <w:tcMar>
              <w:top w:w="60" w:type="dxa"/>
              <w:left w:w="110" w:type="dxa"/>
              <w:bottom w:w="60" w:type="dxa"/>
              <w:right w:w="110" w:type="dxa"/>
            </w:tcMar>
            <w:shd w:val="clear" w:color="auto" w:fill="F5F7F5"/>
          </w:tcPr>
          <w:p>
            <w:pPr>
              <w:spacing w:after="0"/>
              <w:jc w:val="center"/>
            </w:pPr>
            <w:r>
              <w:rPr>
                <w:b w:val="0"/>
                <w:i w:val="0"/>
                <w:color w:val="16261F"/>
                <w:sz w:val="18"/>
              </w:rPr>
              <w:t>26</w:t>
            </w:r>
          </w:p>
        </w:tc>
        <w:tc>
          <w:tcPr>
            <w:tcW w:type="dxa" w:w="2232"/>
            <w:tcMar>
              <w:top w:w="60" w:type="dxa"/>
              <w:left w:w="110" w:type="dxa"/>
              <w:bottom w:w="60" w:type="dxa"/>
              <w:right w:w="110" w:type="dxa"/>
            </w:tcMar>
            <w:shd w:val="clear" w:color="auto" w:fill="F5F7F5"/>
          </w:tcPr>
          <w:p>
            <w:pPr>
              <w:spacing w:after="0"/>
              <w:jc w:val="center"/>
            </w:pPr>
            <w:r>
              <w:rPr>
                <w:b w:val="0"/>
                <w:i w:val="0"/>
                <w:color w:val="16261F"/>
                <w:sz w:val="18"/>
              </w:rPr>
              <w:t>80</w:t>
            </w:r>
          </w:p>
        </w:tc>
      </w:tr>
      <w:tr>
        <w:tc>
          <w:tcPr>
            <w:tcW w:type="dxa" w:w="4896"/>
            <w:tcMar>
              <w:top w:w="60" w:type="dxa"/>
              <w:left w:w="110" w:type="dxa"/>
              <w:bottom w:w="60" w:type="dxa"/>
              <w:right w:w="110" w:type="dxa"/>
            </w:tcMar>
          </w:tcPr>
          <w:p>
            <w:pPr>
              <w:spacing w:after="0"/>
            </w:pPr>
            <w:r>
              <w:rPr>
                <w:b w:val="0"/>
                <w:i w:val="0"/>
                <w:color w:val="16261F"/>
                <w:sz w:val="18"/>
              </w:rPr>
              <w:t>Observability (Grafana Cloud)</w:t>
            </w:r>
          </w:p>
        </w:tc>
        <w:tc>
          <w:tcPr>
            <w:tcW w:type="dxa" w:w="2232"/>
            <w:tcMar>
              <w:top w:w="60" w:type="dxa"/>
              <w:left w:w="110" w:type="dxa"/>
              <w:bottom w:w="60" w:type="dxa"/>
              <w:right w:w="110" w:type="dxa"/>
            </w:tcMar>
          </w:tcPr>
          <w:p>
            <w:pPr>
              <w:spacing w:after="0"/>
              <w:jc w:val="center"/>
            </w:pPr>
            <w:r>
              <w:rPr>
                <w:b w:val="0"/>
                <w:i w:val="0"/>
                <w:color w:val="16261F"/>
                <w:sz w:val="18"/>
              </w:rPr>
              <w:t>0</w:t>
            </w:r>
          </w:p>
        </w:tc>
        <w:tc>
          <w:tcPr>
            <w:tcW w:type="dxa" w:w="2232"/>
            <w:tcMar>
              <w:top w:w="60" w:type="dxa"/>
              <w:left w:w="110" w:type="dxa"/>
              <w:bottom w:w="60" w:type="dxa"/>
              <w:right w:w="110" w:type="dxa"/>
            </w:tcMar>
          </w:tcPr>
          <w:p>
            <w:pPr>
              <w:spacing w:after="0"/>
              <w:jc w:val="center"/>
            </w:pPr>
            <w:r>
              <w:rPr>
                <w:b w:val="0"/>
                <w:i w:val="0"/>
                <w:color w:val="16261F"/>
                <w:sz w:val="18"/>
              </w:rPr>
              <w:t>150</w:t>
            </w:r>
          </w:p>
        </w:tc>
      </w:tr>
      <w:tr>
        <w:tc>
          <w:tcPr>
            <w:tcW w:type="dxa" w:w="4896"/>
            <w:tcMar>
              <w:top w:w="60" w:type="dxa"/>
              <w:left w:w="110" w:type="dxa"/>
              <w:bottom w:w="60" w:type="dxa"/>
              <w:right w:w="110" w:type="dxa"/>
            </w:tcMar>
            <w:shd w:val="clear" w:color="auto" w:fill="F5F7F5"/>
          </w:tcPr>
          <w:p>
            <w:pPr>
              <w:spacing w:after="0"/>
            </w:pPr>
            <w:r>
              <w:rPr>
                <w:b w:val="0"/>
                <w:i w:val="0"/>
                <w:color w:val="16261F"/>
                <w:sz w:val="18"/>
              </w:rPr>
              <w:t>Uptime monitoring</w:t>
            </w:r>
          </w:p>
        </w:tc>
        <w:tc>
          <w:tcPr>
            <w:tcW w:type="dxa" w:w="2232"/>
            <w:tcMar>
              <w:top w:w="60" w:type="dxa"/>
              <w:left w:w="110" w:type="dxa"/>
              <w:bottom w:w="60" w:type="dxa"/>
              <w:right w:w="110" w:type="dxa"/>
            </w:tcMar>
            <w:shd w:val="clear" w:color="auto" w:fill="F5F7F5"/>
          </w:tcPr>
          <w:p>
            <w:pPr>
              <w:spacing w:after="0"/>
              <w:jc w:val="center"/>
            </w:pPr>
            <w:r>
              <w:rPr>
                <w:b w:val="0"/>
                <w:i w:val="0"/>
                <w:color w:val="16261F"/>
                <w:sz w:val="18"/>
              </w:rPr>
              <w:t>0</w:t>
            </w:r>
          </w:p>
        </w:tc>
        <w:tc>
          <w:tcPr>
            <w:tcW w:type="dxa" w:w="2232"/>
            <w:tcMar>
              <w:top w:w="60" w:type="dxa"/>
              <w:left w:w="110" w:type="dxa"/>
              <w:bottom w:w="60" w:type="dxa"/>
              <w:right w:w="110" w:type="dxa"/>
            </w:tcMar>
            <w:shd w:val="clear" w:color="auto" w:fill="F5F7F5"/>
          </w:tcPr>
          <w:p>
            <w:pPr>
              <w:spacing w:after="0"/>
              <w:jc w:val="center"/>
            </w:pPr>
            <w:r>
              <w:rPr>
                <w:b w:val="0"/>
                <w:i w:val="0"/>
                <w:color w:val="16261F"/>
                <w:sz w:val="18"/>
              </w:rPr>
              <w:t>30</w:t>
            </w:r>
          </w:p>
        </w:tc>
      </w:tr>
      <w:tr>
        <w:tc>
          <w:tcPr>
            <w:tcW w:type="dxa" w:w="4896"/>
            <w:tcMar>
              <w:top w:w="60" w:type="dxa"/>
              <w:left w:w="110" w:type="dxa"/>
              <w:bottom w:w="60" w:type="dxa"/>
              <w:right w:w="110" w:type="dxa"/>
            </w:tcMar>
          </w:tcPr>
          <w:p>
            <w:pPr>
              <w:spacing w:after="0"/>
            </w:pPr>
            <w:r>
              <w:rPr>
                <w:b w:val="0"/>
                <w:i w:val="0"/>
                <w:color w:val="16261F"/>
                <w:sz w:val="18"/>
              </w:rPr>
              <w:t>Secret management (Doppler)</w:t>
            </w:r>
          </w:p>
        </w:tc>
        <w:tc>
          <w:tcPr>
            <w:tcW w:type="dxa" w:w="2232"/>
            <w:tcMar>
              <w:top w:w="60" w:type="dxa"/>
              <w:left w:w="110" w:type="dxa"/>
              <w:bottom w:w="60" w:type="dxa"/>
              <w:right w:w="110" w:type="dxa"/>
            </w:tcMar>
          </w:tcPr>
          <w:p>
            <w:pPr>
              <w:spacing w:after="0"/>
              <w:jc w:val="center"/>
            </w:pPr>
            <w:r>
              <w:rPr>
                <w:b w:val="0"/>
                <w:i w:val="0"/>
                <w:color w:val="16261F"/>
                <w:sz w:val="18"/>
              </w:rPr>
              <w:t>0</w:t>
            </w:r>
          </w:p>
        </w:tc>
        <w:tc>
          <w:tcPr>
            <w:tcW w:type="dxa" w:w="2232"/>
            <w:tcMar>
              <w:top w:w="60" w:type="dxa"/>
              <w:left w:w="110" w:type="dxa"/>
              <w:bottom w:w="60" w:type="dxa"/>
              <w:right w:w="110" w:type="dxa"/>
            </w:tcMar>
          </w:tcPr>
          <w:p>
            <w:pPr>
              <w:spacing w:after="0"/>
              <w:jc w:val="center"/>
            </w:pPr>
            <w:r>
              <w:rPr>
                <w:b w:val="0"/>
                <w:i w:val="0"/>
                <w:color w:val="16261F"/>
                <w:sz w:val="18"/>
              </w:rPr>
              <w:t>25</w:t>
            </w:r>
          </w:p>
        </w:tc>
      </w:tr>
      <w:tr>
        <w:tc>
          <w:tcPr>
            <w:tcW w:type="dxa" w:w="4896"/>
            <w:tcMar>
              <w:top w:w="60" w:type="dxa"/>
              <w:left w:w="110" w:type="dxa"/>
              <w:bottom w:w="60" w:type="dxa"/>
              <w:right w:w="110" w:type="dxa"/>
            </w:tcMar>
            <w:shd w:val="clear" w:color="auto" w:fill="F5F7F5"/>
          </w:tcPr>
          <w:p>
            <w:pPr>
              <w:spacing w:after="0"/>
            </w:pPr>
            <w:r>
              <w:rPr>
                <w:b w:val="0"/>
                <w:i w:val="0"/>
                <w:color w:val="16261F"/>
                <w:sz w:val="18"/>
              </w:rPr>
              <w:t>Email client testing</w:t>
            </w:r>
          </w:p>
        </w:tc>
        <w:tc>
          <w:tcPr>
            <w:tcW w:type="dxa" w:w="2232"/>
            <w:tcMar>
              <w:top w:w="60" w:type="dxa"/>
              <w:left w:w="110" w:type="dxa"/>
              <w:bottom w:w="60" w:type="dxa"/>
              <w:right w:w="110" w:type="dxa"/>
            </w:tcMar>
            <w:shd w:val="clear" w:color="auto" w:fill="F5F7F5"/>
          </w:tcPr>
          <w:p>
            <w:pPr>
              <w:spacing w:after="0"/>
              <w:jc w:val="center"/>
            </w:pPr>
            <w:r>
              <w:rPr>
                <w:b w:val="0"/>
                <w:i w:val="0"/>
                <w:color w:val="16261F"/>
                <w:sz w:val="18"/>
              </w:rPr>
              <w:t>0</w:t>
            </w:r>
          </w:p>
        </w:tc>
        <w:tc>
          <w:tcPr>
            <w:tcW w:type="dxa" w:w="2232"/>
            <w:tcMar>
              <w:top w:w="60" w:type="dxa"/>
              <w:left w:w="110" w:type="dxa"/>
              <w:bottom w:w="60" w:type="dxa"/>
              <w:right w:w="110" w:type="dxa"/>
            </w:tcMar>
            <w:shd w:val="clear" w:color="auto" w:fill="F5F7F5"/>
          </w:tcPr>
          <w:p>
            <w:pPr>
              <w:spacing w:after="0"/>
              <w:jc w:val="center"/>
            </w:pPr>
            <w:r>
              <w:rPr>
                <w:b w:val="0"/>
                <w:i w:val="0"/>
                <w:color w:val="16261F"/>
                <w:sz w:val="18"/>
              </w:rPr>
              <w:t>100</w:t>
            </w:r>
          </w:p>
        </w:tc>
      </w:tr>
      <w:tr>
        <w:tc>
          <w:tcPr>
            <w:tcW w:type="dxa" w:w="4896"/>
            <w:tcMar>
              <w:top w:w="60" w:type="dxa"/>
              <w:left w:w="110" w:type="dxa"/>
              <w:bottom w:w="60" w:type="dxa"/>
              <w:right w:w="110" w:type="dxa"/>
            </w:tcMar>
          </w:tcPr>
          <w:p>
            <w:pPr>
              <w:spacing w:after="0"/>
            </w:pPr>
            <w:r>
              <w:rPr>
                <w:b/>
                <w:i w:val="0"/>
                <w:color w:val="16261F"/>
                <w:sz w:val="18"/>
              </w:rPr>
              <w:t>Total</w:t>
            </w:r>
          </w:p>
        </w:tc>
        <w:tc>
          <w:tcPr>
            <w:tcW w:type="dxa" w:w="2232"/>
            <w:tcMar>
              <w:top w:w="60" w:type="dxa"/>
              <w:left w:w="110" w:type="dxa"/>
              <w:bottom w:w="60" w:type="dxa"/>
              <w:right w:w="110" w:type="dxa"/>
            </w:tcMar>
          </w:tcPr>
          <w:p>
            <w:pPr>
              <w:spacing w:after="0"/>
              <w:jc w:val="center"/>
            </w:pPr>
            <w:r>
              <w:rPr>
                <w:b/>
                <w:i w:val="0"/>
                <w:color w:val="16261F"/>
                <w:sz w:val="18"/>
              </w:rPr>
              <w:t>236</w:t>
            </w:r>
          </w:p>
        </w:tc>
        <w:tc>
          <w:tcPr>
            <w:tcW w:type="dxa" w:w="2232"/>
            <w:tcMar>
              <w:top w:w="60" w:type="dxa"/>
              <w:left w:w="110" w:type="dxa"/>
              <w:bottom w:w="60" w:type="dxa"/>
              <w:right w:w="110" w:type="dxa"/>
            </w:tcMar>
          </w:tcPr>
          <w:p>
            <w:pPr>
              <w:spacing w:after="0"/>
              <w:jc w:val="center"/>
            </w:pPr>
            <w:r>
              <w:rPr>
                <w:b/>
                <w:i w:val="0"/>
                <w:color w:val="16261F"/>
                <w:sz w:val="18"/>
              </w:rPr>
              <w:t>1,085</w:t>
            </w:r>
          </w:p>
        </w:tc>
      </w:tr>
    </w:tbl>
    <w:p>
      <w:pPr>
        <w:pStyle w:val="Heading2"/>
      </w:pPr>
      <w:r>
        <w:t>14.2 Path B — AWS, scale posture</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3120"/>
        <w:gridCol w:w="3120"/>
        <w:gridCol w:w="3120"/>
      </w:tblGrid>
      <w:tr>
        <w:trPr>
          <w:tblHeader w:val="true"/>
        </w:trPr>
        <w:tc>
          <w:tcPr>
            <w:tcW w:type="dxa" w:w="4896"/>
            <w:shd w:val="clear" w:color="auto" w:fill="16261F"/>
            <w:tcMar>
              <w:top w:w="70" w:type="dxa"/>
              <w:left w:w="110" w:type="dxa"/>
              <w:bottom w:w="70" w:type="dxa"/>
              <w:right w:w="110" w:type="dxa"/>
            </w:tcMar>
          </w:tcPr>
          <w:p>
            <w:pPr>
              <w:spacing w:after="0"/>
            </w:pPr>
            <w:r>
              <w:rPr>
                <w:rFonts w:ascii="Calibri" w:hAnsi="Calibri"/>
                <w:b/>
                <w:color w:val="FFFFFF"/>
                <w:sz w:val="17"/>
              </w:rPr>
              <w:t>Item</w:t>
            </w:r>
          </w:p>
        </w:tc>
        <w:tc>
          <w:tcPr>
            <w:tcW w:type="dxa" w:w="2232"/>
            <w:shd w:val="clear" w:color="auto" w:fill="16261F"/>
            <w:tcMar>
              <w:top w:w="70" w:type="dxa"/>
              <w:left w:w="110" w:type="dxa"/>
              <w:bottom w:w="70" w:type="dxa"/>
              <w:right w:w="110" w:type="dxa"/>
            </w:tcMar>
          </w:tcPr>
          <w:p>
            <w:pPr>
              <w:spacing w:after="0"/>
              <w:jc w:val="center"/>
            </w:pPr>
            <w:r>
              <w:rPr>
                <w:rFonts w:ascii="Calibri" w:hAnsi="Calibri"/>
                <w:b/>
                <w:color w:val="FFFFFF"/>
                <w:sz w:val="17"/>
              </w:rPr>
              <w:t>At launch</w:t>
            </w:r>
          </w:p>
        </w:tc>
        <w:tc>
          <w:tcPr>
            <w:tcW w:type="dxa" w:w="2232"/>
            <w:shd w:val="clear" w:color="auto" w:fill="16261F"/>
            <w:tcMar>
              <w:top w:w="70" w:type="dxa"/>
              <w:left w:w="110" w:type="dxa"/>
              <w:bottom w:w="70" w:type="dxa"/>
              <w:right w:w="110" w:type="dxa"/>
            </w:tcMar>
          </w:tcPr>
          <w:p>
            <w:pPr>
              <w:spacing w:after="0"/>
              <w:jc w:val="center"/>
            </w:pPr>
            <w:r>
              <w:rPr>
                <w:rFonts w:ascii="Calibri" w:hAnsi="Calibri"/>
                <w:b/>
                <w:color w:val="FFFFFF"/>
                <w:sz w:val="17"/>
              </w:rPr>
              <w:t>Month 12</w:t>
            </w:r>
          </w:p>
        </w:tc>
      </w:tr>
      <w:tr>
        <w:tc>
          <w:tcPr>
            <w:tcW w:type="dxa" w:w="4896"/>
            <w:tcMar>
              <w:top w:w="60" w:type="dxa"/>
              <w:left w:w="110" w:type="dxa"/>
              <w:bottom w:w="60" w:type="dxa"/>
              <w:right w:w="110" w:type="dxa"/>
            </w:tcMar>
          </w:tcPr>
          <w:p>
            <w:pPr>
              <w:spacing w:after="0"/>
            </w:pPr>
            <w:r>
              <w:rPr>
                <w:b w:val="0"/>
                <w:i w:val="0"/>
                <w:color w:val="16261F"/>
                <w:sz w:val="18"/>
              </w:rPr>
              <w:t>ECS Fargate (app + workers)</w:t>
            </w:r>
          </w:p>
        </w:tc>
        <w:tc>
          <w:tcPr>
            <w:tcW w:type="dxa" w:w="2232"/>
            <w:tcMar>
              <w:top w:w="60" w:type="dxa"/>
              <w:left w:w="110" w:type="dxa"/>
              <w:bottom w:w="60" w:type="dxa"/>
              <w:right w:w="110" w:type="dxa"/>
            </w:tcMar>
          </w:tcPr>
          <w:p>
            <w:pPr>
              <w:spacing w:after="0"/>
              <w:jc w:val="center"/>
            </w:pPr>
            <w:r>
              <w:rPr>
                <w:b w:val="0"/>
                <w:i w:val="0"/>
                <w:color w:val="16261F"/>
                <w:sz w:val="18"/>
              </w:rPr>
              <w:t>250</w:t>
            </w:r>
          </w:p>
        </w:tc>
        <w:tc>
          <w:tcPr>
            <w:tcW w:type="dxa" w:w="2232"/>
            <w:tcMar>
              <w:top w:w="60" w:type="dxa"/>
              <w:left w:w="110" w:type="dxa"/>
              <w:bottom w:w="60" w:type="dxa"/>
              <w:right w:w="110" w:type="dxa"/>
            </w:tcMar>
          </w:tcPr>
          <w:p>
            <w:pPr>
              <w:spacing w:after="0"/>
              <w:jc w:val="center"/>
            </w:pPr>
            <w:r>
              <w:rPr>
                <w:b w:val="0"/>
                <w:i w:val="0"/>
                <w:color w:val="16261F"/>
                <w:sz w:val="18"/>
              </w:rPr>
              <w:t>650</w:t>
            </w:r>
          </w:p>
        </w:tc>
      </w:tr>
      <w:tr>
        <w:tc>
          <w:tcPr>
            <w:tcW w:type="dxa" w:w="4896"/>
            <w:tcMar>
              <w:top w:w="60" w:type="dxa"/>
              <w:left w:w="110" w:type="dxa"/>
              <w:bottom w:w="60" w:type="dxa"/>
              <w:right w:w="110" w:type="dxa"/>
            </w:tcMar>
            <w:shd w:val="clear" w:color="auto" w:fill="F5F7F5"/>
          </w:tcPr>
          <w:p>
            <w:pPr>
              <w:spacing w:after="0"/>
            </w:pPr>
            <w:r>
              <w:rPr>
                <w:b w:val="0"/>
                <w:i w:val="0"/>
                <w:color w:val="16261F"/>
                <w:sz w:val="18"/>
              </w:rPr>
              <w:t>RDS PostgreSQL Multi-AZ</w:t>
            </w:r>
          </w:p>
        </w:tc>
        <w:tc>
          <w:tcPr>
            <w:tcW w:type="dxa" w:w="2232"/>
            <w:tcMar>
              <w:top w:w="60" w:type="dxa"/>
              <w:left w:w="110" w:type="dxa"/>
              <w:bottom w:w="60" w:type="dxa"/>
              <w:right w:w="110" w:type="dxa"/>
            </w:tcMar>
            <w:shd w:val="clear" w:color="auto" w:fill="F5F7F5"/>
          </w:tcPr>
          <w:p>
            <w:pPr>
              <w:spacing w:after="0"/>
              <w:jc w:val="center"/>
            </w:pPr>
            <w:r>
              <w:rPr>
                <w:b w:val="0"/>
                <w:i w:val="0"/>
                <w:color w:val="16261F"/>
                <w:sz w:val="18"/>
              </w:rPr>
              <w:t>220</w:t>
            </w:r>
          </w:p>
        </w:tc>
        <w:tc>
          <w:tcPr>
            <w:tcW w:type="dxa" w:w="2232"/>
            <w:tcMar>
              <w:top w:w="60" w:type="dxa"/>
              <w:left w:w="110" w:type="dxa"/>
              <w:bottom w:w="60" w:type="dxa"/>
              <w:right w:w="110" w:type="dxa"/>
            </w:tcMar>
            <w:shd w:val="clear" w:color="auto" w:fill="F5F7F5"/>
          </w:tcPr>
          <w:p>
            <w:pPr>
              <w:spacing w:after="0"/>
              <w:jc w:val="center"/>
            </w:pPr>
            <w:r>
              <w:rPr>
                <w:b w:val="0"/>
                <w:i w:val="0"/>
                <w:color w:val="16261F"/>
                <w:sz w:val="18"/>
              </w:rPr>
              <w:t>480</w:t>
            </w:r>
          </w:p>
        </w:tc>
      </w:tr>
      <w:tr>
        <w:tc>
          <w:tcPr>
            <w:tcW w:type="dxa" w:w="4896"/>
            <w:tcMar>
              <w:top w:w="60" w:type="dxa"/>
              <w:left w:w="110" w:type="dxa"/>
              <w:bottom w:w="60" w:type="dxa"/>
              <w:right w:w="110" w:type="dxa"/>
            </w:tcMar>
          </w:tcPr>
          <w:p>
            <w:pPr>
              <w:spacing w:after="0"/>
            </w:pPr>
            <w:r>
              <w:rPr>
                <w:b w:val="0"/>
                <w:i w:val="0"/>
                <w:color w:val="16261F"/>
                <w:sz w:val="18"/>
              </w:rPr>
              <w:t>ElastiCache Redis</w:t>
            </w:r>
          </w:p>
        </w:tc>
        <w:tc>
          <w:tcPr>
            <w:tcW w:type="dxa" w:w="2232"/>
            <w:tcMar>
              <w:top w:w="60" w:type="dxa"/>
              <w:left w:w="110" w:type="dxa"/>
              <w:bottom w:w="60" w:type="dxa"/>
              <w:right w:w="110" w:type="dxa"/>
            </w:tcMar>
          </w:tcPr>
          <w:p>
            <w:pPr>
              <w:spacing w:after="0"/>
              <w:jc w:val="center"/>
            </w:pPr>
            <w:r>
              <w:rPr>
                <w:b w:val="0"/>
                <w:i w:val="0"/>
                <w:color w:val="16261F"/>
                <w:sz w:val="18"/>
              </w:rPr>
              <w:t>50</w:t>
            </w:r>
          </w:p>
        </w:tc>
        <w:tc>
          <w:tcPr>
            <w:tcW w:type="dxa" w:w="2232"/>
            <w:tcMar>
              <w:top w:w="60" w:type="dxa"/>
              <w:left w:w="110" w:type="dxa"/>
              <w:bottom w:w="60" w:type="dxa"/>
              <w:right w:w="110" w:type="dxa"/>
            </w:tcMar>
          </w:tcPr>
          <w:p>
            <w:pPr>
              <w:spacing w:after="0"/>
              <w:jc w:val="center"/>
            </w:pPr>
            <w:r>
              <w:rPr>
                <w:b w:val="0"/>
                <w:i w:val="0"/>
                <w:color w:val="16261F"/>
                <w:sz w:val="18"/>
              </w:rPr>
              <w:t>120</w:t>
            </w:r>
          </w:p>
        </w:tc>
      </w:tr>
      <w:tr>
        <w:tc>
          <w:tcPr>
            <w:tcW w:type="dxa" w:w="4896"/>
            <w:tcMar>
              <w:top w:w="60" w:type="dxa"/>
              <w:left w:w="110" w:type="dxa"/>
              <w:bottom w:w="60" w:type="dxa"/>
              <w:right w:w="110" w:type="dxa"/>
            </w:tcMar>
            <w:shd w:val="clear" w:color="auto" w:fill="F5F7F5"/>
          </w:tcPr>
          <w:p>
            <w:pPr>
              <w:spacing w:after="0"/>
            </w:pPr>
            <w:r>
              <w:rPr>
                <w:b w:val="0"/>
                <w:i w:val="0"/>
                <w:color w:val="16261F"/>
                <w:sz w:val="18"/>
              </w:rPr>
              <w:t>S3 and CloudFront</w:t>
            </w:r>
          </w:p>
        </w:tc>
        <w:tc>
          <w:tcPr>
            <w:tcW w:type="dxa" w:w="2232"/>
            <w:tcMar>
              <w:top w:w="60" w:type="dxa"/>
              <w:left w:w="110" w:type="dxa"/>
              <w:bottom w:w="60" w:type="dxa"/>
              <w:right w:w="110" w:type="dxa"/>
            </w:tcMar>
            <w:shd w:val="clear" w:color="auto" w:fill="F5F7F5"/>
          </w:tcPr>
          <w:p>
            <w:pPr>
              <w:spacing w:after="0"/>
              <w:jc w:val="center"/>
            </w:pPr>
            <w:r>
              <w:rPr>
                <w:b w:val="0"/>
                <w:i w:val="0"/>
                <w:color w:val="16261F"/>
                <w:sz w:val="18"/>
              </w:rPr>
              <w:t>20</w:t>
            </w:r>
          </w:p>
        </w:tc>
        <w:tc>
          <w:tcPr>
            <w:tcW w:type="dxa" w:w="2232"/>
            <w:tcMar>
              <w:top w:w="60" w:type="dxa"/>
              <w:left w:w="110" w:type="dxa"/>
              <w:bottom w:w="60" w:type="dxa"/>
              <w:right w:w="110" w:type="dxa"/>
            </w:tcMar>
            <w:shd w:val="clear" w:color="auto" w:fill="F5F7F5"/>
          </w:tcPr>
          <w:p>
            <w:pPr>
              <w:spacing w:after="0"/>
              <w:jc w:val="center"/>
            </w:pPr>
            <w:r>
              <w:rPr>
                <w:b w:val="0"/>
                <w:i w:val="0"/>
                <w:color w:val="16261F"/>
                <w:sz w:val="18"/>
              </w:rPr>
              <w:t>80</w:t>
            </w:r>
          </w:p>
        </w:tc>
      </w:tr>
      <w:tr>
        <w:tc>
          <w:tcPr>
            <w:tcW w:type="dxa" w:w="4896"/>
            <w:tcMar>
              <w:top w:w="60" w:type="dxa"/>
              <w:left w:w="110" w:type="dxa"/>
              <w:bottom w:w="60" w:type="dxa"/>
              <w:right w:w="110" w:type="dxa"/>
            </w:tcMar>
          </w:tcPr>
          <w:p>
            <w:pPr>
              <w:spacing w:after="0"/>
            </w:pPr>
            <w:r>
              <w:rPr>
                <w:b w:val="0"/>
                <w:i w:val="0"/>
                <w:color w:val="16261F"/>
                <w:sz w:val="18"/>
              </w:rPr>
              <w:t>Application Load Balancer</w:t>
            </w:r>
          </w:p>
        </w:tc>
        <w:tc>
          <w:tcPr>
            <w:tcW w:type="dxa" w:w="2232"/>
            <w:tcMar>
              <w:top w:w="60" w:type="dxa"/>
              <w:left w:w="110" w:type="dxa"/>
              <w:bottom w:w="60" w:type="dxa"/>
              <w:right w:w="110" w:type="dxa"/>
            </w:tcMar>
          </w:tcPr>
          <w:p>
            <w:pPr>
              <w:spacing w:after="0"/>
              <w:jc w:val="center"/>
            </w:pPr>
            <w:r>
              <w:rPr>
                <w:b w:val="0"/>
                <w:i w:val="0"/>
                <w:color w:val="16261F"/>
                <w:sz w:val="18"/>
              </w:rPr>
              <w:t>25</w:t>
            </w:r>
          </w:p>
        </w:tc>
        <w:tc>
          <w:tcPr>
            <w:tcW w:type="dxa" w:w="2232"/>
            <w:tcMar>
              <w:top w:w="60" w:type="dxa"/>
              <w:left w:w="110" w:type="dxa"/>
              <w:bottom w:w="60" w:type="dxa"/>
              <w:right w:w="110" w:type="dxa"/>
            </w:tcMar>
          </w:tcPr>
          <w:p>
            <w:pPr>
              <w:spacing w:after="0"/>
              <w:jc w:val="center"/>
            </w:pPr>
            <w:r>
              <w:rPr>
                <w:b w:val="0"/>
                <w:i w:val="0"/>
                <w:color w:val="16261F"/>
                <w:sz w:val="18"/>
              </w:rPr>
              <w:t>35</w:t>
            </w:r>
          </w:p>
        </w:tc>
      </w:tr>
      <w:tr>
        <w:tc>
          <w:tcPr>
            <w:tcW w:type="dxa" w:w="4896"/>
            <w:tcMar>
              <w:top w:w="60" w:type="dxa"/>
              <w:left w:w="110" w:type="dxa"/>
              <w:bottom w:w="60" w:type="dxa"/>
              <w:right w:w="110" w:type="dxa"/>
            </w:tcMar>
            <w:shd w:val="clear" w:color="auto" w:fill="F5F7F5"/>
          </w:tcPr>
          <w:p>
            <w:pPr>
              <w:spacing w:after="0"/>
            </w:pPr>
            <w:r>
              <w:rPr>
                <w:b w:val="0"/>
                <w:i w:val="0"/>
                <w:color w:val="16261F"/>
                <w:sz w:val="18"/>
              </w:rPr>
              <w:t>Secrets Manager and KMS</w:t>
            </w:r>
          </w:p>
        </w:tc>
        <w:tc>
          <w:tcPr>
            <w:tcW w:type="dxa" w:w="2232"/>
            <w:tcMar>
              <w:top w:w="60" w:type="dxa"/>
              <w:left w:w="110" w:type="dxa"/>
              <w:bottom w:w="60" w:type="dxa"/>
              <w:right w:w="110" w:type="dxa"/>
            </w:tcMar>
            <w:shd w:val="clear" w:color="auto" w:fill="F5F7F5"/>
          </w:tcPr>
          <w:p>
            <w:pPr>
              <w:spacing w:after="0"/>
              <w:jc w:val="center"/>
            </w:pPr>
            <w:r>
              <w:rPr>
                <w:b w:val="0"/>
                <w:i w:val="0"/>
                <w:color w:val="16261F"/>
                <w:sz w:val="18"/>
              </w:rPr>
              <w:t>15</w:t>
            </w:r>
          </w:p>
        </w:tc>
        <w:tc>
          <w:tcPr>
            <w:tcW w:type="dxa" w:w="2232"/>
            <w:tcMar>
              <w:top w:w="60" w:type="dxa"/>
              <w:left w:w="110" w:type="dxa"/>
              <w:bottom w:w="60" w:type="dxa"/>
              <w:right w:w="110" w:type="dxa"/>
            </w:tcMar>
            <w:shd w:val="clear" w:color="auto" w:fill="F5F7F5"/>
          </w:tcPr>
          <w:p>
            <w:pPr>
              <w:spacing w:after="0"/>
              <w:jc w:val="center"/>
            </w:pPr>
            <w:r>
              <w:rPr>
                <w:b w:val="0"/>
                <w:i w:val="0"/>
                <w:color w:val="16261F"/>
                <w:sz w:val="18"/>
              </w:rPr>
              <w:t>30</w:t>
            </w:r>
          </w:p>
        </w:tc>
      </w:tr>
      <w:tr>
        <w:tc>
          <w:tcPr>
            <w:tcW w:type="dxa" w:w="4896"/>
            <w:tcMar>
              <w:top w:w="60" w:type="dxa"/>
              <w:left w:w="110" w:type="dxa"/>
              <w:bottom w:w="60" w:type="dxa"/>
              <w:right w:w="110" w:type="dxa"/>
            </w:tcMar>
          </w:tcPr>
          <w:p>
            <w:pPr>
              <w:spacing w:after="0"/>
            </w:pPr>
            <w:r>
              <w:rPr>
                <w:b w:val="0"/>
                <w:i w:val="0"/>
                <w:color w:val="16261F"/>
                <w:sz w:val="18"/>
              </w:rPr>
              <w:t>Cloudflare (WAF + custom domains)</w:t>
            </w:r>
          </w:p>
        </w:tc>
        <w:tc>
          <w:tcPr>
            <w:tcW w:type="dxa" w:w="2232"/>
            <w:tcMar>
              <w:top w:w="60" w:type="dxa"/>
              <w:left w:w="110" w:type="dxa"/>
              <w:bottom w:w="60" w:type="dxa"/>
              <w:right w:w="110" w:type="dxa"/>
            </w:tcMar>
          </w:tcPr>
          <w:p>
            <w:pPr>
              <w:spacing w:after="0"/>
              <w:jc w:val="center"/>
            </w:pPr>
            <w:r>
              <w:rPr>
                <w:b w:val="0"/>
                <w:i w:val="0"/>
                <w:color w:val="16261F"/>
                <w:sz w:val="18"/>
              </w:rPr>
              <w:t>25</w:t>
            </w:r>
          </w:p>
        </w:tc>
        <w:tc>
          <w:tcPr>
            <w:tcW w:type="dxa" w:w="2232"/>
            <w:tcMar>
              <w:top w:w="60" w:type="dxa"/>
              <w:left w:w="110" w:type="dxa"/>
              <w:bottom w:w="60" w:type="dxa"/>
              <w:right w:w="110" w:type="dxa"/>
            </w:tcMar>
          </w:tcPr>
          <w:p>
            <w:pPr>
              <w:spacing w:after="0"/>
              <w:jc w:val="center"/>
            </w:pPr>
            <w:r>
              <w:rPr>
                <w:b w:val="0"/>
                <w:i w:val="0"/>
                <w:color w:val="16261F"/>
                <w:sz w:val="18"/>
              </w:rPr>
              <w:t>85</w:t>
            </w:r>
          </w:p>
        </w:tc>
      </w:tr>
      <w:tr>
        <w:tc>
          <w:tcPr>
            <w:tcW w:type="dxa" w:w="4896"/>
            <w:tcMar>
              <w:top w:w="60" w:type="dxa"/>
              <w:left w:w="110" w:type="dxa"/>
              <w:bottom w:w="60" w:type="dxa"/>
              <w:right w:w="110" w:type="dxa"/>
            </w:tcMar>
            <w:shd w:val="clear" w:color="auto" w:fill="F5F7F5"/>
          </w:tcPr>
          <w:p>
            <w:pPr>
              <w:spacing w:after="0"/>
            </w:pPr>
            <w:r>
              <w:rPr>
                <w:b w:val="0"/>
                <w:i w:val="0"/>
                <w:color w:val="16261F"/>
                <w:sz w:val="18"/>
              </w:rPr>
              <w:t>Email delivery</w:t>
            </w:r>
          </w:p>
        </w:tc>
        <w:tc>
          <w:tcPr>
            <w:tcW w:type="dxa" w:w="2232"/>
            <w:tcMar>
              <w:top w:w="60" w:type="dxa"/>
              <w:left w:w="110" w:type="dxa"/>
              <w:bottom w:w="60" w:type="dxa"/>
              <w:right w:w="110" w:type="dxa"/>
            </w:tcMar>
            <w:shd w:val="clear" w:color="auto" w:fill="F5F7F5"/>
          </w:tcPr>
          <w:p>
            <w:pPr>
              <w:spacing w:after="0"/>
              <w:jc w:val="center"/>
            </w:pPr>
            <w:r>
              <w:rPr>
                <w:b w:val="0"/>
                <w:i w:val="0"/>
                <w:color w:val="16261F"/>
                <w:sz w:val="18"/>
              </w:rPr>
              <w:t>15</w:t>
            </w:r>
          </w:p>
        </w:tc>
        <w:tc>
          <w:tcPr>
            <w:tcW w:type="dxa" w:w="2232"/>
            <w:tcMar>
              <w:top w:w="60" w:type="dxa"/>
              <w:left w:w="110" w:type="dxa"/>
              <w:bottom w:w="60" w:type="dxa"/>
              <w:right w:w="110" w:type="dxa"/>
            </w:tcMar>
            <w:shd w:val="clear" w:color="auto" w:fill="F5F7F5"/>
          </w:tcPr>
          <w:p>
            <w:pPr>
              <w:spacing w:after="0"/>
              <w:jc w:val="center"/>
            </w:pPr>
            <w:r>
              <w:rPr>
                <w:b w:val="0"/>
                <w:i w:val="0"/>
                <w:color w:val="16261F"/>
                <w:sz w:val="18"/>
              </w:rPr>
              <w:t>120</w:t>
            </w:r>
          </w:p>
        </w:tc>
      </w:tr>
      <w:tr>
        <w:tc>
          <w:tcPr>
            <w:tcW w:type="dxa" w:w="4896"/>
            <w:tcMar>
              <w:top w:w="60" w:type="dxa"/>
              <w:left w:w="110" w:type="dxa"/>
              <w:bottom w:w="60" w:type="dxa"/>
              <w:right w:w="110" w:type="dxa"/>
            </w:tcMar>
          </w:tcPr>
          <w:p>
            <w:pPr>
              <w:spacing w:after="0"/>
            </w:pPr>
            <w:r>
              <w:rPr>
                <w:b w:val="0"/>
                <w:i w:val="0"/>
                <w:color w:val="16261F"/>
                <w:sz w:val="18"/>
              </w:rPr>
              <w:t>Observability (Datadog)</w:t>
            </w:r>
          </w:p>
        </w:tc>
        <w:tc>
          <w:tcPr>
            <w:tcW w:type="dxa" w:w="2232"/>
            <w:tcMar>
              <w:top w:w="60" w:type="dxa"/>
              <w:left w:w="110" w:type="dxa"/>
              <w:bottom w:w="60" w:type="dxa"/>
              <w:right w:w="110" w:type="dxa"/>
            </w:tcMar>
          </w:tcPr>
          <w:p>
            <w:pPr>
              <w:spacing w:after="0"/>
              <w:jc w:val="center"/>
            </w:pPr>
            <w:r>
              <w:rPr>
                <w:b w:val="0"/>
                <w:i w:val="0"/>
                <w:color w:val="16261F"/>
                <w:sz w:val="18"/>
              </w:rPr>
              <w:t>150</w:t>
            </w:r>
          </w:p>
        </w:tc>
        <w:tc>
          <w:tcPr>
            <w:tcW w:type="dxa" w:w="2232"/>
            <w:tcMar>
              <w:top w:w="60" w:type="dxa"/>
              <w:left w:w="110" w:type="dxa"/>
              <w:bottom w:w="60" w:type="dxa"/>
              <w:right w:w="110" w:type="dxa"/>
            </w:tcMar>
          </w:tcPr>
          <w:p>
            <w:pPr>
              <w:spacing w:after="0"/>
              <w:jc w:val="center"/>
            </w:pPr>
            <w:r>
              <w:rPr>
                <w:b w:val="0"/>
                <w:i w:val="0"/>
                <w:color w:val="16261F"/>
                <w:sz w:val="18"/>
              </w:rPr>
              <w:t>450</w:t>
            </w:r>
          </w:p>
        </w:tc>
      </w:tr>
      <w:tr>
        <w:tc>
          <w:tcPr>
            <w:tcW w:type="dxa" w:w="4896"/>
            <w:tcMar>
              <w:top w:w="60" w:type="dxa"/>
              <w:left w:w="110" w:type="dxa"/>
              <w:bottom w:w="60" w:type="dxa"/>
              <w:right w:w="110" w:type="dxa"/>
            </w:tcMar>
            <w:shd w:val="clear" w:color="auto" w:fill="F5F7F5"/>
          </w:tcPr>
          <w:p>
            <w:pPr>
              <w:spacing w:after="0"/>
            </w:pPr>
            <w:r>
              <w:rPr>
                <w:b w:val="0"/>
                <w:i w:val="0"/>
                <w:color w:val="16261F"/>
                <w:sz w:val="18"/>
              </w:rPr>
              <w:t>Error tracking (Sentry)</w:t>
            </w:r>
          </w:p>
        </w:tc>
        <w:tc>
          <w:tcPr>
            <w:tcW w:type="dxa" w:w="2232"/>
            <w:tcMar>
              <w:top w:w="60" w:type="dxa"/>
              <w:left w:w="110" w:type="dxa"/>
              <w:bottom w:w="60" w:type="dxa"/>
              <w:right w:w="110" w:type="dxa"/>
            </w:tcMar>
            <w:shd w:val="clear" w:color="auto" w:fill="F5F7F5"/>
          </w:tcPr>
          <w:p>
            <w:pPr>
              <w:spacing w:after="0"/>
              <w:jc w:val="center"/>
            </w:pPr>
            <w:r>
              <w:rPr>
                <w:b w:val="0"/>
                <w:i w:val="0"/>
                <w:color w:val="16261F"/>
                <w:sz w:val="18"/>
              </w:rPr>
              <w:t>26</w:t>
            </w:r>
          </w:p>
        </w:tc>
        <w:tc>
          <w:tcPr>
            <w:tcW w:type="dxa" w:w="2232"/>
            <w:tcMar>
              <w:top w:w="60" w:type="dxa"/>
              <w:left w:w="110" w:type="dxa"/>
              <w:bottom w:w="60" w:type="dxa"/>
              <w:right w:w="110" w:type="dxa"/>
            </w:tcMar>
            <w:shd w:val="clear" w:color="auto" w:fill="F5F7F5"/>
          </w:tcPr>
          <w:p>
            <w:pPr>
              <w:spacing w:after="0"/>
              <w:jc w:val="center"/>
            </w:pPr>
            <w:r>
              <w:rPr>
                <w:b w:val="0"/>
                <w:i w:val="0"/>
                <w:color w:val="16261F"/>
                <w:sz w:val="18"/>
              </w:rPr>
              <w:t>80</w:t>
            </w:r>
          </w:p>
        </w:tc>
      </w:tr>
      <w:tr>
        <w:tc>
          <w:tcPr>
            <w:tcW w:type="dxa" w:w="4896"/>
            <w:tcMar>
              <w:top w:w="60" w:type="dxa"/>
              <w:left w:w="110" w:type="dxa"/>
              <w:bottom w:w="60" w:type="dxa"/>
              <w:right w:w="110" w:type="dxa"/>
            </w:tcMar>
          </w:tcPr>
          <w:p>
            <w:pPr>
              <w:spacing w:after="0"/>
            </w:pPr>
            <w:r>
              <w:rPr>
                <w:b w:val="0"/>
                <w:i w:val="0"/>
                <w:color w:val="16261F"/>
                <w:sz w:val="18"/>
              </w:rPr>
              <w:t>Email client testing</w:t>
            </w:r>
          </w:p>
        </w:tc>
        <w:tc>
          <w:tcPr>
            <w:tcW w:type="dxa" w:w="2232"/>
            <w:tcMar>
              <w:top w:w="60" w:type="dxa"/>
              <w:left w:w="110" w:type="dxa"/>
              <w:bottom w:w="60" w:type="dxa"/>
              <w:right w:w="110" w:type="dxa"/>
            </w:tcMar>
          </w:tcPr>
          <w:p>
            <w:pPr>
              <w:spacing w:after="0"/>
              <w:jc w:val="center"/>
            </w:pPr>
            <w:r>
              <w:rPr>
                <w:b w:val="0"/>
                <w:i w:val="0"/>
                <w:color w:val="16261F"/>
                <w:sz w:val="18"/>
              </w:rPr>
              <w:t>0</w:t>
            </w:r>
          </w:p>
        </w:tc>
        <w:tc>
          <w:tcPr>
            <w:tcW w:type="dxa" w:w="2232"/>
            <w:tcMar>
              <w:top w:w="60" w:type="dxa"/>
              <w:left w:w="110" w:type="dxa"/>
              <w:bottom w:w="60" w:type="dxa"/>
              <w:right w:w="110" w:type="dxa"/>
            </w:tcMar>
          </w:tcPr>
          <w:p>
            <w:pPr>
              <w:spacing w:after="0"/>
              <w:jc w:val="center"/>
            </w:pPr>
            <w:r>
              <w:rPr>
                <w:b w:val="0"/>
                <w:i w:val="0"/>
                <w:color w:val="16261F"/>
                <w:sz w:val="18"/>
              </w:rPr>
              <w:t>100</w:t>
            </w:r>
          </w:p>
        </w:tc>
      </w:tr>
      <w:tr>
        <w:tc>
          <w:tcPr>
            <w:tcW w:type="dxa" w:w="4896"/>
            <w:tcMar>
              <w:top w:w="60" w:type="dxa"/>
              <w:left w:w="110" w:type="dxa"/>
              <w:bottom w:w="60" w:type="dxa"/>
              <w:right w:w="110" w:type="dxa"/>
            </w:tcMar>
            <w:shd w:val="clear" w:color="auto" w:fill="F5F7F5"/>
          </w:tcPr>
          <w:p>
            <w:pPr>
              <w:spacing w:after="0"/>
            </w:pPr>
            <w:r>
              <w:rPr>
                <w:b/>
                <w:i w:val="0"/>
                <w:color w:val="16261F"/>
                <w:sz w:val="18"/>
              </w:rPr>
              <w:t>Total</w:t>
            </w:r>
          </w:p>
        </w:tc>
        <w:tc>
          <w:tcPr>
            <w:tcW w:type="dxa" w:w="2232"/>
            <w:tcMar>
              <w:top w:w="60" w:type="dxa"/>
              <w:left w:w="110" w:type="dxa"/>
              <w:bottom w:w="60" w:type="dxa"/>
              <w:right w:w="110" w:type="dxa"/>
            </w:tcMar>
            <w:shd w:val="clear" w:color="auto" w:fill="F5F7F5"/>
          </w:tcPr>
          <w:p>
            <w:pPr>
              <w:spacing w:after="0"/>
              <w:jc w:val="center"/>
            </w:pPr>
            <w:r>
              <w:rPr>
                <w:b/>
                <w:i w:val="0"/>
                <w:color w:val="16261F"/>
                <w:sz w:val="18"/>
              </w:rPr>
              <w:t>796</w:t>
            </w:r>
          </w:p>
        </w:tc>
        <w:tc>
          <w:tcPr>
            <w:tcW w:type="dxa" w:w="2232"/>
            <w:tcMar>
              <w:top w:w="60" w:type="dxa"/>
              <w:left w:w="110" w:type="dxa"/>
              <w:bottom w:w="60" w:type="dxa"/>
              <w:right w:w="110" w:type="dxa"/>
            </w:tcMar>
            <w:shd w:val="clear" w:color="auto" w:fill="F5F7F5"/>
          </w:tcPr>
          <w:p>
            <w:pPr>
              <w:spacing w:after="0"/>
              <w:jc w:val="center"/>
            </w:pPr>
            <w:r>
              <w:rPr>
                <w:b/>
                <w:i w:val="0"/>
                <w:color w:val="16261F"/>
                <w:sz w:val="18"/>
              </w:rPr>
              <w:t>2,230</w:t>
            </w:r>
          </w:p>
        </w:tc>
      </w:tr>
    </w:tbl>
    <w:p>
      <w:pPr>
        <w:pStyle w:val="Heading2"/>
      </w:pPr>
      <w:r>
        <w:t>14.3 One-off and annual costs</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2340"/>
        <w:gridCol w:w="2340"/>
        <w:gridCol w:w="2340"/>
        <w:gridCol w:w="2340"/>
      </w:tblGrid>
      <w:tr>
        <w:trPr>
          <w:tblHeader w:val="true"/>
        </w:trPr>
        <w:tc>
          <w:tcPr>
            <w:tcW w:type="dxa" w:w="2448"/>
            <w:shd w:val="clear" w:color="auto" w:fill="16261F"/>
            <w:tcMar>
              <w:top w:w="70" w:type="dxa"/>
              <w:left w:w="110" w:type="dxa"/>
              <w:bottom w:w="70" w:type="dxa"/>
              <w:right w:w="110" w:type="dxa"/>
            </w:tcMar>
          </w:tcPr>
          <w:p>
            <w:pPr>
              <w:spacing w:after="0"/>
            </w:pPr>
            <w:r>
              <w:rPr>
                <w:rFonts w:ascii="Calibri" w:hAnsi="Calibri"/>
                <w:b/>
                <w:color w:val="FFFFFF"/>
                <w:sz w:val="17"/>
              </w:rPr>
              <w:t>Item</w:t>
            </w:r>
          </w:p>
        </w:tc>
        <w:tc>
          <w:tcPr>
            <w:tcW w:type="dxa" w:w="1800"/>
            <w:shd w:val="clear" w:color="auto" w:fill="16261F"/>
            <w:tcMar>
              <w:top w:w="70" w:type="dxa"/>
              <w:left w:w="110" w:type="dxa"/>
              <w:bottom w:w="70" w:type="dxa"/>
              <w:right w:w="110" w:type="dxa"/>
            </w:tcMar>
          </w:tcPr>
          <w:p>
            <w:pPr>
              <w:spacing w:after="0"/>
            </w:pPr>
            <w:r>
              <w:rPr>
                <w:rFonts w:ascii="Calibri" w:hAnsi="Calibri"/>
                <w:b/>
                <w:color w:val="FFFFFF"/>
                <w:sz w:val="17"/>
              </w:rPr>
              <w:t>Frequency</w:t>
            </w:r>
          </w:p>
        </w:tc>
        <w:tc>
          <w:tcPr>
            <w:tcW w:type="dxa" w:w="2376"/>
            <w:shd w:val="clear" w:color="auto" w:fill="16261F"/>
            <w:tcMar>
              <w:top w:w="70" w:type="dxa"/>
              <w:left w:w="110" w:type="dxa"/>
              <w:bottom w:w="70" w:type="dxa"/>
              <w:right w:w="110" w:type="dxa"/>
            </w:tcMar>
          </w:tcPr>
          <w:p>
            <w:pPr>
              <w:spacing w:after="0"/>
            </w:pPr>
            <w:r>
              <w:rPr>
                <w:rFonts w:ascii="Calibri" w:hAnsi="Calibri"/>
                <w:b/>
                <w:color w:val="FFFFFF"/>
                <w:sz w:val="17"/>
              </w:rPr>
              <w:t>Indicative cost</w:t>
            </w:r>
          </w:p>
        </w:tc>
        <w:tc>
          <w:tcPr>
            <w:tcW w:type="dxa" w:w="2736"/>
            <w:shd w:val="clear" w:color="auto" w:fill="16261F"/>
            <w:tcMar>
              <w:top w:w="70" w:type="dxa"/>
              <w:left w:w="110" w:type="dxa"/>
              <w:bottom w:w="70" w:type="dxa"/>
              <w:right w:w="110" w:type="dxa"/>
            </w:tcMar>
          </w:tcPr>
          <w:p>
            <w:pPr>
              <w:spacing w:after="0"/>
            </w:pPr>
            <w:r>
              <w:rPr>
                <w:rFonts w:ascii="Calibri" w:hAnsi="Calibri"/>
                <w:b/>
                <w:color w:val="FFFFFF"/>
                <w:sz w:val="17"/>
              </w:rPr>
              <w:t>Driver</w:t>
            </w:r>
          </w:p>
        </w:tc>
      </w:tr>
      <w:tr>
        <w:tc>
          <w:tcPr>
            <w:tcW w:type="dxa" w:w="2448"/>
            <w:tcMar>
              <w:top w:w="60" w:type="dxa"/>
              <w:left w:w="110" w:type="dxa"/>
              <w:bottom w:w="60" w:type="dxa"/>
              <w:right w:w="110" w:type="dxa"/>
            </w:tcMar>
          </w:tcPr>
          <w:p>
            <w:pPr>
              <w:spacing w:after="0"/>
            </w:pPr>
            <w:r>
              <w:rPr>
                <w:b w:val="0"/>
                <w:i w:val="0"/>
                <w:color w:val="16261F"/>
                <w:sz w:val="18"/>
              </w:rPr>
              <w:t>Penetration test</w:t>
            </w:r>
          </w:p>
        </w:tc>
        <w:tc>
          <w:tcPr>
            <w:tcW w:type="dxa" w:w="1800"/>
            <w:tcMar>
              <w:top w:w="60" w:type="dxa"/>
              <w:left w:w="110" w:type="dxa"/>
              <w:bottom w:w="60" w:type="dxa"/>
              <w:right w:w="110" w:type="dxa"/>
            </w:tcMar>
          </w:tcPr>
          <w:p>
            <w:pPr>
              <w:spacing w:after="0"/>
            </w:pPr>
            <w:r>
              <w:rPr>
                <w:b w:val="0"/>
                <w:i w:val="0"/>
                <w:color w:val="16261F"/>
                <w:sz w:val="18"/>
              </w:rPr>
              <w:t>Annual + pre-launch</w:t>
            </w:r>
          </w:p>
        </w:tc>
        <w:tc>
          <w:tcPr>
            <w:tcW w:type="dxa" w:w="2376"/>
            <w:tcMar>
              <w:top w:w="60" w:type="dxa"/>
              <w:left w:w="110" w:type="dxa"/>
              <w:bottom w:w="60" w:type="dxa"/>
              <w:right w:w="110" w:type="dxa"/>
            </w:tcMar>
          </w:tcPr>
          <w:p>
            <w:pPr>
              <w:spacing w:after="0"/>
            </w:pPr>
            <w:r>
              <w:rPr>
                <w:b w:val="0"/>
                <w:i w:val="0"/>
                <w:color w:val="16261F"/>
                <w:sz w:val="18"/>
              </w:rPr>
              <w:t>8,000 – 20,000</w:t>
            </w:r>
          </w:p>
        </w:tc>
        <w:tc>
          <w:tcPr>
            <w:tcW w:type="dxa" w:w="2736"/>
            <w:tcMar>
              <w:top w:w="60" w:type="dxa"/>
              <w:left w:w="110" w:type="dxa"/>
              <w:bottom w:w="60" w:type="dxa"/>
              <w:right w:w="110" w:type="dxa"/>
            </w:tcMar>
          </w:tcPr>
          <w:p>
            <w:pPr>
              <w:spacing w:after="0"/>
            </w:pPr>
            <w:r>
              <w:rPr>
                <w:b w:val="0"/>
                <w:i w:val="0"/>
                <w:color w:val="16261F"/>
                <w:sz w:val="18"/>
              </w:rPr>
              <w:t>NFR-SEC-042</w:t>
            </w:r>
          </w:p>
        </w:tc>
      </w:tr>
      <w:tr>
        <w:tc>
          <w:tcPr>
            <w:tcW w:type="dxa" w:w="2448"/>
            <w:tcMar>
              <w:top w:w="60" w:type="dxa"/>
              <w:left w:w="110" w:type="dxa"/>
              <w:bottom w:w="60" w:type="dxa"/>
              <w:right w:w="110" w:type="dxa"/>
            </w:tcMar>
            <w:shd w:val="clear" w:color="auto" w:fill="F5F7F5"/>
          </w:tcPr>
          <w:p>
            <w:pPr>
              <w:spacing w:after="0"/>
            </w:pPr>
            <w:r>
              <w:rPr>
                <w:b w:val="0"/>
                <w:i w:val="0"/>
                <w:color w:val="16261F"/>
                <w:sz w:val="18"/>
              </w:rPr>
              <w:t>PCI SAQ A validation</w:t>
            </w:r>
          </w:p>
        </w:tc>
        <w:tc>
          <w:tcPr>
            <w:tcW w:type="dxa" w:w="1800"/>
            <w:tcMar>
              <w:top w:w="60" w:type="dxa"/>
              <w:left w:w="110" w:type="dxa"/>
              <w:bottom w:w="60" w:type="dxa"/>
              <w:right w:w="110" w:type="dxa"/>
            </w:tcMar>
            <w:shd w:val="clear" w:color="auto" w:fill="F5F7F5"/>
          </w:tcPr>
          <w:p>
            <w:pPr>
              <w:spacing w:after="0"/>
            </w:pPr>
            <w:r>
              <w:rPr>
                <w:b w:val="0"/>
                <w:i w:val="0"/>
                <w:color w:val="16261F"/>
                <w:sz w:val="18"/>
              </w:rPr>
              <w:t>Annual</w:t>
            </w:r>
          </w:p>
        </w:tc>
        <w:tc>
          <w:tcPr>
            <w:tcW w:type="dxa" w:w="2376"/>
            <w:tcMar>
              <w:top w:w="60" w:type="dxa"/>
              <w:left w:w="110" w:type="dxa"/>
              <w:bottom w:w="60" w:type="dxa"/>
              <w:right w:w="110" w:type="dxa"/>
            </w:tcMar>
            <w:shd w:val="clear" w:color="auto" w:fill="F5F7F5"/>
          </w:tcPr>
          <w:p>
            <w:pPr>
              <w:spacing w:after="0"/>
            </w:pPr>
            <w:r>
              <w:rPr>
                <w:b w:val="0"/>
                <w:i w:val="0"/>
                <w:color w:val="16261F"/>
                <w:sz w:val="18"/>
              </w:rPr>
              <w:t>0 – 2,500</w:t>
            </w:r>
          </w:p>
        </w:tc>
        <w:tc>
          <w:tcPr>
            <w:tcW w:type="dxa" w:w="2736"/>
            <w:tcMar>
              <w:top w:w="60" w:type="dxa"/>
              <w:left w:w="110" w:type="dxa"/>
              <w:bottom w:w="60" w:type="dxa"/>
              <w:right w:w="110" w:type="dxa"/>
            </w:tcMar>
            <w:shd w:val="clear" w:color="auto" w:fill="F5F7F5"/>
          </w:tcPr>
          <w:p>
            <w:pPr>
              <w:spacing w:after="0"/>
            </w:pPr>
            <w:r>
              <w:rPr>
                <w:b w:val="0"/>
                <w:i w:val="0"/>
                <w:color w:val="16261F"/>
                <w:sz w:val="18"/>
              </w:rPr>
              <w:t>Self-assessment; ASV scanning if the acquirer requires it</w:t>
            </w:r>
          </w:p>
        </w:tc>
      </w:tr>
      <w:tr>
        <w:tc>
          <w:tcPr>
            <w:tcW w:type="dxa" w:w="2448"/>
            <w:tcMar>
              <w:top w:w="60" w:type="dxa"/>
              <w:left w:w="110" w:type="dxa"/>
              <w:bottom w:w="60" w:type="dxa"/>
              <w:right w:w="110" w:type="dxa"/>
            </w:tcMar>
          </w:tcPr>
          <w:p>
            <w:pPr>
              <w:spacing w:after="0"/>
            </w:pPr>
            <w:r>
              <w:rPr>
                <w:b w:val="0"/>
                <w:i w:val="0"/>
                <w:color w:val="C0473D"/>
                <w:sz w:val="18"/>
              </w:rPr>
              <w:t>PCI SAQ D validation</w:t>
            </w:r>
          </w:p>
        </w:tc>
        <w:tc>
          <w:tcPr>
            <w:tcW w:type="dxa" w:w="1800"/>
            <w:tcMar>
              <w:top w:w="60" w:type="dxa"/>
              <w:left w:w="110" w:type="dxa"/>
              <w:bottom w:w="60" w:type="dxa"/>
              <w:right w:w="110" w:type="dxa"/>
            </w:tcMar>
          </w:tcPr>
          <w:p>
            <w:pPr>
              <w:spacing w:after="0"/>
            </w:pPr>
            <w:r>
              <w:rPr>
                <w:b w:val="0"/>
                <w:i w:val="0"/>
                <w:color w:val="16261F"/>
                <w:sz w:val="18"/>
              </w:rPr>
              <w:t>Annual</w:t>
            </w:r>
          </w:p>
        </w:tc>
        <w:tc>
          <w:tcPr>
            <w:tcW w:type="dxa" w:w="2376"/>
            <w:tcMar>
              <w:top w:w="60" w:type="dxa"/>
              <w:left w:w="110" w:type="dxa"/>
              <w:bottom w:w="60" w:type="dxa"/>
              <w:right w:w="110" w:type="dxa"/>
            </w:tcMar>
          </w:tcPr>
          <w:p>
            <w:pPr>
              <w:spacing w:after="0"/>
            </w:pPr>
            <w:r>
              <w:rPr>
                <w:b/>
                <w:i w:val="0"/>
                <w:color w:val="C0473D"/>
                <w:sz w:val="18"/>
              </w:rPr>
              <w:t>40,000 – 150,000+</w:t>
            </w:r>
          </w:p>
        </w:tc>
        <w:tc>
          <w:tcPr>
            <w:tcW w:type="dxa" w:w="2736"/>
            <w:tcMar>
              <w:top w:w="60" w:type="dxa"/>
              <w:left w:w="110" w:type="dxa"/>
              <w:bottom w:w="60" w:type="dxa"/>
              <w:right w:w="110" w:type="dxa"/>
            </w:tcMar>
          </w:tcPr>
          <w:p>
            <w:pPr>
              <w:spacing w:after="0"/>
            </w:pPr>
            <w:r>
              <w:rPr>
                <w:b w:val="0"/>
                <w:i w:val="0"/>
                <w:color w:val="C0473D"/>
                <w:sz w:val="18"/>
              </w:rPr>
              <w:t>Only if DEP-01 lands badly — see risk R-01</w:t>
            </w:r>
          </w:p>
        </w:tc>
      </w:tr>
      <w:tr>
        <w:tc>
          <w:tcPr>
            <w:tcW w:type="dxa" w:w="2448"/>
            <w:tcMar>
              <w:top w:w="60" w:type="dxa"/>
              <w:left w:w="110" w:type="dxa"/>
              <w:bottom w:w="60" w:type="dxa"/>
              <w:right w:w="110" w:type="dxa"/>
            </w:tcMar>
            <w:shd w:val="clear" w:color="auto" w:fill="F5F7F5"/>
          </w:tcPr>
          <w:p>
            <w:pPr>
              <w:spacing w:after="0"/>
            </w:pPr>
            <w:r>
              <w:rPr>
                <w:b w:val="0"/>
                <w:i w:val="0"/>
                <w:color w:val="16261F"/>
                <w:sz w:val="18"/>
              </w:rPr>
              <w:t>Numbers Gateway transaction fees</w:t>
            </w:r>
          </w:p>
        </w:tc>
        <w:tc>
          <w:tcPr>
            <w:tcW w:type="dxa" w:w="1800"/>
            <w:tcMar>
              <w:top w:w="60" w:type="dxa"/>
              <w:left w:w="110" w:type="dxa"/>
              <w:bottom w:w="60" w:type="dxa"/>
              <w:right w:w="110" w:type="dxa"/>
            </w:tcMar>
            <w:shd w:val="clear" w:color="auto" w:fill="F5F7F5"/>
          </w:tcPr>
          <w:p>
            <w:pPr>
              <w:spacing w:after="0"/>
            </w:pPr>
            <w:r>
              <w:rPr>
                <w:b w:val="0"/>
                <w:i w:val="0"/>
                <w:color w:val="16261F"/>
                <w:sz w:val="18"/>
              </w:rPr>
              <w:t>Per transaction</w:t>
            </w:r>
          </w:p>
        </w:tc>
        <w:tc>
          <w:tcPr>
            <w:tcW w:type="dxa" w:w="2376"/>
            <w:tcMar>
              <w:top w:w="60" w:type="dxa"/>
              <w:left w:w="110" w:type="dxa"/>
              <w:bottom w:w="60" w:type="dxa"/>
              <w:right w:w="110" w:type="dxa"/>
            </w:tcMar>
            <w:shd w:val="clear" w:color="auto" w:fill="F5F7F5"/>
          </w:tcPr>
          <w:p>
            <w:pPr>
              <w:spacing w:after="0"/>
            </w:pPr>
            <w:r>
              <w:rPr>
                <w:b w:val="0"/>
                <w:i w:val="0"/>
                <w:color w:val="16261F"/>
                <w:sz w:val="18"/>
              </w:rPr>
              <w:t>Unknown</w:t>
            </w:r>
          </w:p>
        </w:tc>
        <w:tc>
          <w:tcPr>
            <w:tcW w:type="dxa" w:w="2736"/>
            <w:tcMar>
              <w:top w:w="60" w:type="dxa"/>
              <w:left w:w="110" w:type="dxa"/>
              <w:bottom w:w="60" w:type="dxa"/>
              <w:right w:w="110" w:type="dxa"/>
            </w:tcMar>
            <w:shd w:val="clear" w:color="auto" w:fill="F5F7F5"/>
          </w:tcPr>
          <w:p>
            <w:pPr>
              <w:spacing w:after="0"/>
            </w:pPr>
            <w:r>
              <w:rPr>
                <w:b w:val="0"/>
                <w:i w:val="0"/>
                <w:color w:val="16261F"/>
                <w:sz w:val="18"/>
              </w:rPr>
              <w:t>Blocked on DEP-01</w:t>
            </w:r>
          </w:p>
        </w:tc>
      </w:tr>
      <w:tr>
        <w:tc>
          <w:tcPr>
            <w:tcW w:type="dxa" w:w="2448"/>
            <w:tcMar>
              <w:top w:w="60" w:type="dxa"/>
              <w:left w:w="110" w:type="dxa"/>
              <w:bottom w:w="60" w:type="dxa"/>
              <w:right w:w="110" w:type="dxa"/>
            </w:tcMar>
          </w:tcPr>
          <w:p>
            <w:pPr>
              <w:spacing w:after="0"/>
            </w:pPr>
            <w:r>
              <w:rPr>
                <w:b w:val="0"/>
                <w:i w:val="0"/>
                <w:color w:val="16261F"/>
                <w:sz w:val="18"/>
              </w:rPr>
              <w:t>Zoho Books subscription</w:t>
            </w:r>
          </w:p>
        </w:tc>
        <w:tc>
          <w:tcPr>
            <w:tcW w:type="dxa" w:w="1800"/>
            <w:tcMar>
              <w:top w:w="60" w:type="dxa"/>
              <w:left w:w="110" w:type="dxa"/>
              <w:bottom w:w="60" w:type="dxa"/>
              <w:right w:w="110" w:type="dxa"/>
            </w:tcMar>
          </w:tcPr>
          <w:p>
            <w:pPr>
              <w:spacing w:after="0"/>
            </w:pPr>
            <w:r>
              <w:rPr>
                <w:b w:val="0"/>
                <w:i w:val="0"/>
                <w:color w:val="16261F"/>
                <w:sz w:val="18"/>
              </w:rPr>
              <w:t>Monthly, client-held</w:t>
            </w:r>
          </w:p>
        </w:tc>
        <w:tc>
          <w:tcPr>
            <w:tcW w:type="dxa" w:w="2376"/>
            <w:tcMar>
              <w:top w:w="60" w:type="dxa"/>
              <w:left w:w="110" w:type="dxa"/>
              <w:bottom w:w="60" w:type="dxa"/>
              <w:right w:w="110" w:type="dxa"/>
            </w:tcMar>
          </w:tcPr>
          <w:p>
            <w:pPr>
              <w:spacing w:after="0"/>
            </w:pPr>
            <w:r>
              <w:rPr>
                <w:b w:val="0"/>
                <w:i w:val="0"/>
                <w:color w:val="16261F"/>
                <w:sz w:val="18"/>
              </w:rPr>
              <w:t>Client cost</w:t>
            </w:r>
          </w:p>
        </w:tc>
        <w:tc>
          <w:tcPr>
            <w:tcW w:type="dxa" w:w="2736"/>
            <w:tcMar>
              <w:top w:w="60" w:type="dxa"/>
              <w:left w:w="110" w:type="dxa"/>
              <w:bottom w:w="60" w:type="dxa"/>
              <w:right w:w="110" w:type="dxa"/>
            </w:tcMar>
          </w:tcPr>
          <w:p>
            <w:pPr>
              <w:spacing w:after="0"/>
            </w:pPr>
            <w:r>
              <w:rPr>
                <w:b w:val="0"/>
                <w:i w:val="0"/>
                <w:color w:val="16261F"/>
                <w:sz w:val="18"/>
              </w:rPr>
              <w:t>Existing client subscription assumed</w:t>
            </w:r>
          </w:p>
        </w:tc>
      </w:tr>
    </w:tbl>
    <w:p>
      <w:r>
        <w:br w:type="page"/>
      </w:r>
    </w:p>
    <w:p>
      <w:pPr>
        <w:pStyle w:val="Heading1"/>
      </w:pPr>
      <w:r>
        <w:t>15. Skills matrix and team shape</w:t>
      </w:r>
    </w:p>
    <w:p>
      <w:pPr>
        <w:pStyle w:val="Heading2"/>
      </w:pPr>
      <w:r>
        <w:t>15.1 Skills required</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3120"/>
        <w:gridCol w:w="3120"/>
        <w:gridCol w:w="3120"/>
      </w:tblGrid>
      <w:tr>
        <w:trPr>
          <w:tblHeader w:val="true"/>
        </w:trPr>
        <w:tc>
          <w:tcPr>
            <w:tcW w:type="dxa" w:w="2520"/>
            <w:shd w:val="clear" w:color="auto" w:fill="16261F"/>
            <w:tcMar>
              <w:top w:w="70" w:type="dxa"/>
              <w:left w:w="110" w:type="dxa"/>
              <w:bottom w:w="70" w:type="dxa"/>
              <w:right w:w="110" w:type="dxa"/>
            </w:tcMar>
          </w:tcPr>
          <w:p>
            <w:pPr>
              <w:spacing w:after="0"/>
            </w:pPr>
            <w:r>
              <w:rPr>
                <w:rFonts w:ascii="Calibri" w:hAnsi="Calibri"/>
                <w:b/>
                <w:color w:val="FFFFFF"/>
                <w:sz w:val="17"/>
              </w:rPr>
              <w:t>Skill</w:t>
            </w:r>
          </w:p>
        </w:tc>
        <w:tc>
          <w:tcPr>
            <w:tcW w:type="dxa" w:w="1368"/>
            <w:shd w:val="clear" w:color="auto" w:fill="16261F"/>
            <w:tcMar>
              <w:top w:w="70" w:type="dxa"/>
              <w:left w:w="110" w:type="dxa"/>
              <w:bottom w:w="70" w:type="dxa"/>
              <w:right w:w="110" w:type="dxa"/>
            </w:tcMar>
          </w:tcPr>
          <w:p>
            <w:pPr>
              <w:spacing w:after="0"/>
            </w:pPr>
            <w:r>
              <w:rPr>
                <w:rFonts w:ascii="Calibri" w:hAnsi="Calibri"/>
                <w:b/>
                <w:color w:val="FFFFFF"/>
                <w:sz w:val="17"/>
              </w:rPr>
              <w:t>Level</w:t>
            </w:r>
          </w:p>
        </w:tc>
        <w:tc>
          <w:tcPr>
            <w:tcW w:type="dxa" w:w="5472"/>
            <w:shd w:val="clear" w:color="auto" w:fill="16261F"/>
            <w:tcMar>
              <w:top w:w="70" w:type="dxa"/>
              <w:left w:w="110" w:type="dxa"/>
              <w:bottom w:w="70" w:type="dxa"/>
              <w:right w:w="110" w:type="dxa"/>
            </w:tcMar>
          </w:tcPr>
          <w:p>
            <w:pPr>
              <w:spacing w:after="0"/>
            </w:pPr>
            <w:r>
              <w:rPr>
                <w:rFonts w:ascii="Calibri" w:hAnsi="Calibri"/>
                <w:b/>
                <w:color w:val="FFFFFF"/>
                <w:sz w:val="17"/>
              </w:rPr>
              <w:t>Where it is needed</w:t>
            </w:r>
          </w:p>
        </w:tc>
      </w:tr>
      <w:tr>
        <w:tc>
          <w:tcPr>
            <w:tcW w:type="dxa" w:w="2520"/>
            <w:tcMar>
              <w:top w:w="60" w:type="dxa"/>
              <w:left w:w="110" w:type="dxa"/>
              <w:bottom w:w="60" w:type="dxa"/>
              <w:right w:w="110" w:type="dxa"/>
            </w:tcMar>
          </w:tcPr>
          <w:p>
            <w:pPr>
              <w:spacing w:after="0"/>
            </w:pPr>
            <w:r>
              <w:rPr>
                <w:b w:val="0"/>
                <w:i w:val="0"/>
                <w:color w:val="16261F"/>
                <w:sz w:val="18"/>
              </w:rPr>
              <w:t>TypeScript, strict mode</w:t>
            </w:r>
          </w:p>
        </w:tc>
        <w:tc>
          <w:tcPr>
            <w:tcW w:type="dxa" w:w="1368"/>
            <w:tcMar>
              <w:top w:w="60" w:type="dxa"/>
              <w:left w:w="110" w:type="dxa"/>
              <w:bottom w:w="60" w:type="dxa"/>
              <w:right w:w="110" w:type="dxa"/>
            </w:tcMar>
          </w:tcPr>
          <w:p>
            <w:pPr>
              <w:spacing w:after="0"/>
            </w:pPr>
            <w:r>
              <w:rPr>
                <w:b w:val="0"/>
                <w:i w:val="0"/>
                <w:color w:val="16261F"/>
                <w:sz w:val="18"/>
              </w:rPr>
              <w:t>Expert</w:t>
            </w:r>
          </w:p>
        </w:tc>
        <w:tc>
          <w:tcPr>
            <w:tcW w:type="dxa" w:w="5472"/>
            <w:tcMar>
              <w:top w:w="60" w:type="dxa"/>
              <w:left w:w="110" w:type="dxa"/>
              <w:bottom w:w="60" w:type="dxa"/>
              <w:right w:w="110" w:type="dxa"/>
            </w:tcMar>
          </w:tcPr>
          <w:p>
            <w:pPr>
              <w:spacing w:after="0"/>
            </w:pPr>
            <w:r>
              <w:rPr>
                <w:b w:val="0"/>
                <w:i w:val="0"/>
                <w:color w:val="16261F"/>
                <w:sz w:val="18"/>
              </w:rPr>
              <w:t>Everywhere. This is the foundational competency.</w:t>
            </w:r>
          </w:p>
        </w:tc>
      </w:tr>
      <w:tr>
        <w:tc>
          <w:tcPr>
            <w:tcW w:type="dxa" w:w="2520"/>
            <w:tcMar>
              <w:top w:w="60" w:type="dxa"/>
              <w:left w:w="110" w:type="dxa"/>
              <w:bottom w:w="60" w:type="dxa"/>
              <w:right w:w="110" w:type="dxa"/>
            </w:tcMar>
            <w:shd w:val="clear" w:color="auto" w:fill="F5F7F5"/>
          </w:tcPr>
          <w:p>
            <w:pPr>
              <w:spacing w:after="0"/>
            </w:pPr>
            <w:r>
              <w:rPr>
                <w:b w:val="0"/>
                <w:i w:val="0"/>
                <w:color w:val="16261F"/>
                <w:sz w:val="18"/>
              </w:rPr>
              <w:t>React and Next.js</w:t>
            </w:r>
          </w:p>
        </w:tc>
        <w:tc>
          <w:tcPr>
            <w:tcW w:type="dxa" w:w="1368"/>
            <w:tcMar>
              <w:top w:w="60" w:type="dxa"/>
              <w:left w:w="110" w:type="dxa"/>
              <w:bottom w:w="60" w:type="dxa"/>
              <w:right w:w="110" w:type="dxa"/>
            </w:tcMar>
            <w:shd w:val="clear" w:color="auto" w:fill="F5F7F5"/>
          </w:tcPr>
          <w:p>
            <w:pPr>
              <w:spacing w:after="0"/>
            </w:pPr>
            <w:r>
              <w:rPr>
                <w:b w:val="0"/>
                <w:i w:val="0"/>
                <w:color w:val="16261F"/>
                <w:sz w:val="18"/>
              </w:rPr>
              <w:t>Strong</w:t>
            </w:r>
          </w:p>
        </w:tc>
        <w:tc>
          <w:tcPr>
            <w:tcW w:type="dxa" w:w="5472"/>
            <w:tcMar>
              <w:top w:w="60" w:type="dxa"/>
              <w:left w:w="110" w:type="dxa"/>
              <w:bottom w:w="60" w:type="dxa"/>
              <w:right w:w="110" w:type="dxa"/>
            </w:tcMar>
            <w:shd w:val="clear" w:color="auto" w:fill="F5F7F5"/>
          </w:tcPr>
          <w:p>
            <w:pPr>
              <w:spacing w:after="0"/>
            </w:pPr>
            <w:r>
              <w:rPr>
                <w:b w:val="0"/>
                <w:i w:val="0"/>
                <w:color w:val="16261F"/>
                <w:sz w:val="18"/>
              </w:rPr>
              <w:t>Both applications; server-side rendering on the payment path.</w:t>
            </w:r>
          </w:p>
        </w:tc>
      </w:tr>
      <w:tr>
        <w:tc>
          <w:tcPr>
            <w:tcW w:type="dxa" w:w="2520"/>
            <w:tcMar>
              <w:top w:w="60" w:type="dxa"/>
              <w:left w:w="110" w:type="dxa"/>
              <w:bottom w:w="60" w:type="dxa"/>
              <w:right w:w="110" w:type="dxa"/>
            </w:tcMar>
          </w:tcPr>
          <w:p>
            <w:pPr>
              <w:spacing w:after="0"/>
            </w:pPr>
            <w:r>
              <w:rPr>
                <w:b w:val="0"/>
                <w:i w:val="0"/>
                <w:color w:val="16261F"/>
                <w:sz w:val="18"/>
              </w:rPr>
              <w:t>Node.js backend, NestJS or equivalent</w:t>
            </w:r>
          </w:p>
        </w:tc>
        <w:tc>
          <w:tcPr>
            <w:tcW w:type="dxa" w:w="1368"/>
            <w:tcMar>
              <w:top w:w="60" w:type="dxa"/>
              <w:left w:w="110" w:type="dxa"/>
              <w:bottom w:w="60" w:type="dxa"/>
              <w:right w:w="110" w:type="dxa"/>
            </w:tcMar>
          </w:tcPr>
          <w:p>
            <w:pPr>
              <w:spacing w:after="0"/>
            </w:pPr>
            <w:r>
              <w:rPr>
                <w:b w:val="0"/>
                <w:i w:val="0"/>
                <w:color w:val="16261F"/>
                <w:sz w:val="18"/>
              </w:rPr>
              <w:t>Strong</w:t>
            </w:r>
          </w:p>
        </w:tc>
        <w:tc>
          <w:tcPr>
            <w:tcW w:type="dxa" w:w="5472"/>
            <w:tcMar>
              <w:top w:w="60" w:type="dxa"/>
              <w:left w:w="110" w:type="dxa"/>
              <w:bottom w:w="60" w:type="dxa"/>
              <w:right w:w="110" w:type="dxa"/>
            </w:tcMar>
          </w:tcPr>
          <w:p>
            <w:pPr>
              <w:spacing w:after="0"/>
            </w:pPr>
            <w:r>
              <w:rPr>
                <w:b w:val="0"/>
                <w:i w:val="0"/>
                <w:color w:val="16261F"/>
                <w:sz w:val="18"/>
              </w:rPr>
              <w:t>All services, ports and adapters.</w:t>
            </w:r>
          </w:p>
        </w:tc>
      </w:tr>
      <w:tr>
        <w:tc>
          <w:tcPr>
            <w:tcW w:type="dxa" w:w="2520"/>
            <w:tcMar>
              <w:top w:w="60" w:type="dxa"/>
              <w:left w:w="110" w:type="dxa"/>
              <w:bottom w:w="60" w:type="dxa"/>
              <w:right w:w="110" w:type="dxa"/>
            </w:tcMar>
            <w:shd w:val="clear" w:color="auto" w:fill="F5F7F5"/>
          </w:tcPr>
          <w:p>
            <w:pPr>
              <w:spacing w:after="0"/>
            </w:pPr>
            <w:r>
              <w:rPr>
                <w:b w:val="0"/>
                <w:i w:val="0"/>
                <w:color w:val="16261F"/>
                <w:sz w:val="18"/>
              </w:rPr>
              <w:t>PostgreSQL including RLS</w:t>
            </w:r>
          </w:p>
        </w:tc>
        <w:tc>
          <w:tcPr>
            <w:tcW w:type="dxa" w:w="1368"/>
            <w:tcMar>
              <w:top w:w="60" w:type="dxa"/>
              <w:left w:w="110" w:type="dxa"/>
              <w:bottom w:w="60" w:type="dxa"/>
              <w:right w:w="110" w:type="dxa"/>
            </w:tcMar>
            <w:shd w:val="clear" w:color="auto" w:fill="F5F7F5"/>
          </w:tcPr>
          <w:p>
            <w:pPr>
              <w:spacing w:after="0"/>
            </w:pPr>
            <w:r>
              <w:rPr>
                <w:b w:val="0"/>
                <w:i w:val="0"/>
                <w:color w:val="16261F"/>
                <w:sz w:val="18"/>
              </w:rPr>
              <w:t>Strong</w:t>
            </w:r>
          </w:p>
        </w:tc>
        <w:tc>
          <w:tcPr>
            <w:tcW w:type="dxa" w:w="5472"/>
            <w:tcMar>
              <w:top w:w="60" w:type="dxa"/>
              <w:left w:w="110" w:type="dxa"/>
              <w:bottom w:w="60" w:type="dxa"/>
              <w:right w:w="110" w:type="dxa"/>
            </w:tcMar>
            <w:shd w:val="clear" w:color="auto" w:fill="F5F7F5"/>
          </w:tcPr>
          <w:p>
            <w:pPr>
              <w:spacing w:after="0"/>
            </w:pPr>
            <w:r>
              <w:rPr>
                <w:b w:val="0"/>
                <w:i w:val="0"/>
                <w:color w:val="16261F"/>
                <w:sz w:val="18"/>
              </w:rPr>
              <w:t>Data layer. RLS specifically — this is less common than general SQL and is decisive for ADR-003.</w:t>
            </w:r>
          </w:p>
        </w:tc>
      </w:tr>
      <w:tr>
        <w:tc>
          <w:tcPr>
            <w:tcW w:type="dxa" w:w="2520"/>
            <w:tcMar>
              <w:top w:w="60" w:type="dxa"/>
              <w:left w:w="110" w:type="dxa"/>
              <w:bottom w:w="60" w:type="dxa"/>
              <w:right w:w="110" w:type="dxa"/>
            </w:tcMar>
          </w:tcPr>
          <w:p>
            <w:pPr>
              <w:spacing w:after="0"/>
            </w:pPr>
            <w:r>
              <w:rPr>
                <w:b w:val="0"/>
                <w:i w:val="0"/>
                <w:color w:val="16261F"/>
                <w:sz w:val="18"/>
              </w:rPr>
              <w:t>Payment gateway integration</w:t>
            </w:r>
          </w:p>
        </w:tc>
        <w:tc>
          <w:tcPr>
            <w:tcW w:type="dxa" w:w="1368"/>
            <w:tcMar>
              <w:top w:w="60" w:type="dxa"/>
              <w:left w:w="110" w:type="dxa"/>
              <w:bottom w:w="60" w:type="dxa"/>
              <w:right w:w="110" w:type="dxa"/>
            </w:tcMar>
          </w:tcPr>
          <w:p>
            <w:pPr>
              <w:spacing w:after="0"/>
            </w:pPr>
            <w:r>
              <w:rPr>
                <w:b w:val="0"/>
                <w:i w:val="0"/>
                <w:color w:val="16261F"/>
                <w:sz w:val="18"/>
              </w:rPr>
              <w:t>Strong</w:t>
            </w:r>
          </w:p>
        </w:tc>
        <w:tc>
          <w:tcPr>
            <w:tcW w:type="dxa" w:w="5472"/>
            <w:tcMar>
              <w:top w:w="60" w:type="dxa"/>
              <w:left w:w="110" w:type="dxa"/>
              <w:bottom w:w="60" w:type="dxa"/>
              <w:right w:w="110" w:type="dxa"/>
            </w:tcMar>
          </w:tcPr>
          <w:p>
            <w:pPr>
              <w:spacing w:after="0"/>
            </w:pPr>
            <w:r>
              <w:rPr>
                <w:b w:val="0"/>
                <w:i w:val="0"/>
                <w:color w:val="16261F"/>
                <w:sz w:val="18"/>
              </w:rPr>
              <w:t>Numbers Gateway adapter, webhook handling, idempotency, reconciliation.</w:t>
            </w:r>
          </w:p>
        </w:tc>
      </w:tr>
      <w:tr>
        <w:tc>
          <w:tcPr>
            <w:tcW w:type="dxa" w:w="2520"/>
            <w:tcMar>
              <w:top w:w="60" w:type="dxa"/>
              <w:left w:w="110" w:type="dxa"/>
              <w:bottom w:w="60" w:type="dxa"/>
              <w:right w:w="110" w:type="dxa"/>
            </w:tcMar>
            <w:shd w:val="clear" w:color="auto" w:fill="F5F7F5"/>
          </w:tcPr>
          <w:p>
            <w:pPr>
              <w:spacing w:after="0"/>
            </w:pPr>
            <w:r>
              <w:rPr>
                <w:b w:val="0"/>
                <w:i w:val="0"/>
                <w:color w:val="16261F"/>
                <w:sz w:val="18"/>
              </w:rPr>
              <w:t>Accounting or ERP integration</w:t>
            </w:r>
          </w:p>
        </w:tc>
        <w:tc>
          <w:tcPr>
            <w:tcW w:type="dxa" w:w="1368"/>
            <w:tcMar>
              <w:top w:w="60" w:type="dxa"/>
              <w:left w:w="110" w:type="dxa"/>
              <w:bottom w:w="60" w:type="dxa"/>
              <w:right w:w="110" w:type="dxa"/>
            </w:tcMar>
            <w:shd w:val="clear" w:color="auto" w:fill="F5F7F5"/>
          </w:tcPr>
          <w:p>
            <w:pPr>
              <w:spacing w:after="0"/>
            </w:pPr>
            <w:r>
              <w:rPr>
                <w:b w:val="0"/>
                <w:i w:val="0"/>
                <w:color w:val="16261F"/>
                <w:sz w:val="18"/>
              </w:rPr>
              <w:t>Moderate</w:t>
            </w:r>
          </w:p>
        </w:tc>
        <w:tc>
          <w:tcPr>
            <w:tcW w:type="dxa" w:w="5472"/>
            <w:tcMar>
              <w:top w:w="60" w:type="dxa"/>
              <w:left w:w="110" w:type="dxa"/>
              <w:bottom w:w="60" w:type="dxa"/>
              <w:right w:w="110" w:type="dxa"/>
            </w:tcMar>
            <w:shd w:val="clear" w:color="auto" w:fill="F5F7F5"/>
          </w:tcPr>
          <w:p>
            <w:pPr>
              <w:spacing w:after="0"/>
            </w:pPr>
            <w:r>
              <w:rPr>
                <w:b w:val="0"/>
                <w:i w:val="0"/>
                <w:color w:val="16261F"/>
                <w:sz w:val="18"/>
              </w:rPr>
              <w:t>Zoho adapter, conflict resolution, sync engine.</w:t>
            </w:r>
          </w:p>
        </w:tc>
      </w:tr>
      <w:tr>
        <w:tc>
          <w:tcPr>
            <w:tcW w:type="dxa" w:w="2520"/>
            <w:tcMar>
              <w:top w:w="60" w:type="dxa"/>
              <w:left w:w="110" w:type="dxa"/>
              <w:bottom w:w="60" w:type="dxa"/>
              <w:right w:w="110" w:type="dxa"/>
            </w:tcMar>
          </w:tcPr>
          <w:p>
            <w:pPr>
              <w:spacing w:after="0"/>
            </w:pPr>
            <w:r>
              <w:rPr>
                <w:b w:val="0"/>
                <w:i w:val="0"/>
                <w:color w:val="16261F"/>
                <w:sz w:val="18"/>
              </w:rPr>
              <w:t>Queue and async architecture</w:t>
            </w:r>
          </w:p>
        </w:tc>
        <w:tc>
          <w:tcPr>
            <w:tcW w:type="dxa" w:w="1368"/>
            <w:tcMar>
              <w:top w:w="60" w:type="dxa"/>
              <w:left w:w="110" w:type="dxa"/>
              <w:bottom w:w="60" w:type="dxa"/>
              <w:right w:w="110" w:type="dxa"/>
            </w:tcMar>
          </w:tcPr>
          <w:p>
            <w:pPr>
              <w:spacing w:after="0"/>
            </w:pPr>
            <w:r>
              <w:rPr>
                <w:b w:val="0"/>
                <w:i w:val="0"/>
                <w:color w:val="16261F"/>
                <w:sz w:val="18"/>
              </w:rPr>
              <w:t>Moderate</w:t>
            </w:r>
          </w:p>
        </w:tc>
        <w:tc>
          <w:tcPr>
            <w:tcW w:type="dxa" w:w="5472"/>
            <w:tcMar>
              <w:top w:w="60" w:type="dxa"/>
              <w:left w:w="110" w:type="dxa"/>
              <w:bottom w:w="60" w:type="dxa"/>
              <w:right w:w="110" w:type="dxa"/>
            </w:tcMar>
          </w:tcPr>
          <w:p>
            <w:pPr>
              <w:spacing w:after="0"/>
            </w:pPr>
            <w:r>
              <w:rPr>
                <w:b w:val="0"/>
                <w:i w:val="0"/>
                <w:color w:val="16261F"/>
                <w:sz w:val="18"/>
              </w:rPr>
              <w:t>BullMQ, worker design, retry semantics.</w:t>
            </w:r>
          </w:p>
        </w:tc>
      </w:tr>
      <w:tr>
        <w:tc>
          <w:tcPr>
            <w:tcW w:type="dxa" w:w="2520"/>
            <w:tcMar>
              <w:top w:w="60" w:type="dxa"/>
              <w:left w:w="110" w:type="dxa"/>
              <w:bottom w:w="60" w:type="dxa"/>
              <w:right w:w="110" w:type="dxa"/>
            </w:tcMar>
            <w:shd w:val="clear" w:color="auto" w:fill="F5F7F5"/>
          </w:tcPr>
          <w:p>
            <w:pPr>
              <w:spacing w:after="0"/>
            </w:pPr>
            <w:r>
              <w:rPr>
                <w:b w:val="0"/>
                <w:i w:val="0"/>
                <w:color w:val="16261F"/>
                <w:sz w:val="18"/>
              </w:rPr>
              <w:t>Infrastructure as code and CI/CD</w:t>
            </w:r>
          </w:p>
        </w:tc>
        <w:tc>
          <w:tcPr>
            <w:tcW w:type="dxa" w:w="1368"/>
            <w:tcMar>
              <w:top w:w="60" w:type="dxa"/>
              <w:left w:w="110" w:type="dxa"/>
              <w:bottom w:w="60" w:type="dxa"/>
              <w:right w:w="110" w:type="dxa"/>
            </w:tcMar>
            <w:shd w:val="clear" w:color="auto" w:fill="F5F7F5"/>
          </w:tcPr>
          <w:p>
            <w:pPr>
              <w:spacing w:after="0"/>
            </w:pPr>
            <w:r>
              <w:rPr>
                <w:b w:val="0"/>
                <w:i w:val="0"/>
                <w:color w:val="16261F"/>
                <w:sz w:val="18"/>
              </w:rPr>
              <w:t>Moderate</w:t>
            </w:r>
          </w:p>
        </w:tc>
        <w:tc>
          <w:tcPr>
            <w:tcW w:type="dxa" w:w="5472"/>
            <w:tcMar>
              <w:top w:w="60" w:type="dxa"/>
              <w:left w:w="110" w:type="dxa"/>
              <w:bottom w:w="60" w:type="dxa"/>
              <w:right w:w="110" w:type="dxa"/>
            </w:tcMar>
            <w:shd w:val="clear" w:color="auto" w:fill="F5F7F5"/>
          </w:tcPr>
          <w:p>
            <w:pPr>
              <w:spacing w:after="0"/>
            </w:pPr>
            <w:r>
              <w:rPr>
                <w:b w:val="0"/>
                <w:i w:val="0"/>
                <w:color w:val="16261F"/>
                <w:sz w:val="18"/>
              </w:rPr>
              <w:t>Deployment, environments, pipeline gates.</w:t>
            </w:r>
          </w:p>
        </w:tc>
      </w:tr>
      <w:tr>
        <w:tc>
          <w:tcPr>
            <w:tcW w:type="dxa" w:w="2520"/>
            <w:tcMar>
              <w:top w:w="60" w:type="dxa"/>
              <w:left w:w="110" w:type="dxa"/>
              <w:bottom w:w="60" w:type="dxa"/>
              <w:right w:w="110" w:type="dxa"/>
            </w:tcMar>
          </w:tcPr>
          <w:p>
            <w:pPr>
              <w:spacing w:after="0"/>
            </w:pPr>
            <w:r>
              <w:rPr>
                <w:b w:val="0"/>
                <w:i w:val="0"/>
                <w:color w:val="16261F"/>
                <w:sz w:val="18"/>
              </w:rPr>
              <w:t>Application security</w:t>
            </w:r>
          </w:p>
        </w:tc>
        <w:tc>
          <w:tcPr>
            <w:tcW w:type="dxa" w:w="1368"/>
            <w:tcMar>
              <w:top w:w="60" w:type="dxa"/>
              <w:left w:w="110" w:type="dxa"/>
              <w:bottom w:w="60" w:type="dxa"/>
              <w:right w:w="110" w:type="dxa"/>
            </w:tcMar>
          </w:tcPr>
          <w:p>
            <w:pPr>
              <w:spacing w:after="0"/>
            </w:pPr>
            <w:r>
              <w:rPr>
                <w:b w:val="0"/>
                <w:i w:val="0"/>
                <w:color w:val="16261F"/>
                <w:sz w:val="18"/>
              </w:rPr>
              <w:t>Strong</w:t>
            </w:r>
          </w:p>
        </w:tc>
        <w:tc>
          <w:tcPr>
            <w:tcW w:type="dxa" w:w="5472"/>
            <w:tcMar>
              <w:top w:w="60" w:type="dxa"/>
              <w:left w:w="110" w:type="dxa"/>
              <w:bottom w:w="60" w:type="dxa"/>
              <w:right w:w="110" w:type="dxa"/>
            </w:tcMar>
          </w:tcPr>
          <w:p>
            <w:pPr>
              <w:spacing w:after="0"/>
            </w:pPr>
            <w:r>
              <w:rPr>
                <w:b w:val="0"/>
                <w:i w:val="0"/>
                <w:color w:val="16261F"/>
                <w:sz w:val="18"/>
              </w:rPr>
              <w:t>Authorisation model, PCI posture, CSP, secret handling.</w:t>
            </w:r>
          </w:p>
        </w:tc>
      </w:tr>
      <w:tr>
        <w:tc>
          <w:tcPr>
            <w:tcW w:type="dxa" w:w="2520"/>
            <w:tcMar>
              <w:top w:w="60" w:type="dxa"/>
              <w:left w:w="110" w:type="dxa"/>
              <w:bottom w:w="60" w:type="dxa"/>
              <w:right w:w="110" w:type="dxa"/>
            </w:tcMar>
            <w:shd w:val="clear" w:color="auto" w:fill="F5F7F5"/>
          </w:tcPr>
          <w:p>
            <w:pPr>
              <w:spacing w:after="0"/>
            </w:pPr>
            <w:r>
              <w:rPr>
                <w:b w:val="0"/>
                <w:i w:val="0"/>
                <w:color w:val="16261F"/>
                <w:sz w:val="18"/>
              </w:rPr>
              <w:t>Accessibility (WCAG 2.1 AA)</w:t>
            </w:r>
          </w:p>
        </w:tc>
        <w:tc>
          <w:tcPr>
            <w:tcW w:type="dxa" w:w="1368"/>
            <w:tcMar>
              <w:top w:w="60" w:type="dxa"/>
              <w:left w:w="110" w:type="dxa"/>
              <w:bottom w:w="60" w:type="dxa"/>
              <w:right w:w="110" w:type="dxa"/>
            </w:tcMar>
            <w:shd w:val="clear" w:color="auto" w:fill="F5F7F5"/>
          </w:tcPr>
          <w:p>
            <w:pPr>
              <w:spacing w:after="0"/>
            </w:pPr>
            <w:r>
              <w:rPr>
                <w:b w:val="0"/>
                <w:i w:val="0"/>
                <w:color w:val="16261F"/>
                <w:sz w:val="18"/>
              </w:rPr>
              <w:t>Moderate</w:t>
            </w:r>
          </w:p>
        </w:tc>
        <w:tc>
          <w:tcPr>
            <w:tcW w:type="dxa" w:w="5472"/>
            <w:tcMar>
              <w:top w:w="60" w:type="dxa"/>
              <w:left w:w="110" w:type="dxa"/>
              <w:bottom w:w="60" w:type="dxa"/>
              <w:right w:w="110" w:type="dxa"/>
            </w:tcMar>
            <w:shd w:val="clear" w:color="auto" w:fill="F5F7F5"/>
          </w:tcPr>
          <w:p>
            <w:pPr>
              <w:spacing w:after="0"/>
            </w:pPr>
            <w:r>
              <w:rPr>
                <w:b w:val="0"/>
                <w:i w:val="0"/>
                <w:color w:val="16261F"/>
                <w:sz w:val="18"/>
              </w:rPr>
              <w:t>Payment pages are Mandatory-class per NFR-USE-001.</w:t>
            </w:r>
          </w:p>
        </w:tc>
      </w:tr>
      <w:tr>
        <w:tc>
          <w:tcPr>
            <w:tcW w:type="dxa" w:w="2520"/>
            <w:tcMar>
              <w:top w:w="60" w:type="dxa"/>
              <w:left w:w="110" w:type="dxa"/>
              <w:bottom w:w="60" w:type="dxa"/>
              <w:right w:w="110" w:type="dxa"/>
            </w:tcMar>
          </w:tcPr>
          <w:p>
            <w:pPr>
              <w:spacing w:after="0"/>
            </w:pPr>
            <w:r>
              <w:rPr>
                <w:b w:val="0"/>
                <w:i w:val="0"/>
                <w:color w:val="16261F"/>
                <w:sz w:val="18"/>
              </w:rPr>
              <w:t>Email deliverability</w:t>
            </w:r>
          </w:p>
        </w:tc>
        <w:tc>
          <w:tcPr>
            <w:tcW w:type="dxa" w:w="1368"/>
            <w:tcMar>
              <w:top w:w="60" w:type="dxa"/>
              <w:left w:w="110" w:type="dxa"/>
              <w:bottom w:w="60" w:type="dxa"/>
              <w:right w:w="110" w:type="dxa"/>
            </w:tcMar>
          </w:tcPr>
          <w:p>
            <w:pPr>
              <w:spacing w:after="0"/>
            </w:pPr>
            <w:r>
              <w:rPr>
                <w:b w:val="0"/>
                <w:i w:val="0"/>
                <w:color w:val="16261F"/>
                <w:sz w:val="18"/>
              </w:rPr>
              <w:t>Moderate</w:t>
            </w:r>
          </w:p>
        </w:tc>
        <w:tc>
          <w:tcPr>
            <w:tcW w:type="dxa" w:w="5472"/>
            <w:tcMar>
              <w:top w:w="60" w:type="dxa"/>
              <w:left w:w="110" w:type="dxa"/>
              <w:bottom w:w="60" w:type="dxa"/>
              <w:right w:w="110" w:type="dxa"/>
            </w:tcMar>
          </w:tcPr>
          <w:p>
            <w:pPr>
              <w:spacing w:after="0"/>
            </w:pPr>
            <w:r>
              <w:rPr>
                <w:b w:val="0"/>
                <w:i w:val="0"/>
                <w:color w:val="16261F"/>
                <w:sz w:val="18"/>
              </w:rPr>
              <w:t>Template rendering, authentication records, reputation.</w:t>
            </w:r>
          </w:p>
        </w:tc>
      </w:tr>
    </w:tbl>
    <w:p>
      <w:pPr>
        <w:pStyle w:val="Heading2"/>
      </w:pPr>
      <w:r>
        <w:t>15.2 Indicative team</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3120"/>
        <w:gridCol w:w="3120"/>
        <w:gridCol w:w="3120"/>
      </w:tblGrid>
      <w:tr>
        <w:trPr>
          <w:tblHeader w:val="true"/>
        </w:trPr>
        <w:tc>
          <w:tcPr>
            <w:tcW w:type="dxa" w:w="2664"/>
            <w:shd w:val="clear" w:color="auto" w:fill="16261F"/>
            <w:tcMar>
              <w:top w:w="70" w:type="dxa"/>
              <w:left w:w="110" w:type="dxa"/>
              <w:bottom w:w="70" w:type="dxa"/>
              <w:right w:w="110" w:type="dxa"/>
            </w:tcMar>
          </w:tcPr>
          <w:p>
            <w:pPr>
              <w:spacing w:after="0"/>
            </w:pPr>
            <w:r>
              <w:rPr>
                <w:rFonts w:ascii="Calibri" w:hAnsi="Calibri"/>
                <w:b/>
                <w:color w:val="FFFFFF"/>
                <w:sz w:val="17"/>
              </w:rPr>
              <w:t>Role</w:t>
            </w:r>
          </w:p>
        </w:tc>
        <w:tc>
          <w:tcPr>
            <w:tcW w:type="dxa" w:w="1368"/>
            <w:shd w:val="clear" w:color="auto" w:fill="16261F"/>
            <w:tcMar>
              <w:top w:w="70" w:type="dxa"/>
              <w:left w:w="110" w:type="dxa"/>
              <w:bottom w:w="70" w:type="dxa"/>
              <w:right w:w="110" w:type="dxa"/>
            </w:tcMar>
          </w:tcPr>
          <w:p>
            <w:pPr>
              <w:spacing w:after="0"/>
            </w:pPr>
            <w:r>
              <w:rPr>
                <w:rFonts w:ascii="Calibri" w:hAnsi="Calibri"/>
                <w:b/>
                <w:color w:val="FFFFFF"/>
                <w:sz w:val="17"/>
              </w:rPr>
              <w:t>Allocation</w:t>
            </w:r>
          </w:p>
        </w:tc>
        <w:tc>
          <w:tcPr>
            <w:tcW w:type="dxa" w:w="5328"/>
            <w:shd w:val="clear" w:color="auto" w:fill="16261F"/>
            <w:tcMar>
              <w:top w:w="70" w:type="dxa"/>
              <w:left w:w="110" w:type="dxa"/>
              <w:bottom w:w="70" w:type="dxa"/>
              <w:right w:w="110" w:type="dxa"/>
            </w:tcMar>
          </w:tcPr>
          <w:p>
            <w:pPr>
              <w:spacing w:after="0"/>
            </w:pPr>
            <w:r>
              <w:rPr>
                <w:rFonts w:ascii="Calibri" w:hAnsi="Calibri"/>
                <w:b/>
                <w:color w:val="FFFFFF"/>
                <w:sz w:val="17"/>
              </w:rPr>
              <w:t>Focus</w:t>
            </w:r>
          </w:p>
        </w:tc>
      </w:tr>
      <w:tr>
        <w:tc>
          <w:tcPr>
            <w:tcW w:type="dxa" w:w="2664"/>
            <w:tcMar>
              <w:top w:w="60" w:type="dxa"/>
              <w:left w:w="110" w:type="dxa"/>
              <w:bottom w:w="60" w:type="dxa"/>
              <w:right w:w="110" w:type="dxa"/>
            </w:tcMar>
          </w:tcPr>
          <w:p>
            <w:pPr>
              <w:spacing w:after="0"/>
            </w:pPr>
            <w:r>
              <w:rPr>
                <w:b w:val="0"/>
                <w:i w:val="0"/>
                <w:color w:val="16261F"/>
                <w:sz w:val="18"/>
              </w:rPr>
              <w:t>Tech lead / architect</w:t>
            </w:r>
          </w:p>
        </w:tc>
        <w:tc>
          <w:tcPr>
            <w:tcW w:type="dxa" w:w="1368"/>
            <w:tcMar>
              <w:top w:w="60" w:type="dxa"/>
              <w:left w:w="110" w:type="dxa"/>
              <w:bottom w:w="60" w:type="dxa"/>
              <w:right w:w="110" w:type="dxa"/>
            </w:tcMar>
          </w:tcPr>
          <w:p>
            <w:pPr>
              <w:spacing w:after="0"/>
            </w:pPr>
            <w:r>
              <w:rPr>
                <w:b w:val="0"/>
                <w:i w:val="0"/>
                <w:color w:val="16261F"/>
                <w:sz w:val="18"/>
              </w:rPr>
              <w:t>1.0</w:t>
            </w:r>
          </w:p>
        </w:tc>
        <w:tc>
          <w:tcPr>
            <w:tcW w:type="dxa" w:w="5328"/>
            <w:tcMar>
              <w:top w:w="60" w:type="dxa"/>
              <w:left w:w="110" w:type="dxa"/>
              <w:bottom w:w="60" w:type="dxa"/>
              <w:right w:w="110" w:type="dxa"/>
            </w:tcMar>
          </w:tcPr>
          <w:p>
            <w:pPr>
              <w:spacing w:after="0"/>
            </w:pPr>
            <w:r>
              <w:rPr>
                <w:b w:val="0"/>
                <w:i w:val="0"/>
                <w:color w:val="16261F"/>
                <w:sz w:val="18"/>
              </w:rPr>
              <w:t>Architecture, authorisation model, money module, review gate</w:t>
            </w:r>
          </w:p>
        </w:tc>
      </w:tr>
      <w:tr>
        <w:tc>
          <w:tcPr>
            <w:tcW w:type="dxa" w:w="2664"/>
            <w:tcMar>
              <w:top w:w="60" w:type="dxa"/>
              <w:left w:w="110" w:type="dxa"/>
              <w:bottom w:w="60" w:type="dxa"/>
              <w:right w:w="110" w:type="dxa"/>
            </w:tcMar>
            <w:shd w:val="clear" w:color="auto" w:fill="F5F7F5"/>
          </w:tcPr>
          <w:p>
            <w:pPr>
              <w:spacing w:after="0"/>
            </w:pPr>
            <w:r>
              <w:rPr>
                <w:b w:val="0"/>
                <w:i w:val="0"/>
                <w:color w:val="16261F"/>
                <w:sz w:val="18"/>
              </w:rPr>
              <w:t>Senior full-stack engineer</w:t>
            </w:r>
          </w:p>
        </w:tc>
        <w:tc>
          <w:tcPr>
            <w:tcW w:type="dxa" w:w="1368"/>
            <w:tcMar>
              <w:top w:w="60" w:type="dxa"/>
              <w:left w:w="110" w:type="dxa"/>
              <w:bottom w:w="60" w:type="dxa"/>
              <w:right w:w="110" w:type="dxa"/>
            </w:tcMar>
            <w:shd w:val="clear" w:color="auto" w:fill="F5F7F5"/>
          </w:tcPr>
          <w:p>
            <w:pPr>
              <w:spacing w:after="0"/>
            </w:pPr>
            <w:r>
              <w:rPr>
                <w:b w:val="0"/>
                <w:i w:val="0"/>
                <w:color w:val="16261F"/>
                <w:sz w:val="18"/>
              </w:rPr>
              <w:t>2.0</w:t>
            </w:r>
          </w:p>
        </w:tc>
        <w:tc>
          <w:tcPr>
            <w:tcW w:type="dxa" w:w="5328"/>
            <w:tcMar>
              <w:top w:w="60" w:type="dxa"/>
              <w:left w:w="110" w:type="dxa"/>
              <w:bottom w:w="60" w:type="dxa"/>
              <w:right w:w="110" w:type="dxa"/>
            </w:tcMar>
            <w:shd w:val="clear" w:color="auto" w:fill="F5F7F5"/>
          </w:tcPr>
          <w:p>
            <w:pPr>
              <w:spacing w:after="0"/>
            </w:pPr>
            <w:r>
              <w:rPr>
                <w:b w:val="0"/>
                <w:i w:val="0"/>
                <w:color w:val="16261F"/>
                <w:sz w:val="18"/>
              </w:rPr>
              <w:t>Invoicing, payments, customer and brand modules</w:t>
            </w:r>
          </w:p>
        </w:tc>
      </w:tr>
      <w:tr>
        <w:tc>
          <w:tcPr>
            <w:tcW w:type="dxa" w:w="2664"/>
            <w:tcMar>
              <w:top w:w="60" w:type="dxa"/>
              <w:left w:w="110" w:type="dxa"/>
              <w:bottom w:w="60" w:type="dxa"/>
              <w:right w:w="110" w:type="dxa"/>
            </w:tcMar>
          </w:tcPr>
          <w:p>
            <w:pPr>
              <w:spacing w:after="0"/>
            </w:pPr>
            <w:r>
              <w:rPr>
                <w:b w:val="0"/>
                <w:i w:val="0"/>
                <w:color w:val="16261F"/>
                <w:sz w:val="18"/>
              </w:rPr>
              <w:t>Full-stack engineer</w:t>
            </w:r>
          </w:p>
        </w:tc>
        <w:tc>
          <w:tcPr>
            <w:tcW w:type="dxa" w:w="1368"/>
            <w:tcMar>
              <w:top w:w="60" w:type="dxa"/>
              <w:left w:w="110" w:type="dxa"/>
              <w:bottom w:w="60" w:type="dxa"/>
              <w:right w:w="110" w:type="dxa"/>
            </w:tcMar>
          </w:tcPr>
          <w:p>
            <w:pPr>
              <w:spacing w:after="0"/>
            </w:pPr>
            <w:r>
              <w:rPr>
                <w:b w:val="0"/>
                <w:i w:val="0"/>
                <w:color w:val="16261F"/>
                <w:sz w:val="18"/>
              </w:rPr>
              <w:t>1.0 – 2.0</w:t>
            </w:r>
          </w:p>
        </w:tc>
        <w:tc>
          <w:tcPr>
            <w:tcW w:type="dxa" w:w="5328"/>
            <w:tcMar>
              <w:top w:w="60" w:type="dxa"/>
              <w:left w:w="110" w:type="dxa"/>
              <w:bottom w:w="60" w:type="dxa"/>
              <w:right w:w="110" w:type="dxa"/>
            </w:tcMar>
          </w:tcPr>
          <w:p>
            <w:pPr>
              <w:spacing w:after="0"/>
            </w:pPr>
            <w:r>
              <w:rPr>
                <w:b w:val="0"/>
                <w:i w:val="0"/>
                <w:color w:val="16261F"/>
                <w:sz w:val="18"/>
              </w:rPr>
              <w:t>Templates, reporting, admin surfaces</w:t>
            </w:r>
          </w:p>
        </w:tc>
      </w:tr>
      <w:tr>
        <w:tc>
          <w:tcPr>
            <w:tcW w:type="dxa" w:w="2664"/>
            <w:tcMar>
              <w:top w:w="60" w:type="dxa"/>
              <w:left w:w="110" w:type="dxa"/>
              <w:bottom w:w="60" w:type="dxa"/>
              <w:right w:w="110" w:type="dxa"/>
            </w:tcMar>
            <w:shd w:val="clear" w:color="auto" w:fill="F5F7F5"/>
          </w:tcPr>
          <w:p>
            <w:pPr>
              <w:spacing w:after="0"/>
            </w:pPr>
            <w:r>
              <w:rPr>
                <w:b w:val="0"/>
                <w:i w:val="0"/>
                <w:color w:val="16261F"/>
                <w:sz w:val="18"/>
              </w:rPr>
              <w:t>Integration engineer</w:t>
            </w:r>
          </w:p>
        </w:tc>
        <w:tc>
          <w:tcPr>
            <w:tcW w:type="dxa" w:w="1368"/>
            <w:tcMar>
              <w:top w:w="60" w:type="dxa"/>
              <w:left w:w="110" w:type="dxa"/>
              <w:bottom w:w="60" w:type="dxa"/>
              <w:right w:w="110" w:type="dxa"/>
            </w:tcMar>
            <w:shd w:val="clear" w:color="auto" w:fill="F5F7F5"/>
          </w:tcPr>
          <w:p>
            <w:pPr>
              <w:spacing w:after="0"/>
            </w:pPr>
            <w:r>
              <w:rPr>
                <w:b w:val="0"/>
                <w:i w:val="0"/>
                <w:color w:val="16261F"/>
                <w:sz w:val="18"/>
              </w:rPr>
              <w:t>1.0</w:t>
            </w:r>
          </w:p>
        </w:tc>
        <w:tc>
          <w:tcPr>
            <w:tcW w:type="dxa" w:w="5328"/>
            <w:tcMar>
              <w:top w:w="60" w:type="dxa"/>
              <w:left w:w="110" w:type="dxa"/>
              <w:bottom w:w="60" w:type="dxa"/>
              <w:right w:w="110" w:type="dxa"/>
            </w:tcMar>
            <w:shd w:val="clear" w:color="auto" w:fill="F5F7F5"/>
          </w:tcPr>
          <w:p>
            <w:pPr>
              <w:spacing w:after="0"/>
            </w:pPr>
            <w:r>
              <w:rPr>
                <w:b w:val="0"/>
                <w:i w:val="0"/>
                <w:color w:val="16261F"/>
                <w:sz w:val="18"/>
              </w:rPr>
              <w:t>Numbers Gateway and Zoho adapters, sync engine</w:t>
            </w:r>
          </w:p>
        </w:tc>
      </w:tr>
      <w:tr>
        <w:tc>
          <w:tcPr>
            <w:tcW w:type="dxa" w:w="2664"/>
            <w:tcMar>
              <w:top w:w="60" w:type="dxa"/>
              <w:left w:w="110" w:type="dxa"/>
              <w:bottom w:w="60" w:type="dxa"/>
              <w:right w:w="110" w:type="dxa"/>
            </w:tcMar>
          </w:tcPr>
          <w:p>
            <w:pPr>
              <w:spacing w:after="0"/>
            </w:pPr>
            <w:r>
              <w:rPr>
                <w:b w:val="0"/>
                <w:i w:val="0"/>
                <w:color w:val="16261F"/>
                <w:sz w:val="18"/>
              </w:rPr>
              <w:t>QA engineer</w:t>
            </w:r>
          </w:p>
        </w:tc>
        <w:tc>
          <w:tcPr>
            <w:tcW w:type="dxa" w:w="1368"/>
            <w:tcMar>
              <w:top w:w="60" w:type="dxa"/>
              <w:left w:w="110" w:type="dxa"/>
              <w:bottom w:w="60" w:type="dxa"/>
              <w:right w:w="110" w:type="dxa"/>
            </w:tcMar>
          </w:tcPr>
          <w:p>
            <w:pPr>
              <w:spacing w:after="0"/>
            </w:pPr>
            <w:r>
              <w:rPr>
                <w:b w:val="0"/>
                <w:i w:val="0"/>
                <w:color w:val="16261F"/>
                <w:sz w:val="18"/>
              </w:rPr>
              <w:t>1.0</w:t>
            </w:r>
          </w:p>
        </w:tc>
        <w:tc>
          <w:tcPr>
            <w:tcW w:type="dxa" w:w="5328"/>
            <w:tcMar>
              <w:top w:w="60" w:type="dxa"/>
              <w:left w:w="110" w:type="dxa"/>
              <w:bottom w:w="60" w:type="dxa"/>
              <w:right w:w="110" w:type="dxa"/>
            </w:tcMar>
          </w:tcPr>
          <w:p>
            <w:pPr>
              <w:spacing w:after="0"/>
            </w:pPr>
            <w:r>
              <w:rPr>
                <w:b w:val="0"/>
                <w:i w:val="0"/>
                <w:color w:val="16261F"/>
                <w:sz w:val="18"/>
              </w:rPr>
              <w:t>Test strategy, authorisation matrix suite, concurrency and end-to-end tests</w:t>
            </w:r>
          </w:p>
        </w:tc>
      </w:tr>
      <w:tr>
        <w:tc>
          <w:tcPr>
            <w:tcW w:type="dxa" w:w="2664"/>
            <w:tcMar>
              <w:top w:w="60" w:type="dxa"/>
              <w:left w:w="110" w:type="dxa"/>
              <w:bottom w:w="60" w:type="dxa"/>
              <w:right w:w="110" w:type="dxa"/>
            </w:tcMar>
            <w:shd w:val="clear" w:color="auto" w:fill="F5F7F5"/>
          </w:tcPr>
          <w:p>
            <w:pPr>
              <w:spacing w:after="0"/>
            </w:pPr>
            <w:r>
              <w:rPr>
                <w:b w:val="0"/>
                <w:i w:val="0"/>
                <w:color w:val="16261F"/>
                <w:sz w:val="18"/>
              </w:rPr>
              <w:t>DevOps / platform</w:t>
            </w:r>
          </w:p>
        </w:tc>
        <w:tc>
          <w:tcPr>
            <w:tcW w:type="dxa" w:w="1368"/>
            <w:tcMar>
              <w:top w:w="60" w:type="dxa"/>
              <w:left w:w="110" w:type="dxa"/>
              <w:bottom w:w="60" w:type="dxa"/>
              <w:right w:w="110" w:type="dxa"/>
            </w:tcMar>
            <w:shd w:val="clear" w:color="auto" w:fill="F5F7F5"/>
          </w:tcPr>
          <w:p>
            <w:pPr>
              <w:spacing w:after="0"/>
            </w:pPr>
            <w:r>
              <w:rPr>
                <w:b w:val="0"/>
                <w:i w:val="0"/>
                <w:color w:val="16261F"/>
                <w:sz w:val="18"/>
              </w:rPr>
              <w:t>0.5</w:t>
            </w:r>
          </w:p>
        </w:tc>
        <w:tc>
          <w:tcPr>
            <w:tcW w:type="dxa" w:w="5328"/>
            <w:tcMar>
              <w:top w:w="60" w:type="dxa"/>
              <w:left w:w="110" w:type="dxa"/>
              <w:bottom w:w="60" w:type="dxa"/>
              <w:right w:w="110" w:type="dxa"/>
            </w:tcMar>
            <w:shd w:val="clear" w:color="auto" w:fill="F5F7F5"/>
          </w:tcPr>
          <w:p>
            <w:pPr>
              <w:spacing w:after="0"/>
            </w:pPr>
            <w:r>
              <w:rPr>
                <w:b w:val="0"/>
                <w:i w:val="0"/>
                <w:color w:val="16261F"/>
                <w:sz w:val="18"/>
              </w:rPr>
              <w:t>Infrastructure, pipeline, observability, environments</w:t>
            </w:r>
          </w:p>
        </w:tc>
      </w:tr>
      <w:tr>
        <w:tc>
          <w:tcPr>
            <w:tcW w:type="dxa" w:w="2664"/>
            <w:tcMar>
              <w:top w:w="60" w:type="dxa"/>
              <w:left w:w="110" w:type="dxa"/>
              <w:bottom w:w="60" w:type="dxa"/>
              <w:right w:w="110" w:type="dxa"/>
            </w:tcMar>
          </w:tcPr>
          <w:p>
            <w:pPr>
              <w:spacing w:after="0"/>
            </w:pPr>
            <w:r>
              <w:rPr>
                <w:b w:val="0"/>
                <w:i w:val="0"/>
                <w:color w:val="16261F"/>
                <w:sz w:val="18"/>
              </w:rPr>
              <w:t>Designer</w:t>
            </w:r>
          </w:p>
        </w:tc>
        <w:tc>
          <w:tcPr>
            <w:tcW w:type="dxa" w:w="1368"/>
            <w:tcMar>
              <w:top w:w="60" w:type="dxa"/>
              <w:left w:w="110" w:type="dxa"/>
              <w:bottom w:w="60" w:type="dxa"/>
              <w:right w:w="110" w:type="dxa"/>
            </w:tcMar>
          </w:tcPr>
          <w:p>
            <w:pPr>
              <w:spacing w:after="0"/>
            </w:pPr>
            <w:r>
              <w:rPr>
                <w:b w:val="0"/>
                <w:i w:val="0"/>
                <w:color w:val="16261F"/>
                <w:sz w:val="18"/>
              </w:rPr>
              <w:t>0.5</w:t>
            </w:r>
          </w:p>
        </w:tc>
        <w:tc>
          <w:tcPr>
            <w:tcW w:type="dxa" w:w="5328"/>
            <w:tcMar>
              <w:top w:w="60" w:type="dxa"/>
              <w:left w:w="110" w:type="dxa"/>
              <w:bottom w:w="60" w:type="dxa"/>
              <w:right w:w="110" w:type="dxa"/>
            </w:tcMar>
          </w:tcPr>
          <w:p>
            <w:pPr>
              <w:spacing w:after="0"/>
            </w:pPr>
            <w:r>
              <w:rPr>
                <w:b w:val="0"/>
                <w:i w:val="0"/>
                <w:color w:val="16261F"/>
                <w:sz w:val="18"/>
              </w:rPr>
              <w:t>Carrying the prototype's visual system into an accessible, responsive component library</w:t>
            </w:r>
          </w:p>
        </w:tc>
      </w:tr>
      <w:tr>
        <w:tc>
          <w:tcPr>
            <w:tcW w:type="dxa" w:w="2664"/>
            <w:tcMar>
              <w:top w:w="60" w:type="dxa"/>
              <w:left w:w="110" w:type="dxa"/>
              <w:bottom w:w="60" w:type="dxa"/>
              <w:right w:w="110" w:type="dxa"/>
            </w:tcMar>
            <w:shd w:val="clear" w:color="auto" w:fill="F5F7F5"/>
          </w:tcPr>
          <w:p>
            <w:pPr>
              <w:spacing w:after="0"/>
            </w:pPr>
            <w:r>
              <w:rPr>
                <w:b w:val="0"/>
                <w:i w:val="0"/>
                <w:color w:val="16261F"/>
                <w:sz w:val="18"/>
              </w:rPr>
              <w:t>Security consultant</w:t>
            </w:r>
          </w:p>
        </w:tc>
        <w:tc>
          <w:tcPr>
            <w:tcW w:type="dxa" w:w="1368"/>
            <w:tcMar>
              <w:top w:w="60" w:type="dxa"/>
              <w:left w:w="110" w:type="dxa"/>
              <w:bottom w:w="60" w:type="dxa"/>
              <w:right w:w="110" w:type="dxa"/>
            </w:tcMar>
            <w:shd w:val="clear" w:color="auto" w:fill="F5F7F5"/>
          </w:tcPr>
          <w:p>
            <w:pPr>
              <w:spacing w:after="0"/>
            </w:pPr>
            <w:r>
              <w:rPr>
                <w:b w:val="0"/>
                <w:i w:val="0"/>
                <w:color w:val="16261F"/>
                <w:sz w:val="18"/>
              </w:rPr>
              <w:t>As needed</w:t>
            </w:r>
          </w:p>
        </w:tc>
        <w:tc>
          <w:tcPr>
            <w:tcW w:type="dxa" w:w="5328"/>
            <w:tcMar>
              <w:top w:w="60" w:type="dxa"/>
              <w:left w:w="110" w:type="dxa"/>
              <w:bottom w:w="60" w:type="dxa"/>
              <w:right w:w="110" w:type="dxa"/>
            </w:tcMar>
            <w:shd w:val="clear" w:color="auto" w:fill="F5F7F5"/>
          </w:tcPr>
          <w:p>
            <w:pPr>
              <w:spacing w:after="0"/>
            </w:pPr>
            <w:r>
              <w:rPr>
                <w:b w:val="0"/>
                <w:i w:val="0"/>
                <w:color w:val="16261F"/>
                <w:sz w:val="18"/>
              </w:rPr>
              <w:t>PCI posture review, penetration test, pre-launch assessment</w:t>
            </w:r>
          </w:p>
        </w:tc>
      </w:tr>
    </w:tbl>
    <w:p>
      <w:r>
        <w:br w:type="page"/>
      </w:r>
    </w:p>
    <w:p>
      <w:pPr>
        <w:pStyle w:val="Heading1"/>
      </w:pPr>
      <w:r>
        <w:t>16. Adoption risks</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3120"/>
        <w:gridCol w:w="3120"/>
        <w:gridCol w:w="3120"/>
      </w:tblGrid>
      <w:tr>
        <w:trPr>
          <w:tblHeader w:val="true"/>
        </w:trPr>
        <w:tc>
          <w:tcPr>
            <w:tcW w:type="dxa" w:w="792"/>
            <w:shd w:val="clear" w:color="auto" w:fill="16261F"/>
            <w:tcMar>
              <w:top w:w="70" w:type="dxa"/>
              <w:left w:w="110" w:type="dxa"/>
              <w:bottom w:w="70" w:type="dxa"/>
              <w:right w:w="110" w:type="dxa"/>
            </w:tcMar>
          </w:tcPr>
          <w:p>
            <w:pPr>
              <w:spacing w:after="0"/>
            </w:pPr>
            <w:r>
              <w:rPr>
                <w:rFonts w:ascii="Calibri" w:hAnsi="Calibri"/>
                <w:b/>
                <w:color w:val="FFFFFF"/>
                <w:sz w:val="16"/>
              </w:rPr>
              <w:t>Ref</w:t>
            </w:r>
          </w:p>
        </w:tc>
        <w:tc>
          <w:tcPr>
            <w:tcW w:type="dxa" w:w="3600"/>
            <w:shd w:val="clear" w:color="auto" w:fill="16261F"/>
            <w:tcMar>
              <w:top w:w="70" w:type="dxa"/>
              <w:left w:w="110" w:type="dxa"/>
              <w:bottom w:w="70" w:type="dxa"/>
              <w:right w:w="110" w:type="dxa"/>
            </w:tcMar>
          </w:tcPr>
          <w:p>
            <w:pPr>
              <w:spacing w:after="0"/>
            </w:pPr>
            <w:r>
              <w:rPr>
                <w:rFonts w:ascii="Calibri" w:hAnsi="Calibri"/>
                <w:b/>
                <w:color w:val="FFFFFF"/>
                <w:sz w:val="16"/>
              </w:rPr>
              <w:t>Risk</w:t>
            </w:r>
          </w:p>
        </w:tc>
        <w:tc>
          <w:tcPr>
            <w:tcW w:type="dxa" w:w="4968"/>
            <w:shd w:val="clear" w:color="auto" w:fill="16261F"/>
            <w:tcMar>
              <w:top w:w="70" w:type="dxa"/>
              <w:left w:w="110" w:type="dxa"/>
              <w:bottom w:w="70" w:type="dxa"/>
              <w:right w:w="110" w:type="dxa"/>
            </w:tcMar>
          </w:tcPr>
          <w:p>
            <w:pPr>
              <w:spacing w:after="0"/>
            </w:pPr>
            <w:r>
              <w:rPr>
                <w:rFonts w:ascii="Calibri" w:hAnsi="Calibri"/>
                <w:b/>
                <w:color w:val="FFFFFF"/>
                <w:sz w:val="16"/>
              </w:rPr>
              <w:t>Mitigation</w:t>
            </w:r>
          </w:p>
        </w:tc>
      </w:tr>
      <w:tr>
        <w:tc>
          <w:tcPr>
            <w:tcW w:type="dxa" w:w="792"/>
            <w:tcMar>
              <w:top w:w="60" w:type="dxa"/>
              <w:left w:w="110" w:type="dxa"/>
              <w:bottom w:w="60" w:type="dxa"/>
              <w:right w:w="110" w:type="dxa"/>
            </w:tcMar>
          </w:tcPr>
          <w:p>
            <w:pPr>
              <w:spacing w:after="0"/>
            </w:pPr>
            <w:r>
              <w:rPr>
                <w:rFonts w:ascii="Consolas" w:hAnsi="Consolas"/>
                <w:b w:val="0"/>
                <w:i w:val="0"/>
                <w:color w:val="16261F"/>
                <w:sz w:val="16"/>
              </w:rPr>
              <w:t>TR-01</w:t>
            </w:r>
          </w:p>
        </w:tc>
        <w:tc>
          <w:tcPr>
            <w:tcW w:type="dxa" w:w="3600"/>
            <w:tcMar>
              <w:top w:w="60" w:type="dxa"/>
              <w:left w:w="110" w:type="dxa"/>
              <w:bottom w:w="60" w:type="dxa"/>
              <w:right w:w="110" w:type="dxa"/>
            </w:tcMar>
          </w:tcPr>
          <w:p>
            <w:pPr>
              <w:spacing w:after="0"/>
            </w:pPr>
            <w:r>
              <w:rPr>
                <w:b w:val="0"/>
                <w:i w:val="0"/>
                <w:color w:val="16261F"/>
                <w:sz w:val="17"/>
              </w:rPr>
              <w:t>JavaScript has no native decimal type; a monetary value handled as a plain number silently loses precision.</w:t>
            </w:r>
          </w:p>
        </w:tc>
        <w:tc>
          <w:tcPr>
            <w:tcW w:type="dxa" w:w="4968"/>
            <w:tcMar>
              <w:top w:w="60" w:type="dxa"/>
              <w:left w:w="110" w:type="dxa"/>
              <w:bottom w:w="60" w:type="dxa"/>
              <w:right w:w="110" w:type="dxa"/>
            </w:tcMar>
          </w:tcPr>
          <w:p>
            <w:pPr>
              <w:spacing w:after="0"/>
            </w:pPr>
            <w:r>
              <w:rPr>
                <w:b w:val="0"/>
                <w:i w:val="0"/>
                <w:color w:val="16261F"/>
                <w:sz w:val="17"/>
              </w:rPr>
              <w:t>Integer minor units end to end. A dedicated money module. A build-failing lint rule on arithmetic against monetary identifiers outside that module. Treat this as a controlled hazard, not a solved problem.</w:t>
            </w:r>
          </w:p>
        </w:tc>
      </w:tr>
      <w:tr>
        <w:tc>
          <w:tcPr>
            <w:tcW w:type="dxa" w:w="792"/>
            <w:tcMar>
              <w:top w:w="60" w:type="dxa"/>
              <w:left w:w="110" w:type="dxa"/>
              <w:bottom w:w="60" w:type="dxa"/>
              <w:right w:w="110" w:type="dxa"/>
            </w:tcMar>
            <w:shd w:val="clear" w:color="auto" w:fill="F5F7F5"/>
          </w:tcPr>
          <w:p>
            <w:pPr>
              <w:spacing w:after="0"/>
            </w:pPr>
            <w:r>
              <w:rPr>
                <w:rFonts w:ascii="Consolas" w:hAnsi="Consolas"/>
                <w:b w:val="0"/>
                <w:i w:val="0"/>
                <w:color w:val="16261F"/>
                <w:sz w:val="16"/>
              </w:rPr>
              <w:t>TR-02</w:t>
            </w:r>
          </w:p>
        </w:tc>
        <w:tc>
          <w:tcPr>
            <w:tcW w:type="dxa" w:w="3600"/>
            <w:tcMar>
              <w:top w:w="60" w:type="dxa"/>
              <w:left w:w="110" w:type="dxa"/>
              <w:bottom w:w="60" w:type="dxa"/>
              <w:right w:w="110" w:type="dxa"/>
            </w:tcMar>
            <w:shd w:val="clear" w:color="auto" w:fill="F5F7F5"/>
          </w:tcPr>
          <w:p>
            <w:pPr>
              <w:spacing w:after="0"/>
            </w:pPr>
            <w:r>
              <w:rPr>
                <w:b w:val="0"/>
                <w:i w:val="0"/>
                <w:color w:val="16261F"/>
                <w:sz w:val="17"/>
              </w:rPr>
              <w:t>Numbers Gateway may lack hosted fields, tokenisation, webhooks or a sandbox, invalidating parts of this stack.</w:t>
            </w:r>
          </w:p>
        </w:tc>
        <w:tc>
          <w:tcPr>
            <w:tcW w:type="dxa" w:w="4968"/>
            <w:tcMar>
              <w:top w:w="60" w:type="dxa"/>
              <w:left w:w="110" w:type="dxa"/>
              <w:bottom w:w="60" w:type="dxa"/>
              <w:right w:w="110" w:type="dxa"/>
            </w:tcMar>
            <w:shd w:val="clear" w:color="auto" w:fill="F5F7F5"/>
          </w:tcPr>
          <w:p>
            <w:pPr>
              <w:spacing w:after="0"/>
            </w:pPr>
            <w:r>
              <w:rPr>
                <w:b w:val="0"/>
                <w:i w:val="0"/>
                <w:color w:val="16261F"/>
                <w:sz w:val="17"/>
              </w:rPr>
              <w:t>Resolve DEP-01 before payment work is estimated. The port boundary in ADR-006 limits the blast radius to the adapter.</w:t>
            </w:r>
          </w:p>
        </w:tc>
      </w:tr>
      <w:tr>
        <w:tc>
          <w:tcPr>
            <w:tcW w:type="dxa" w:w="792"/>
            <w:tcMar>
              <w:top w:w="60" w:type="dxa"/>
              <w:left w:w="110" w:type="dxa"/>
              <w:bottom w:w="60" w:type="dxa"/>
              <w:right w:w="110" w:type="dxa"/>
            </w:tcMar>
          </w:tcPr>
          <w:p>
            <w:pPr>
              <w:spacing w:after="0"/>
            </w:pPr>
            <w:r>
              <w:rPr>
                <w:rFonts w:ascii="Consolas" w:hAnsi="Consolas"/>
                <w:b w:val="0"/>
                <w:i w:val="0"/>
                <w:color w:val="16261F"/>
                <w:sz w:val="16"/>
              </w:rPr>
              <w:t>TR-03</w:t>
            </w:r>
          </w:p>
        </w:tc>
        <w:tc>
          <w:tcPr>
            <w:tcW w:type="dxa" w:w="3600"/>
            <w:tcMar>
              <w:top w:w="60" w:type="dxa"/>
              <w:left w:w="110" w:type="dxa"/>
              <w:bottom w:w="60" w:type="dxa"/>
              <w:right w:w="110" w:type="dxa"/>
            </w:tcMar>
          </w:tcPr>
          <w:p>
            <w:pPr>
              <w:spacing w:after="0"/>
            </w:pPr>
            <w:r>
              <w:rPr>
                <w:b w:val="0"/>
                <w:i w:val="0"/>
                <w:color w:val="16261F"/>
                <w:sz w:val="17"/>
              </w:rPr>
              <w:t>Prisma's RLS ergonomics require discipline; a developer using the client outside the transaction wrapper silently bypasses isolation.</w:t>
            </w:r>
          </w:p>
        </w:tc>
        <w:tc>
          <w:tcPr>
            <w:tcW w:type="dxa" w:w="4968"/>
            <w:tcMar>
              <w:top w:w="60" w:type="dxa"/>
              <w:left w:w="110" w:type="dxa"/>
              <w:bottom w:w="60" w:type="dxa"/>
              <w:right w:w="110" w:type="dxa"/>
            </w:tcMar>
          </w:tcPr>
          <w:p>
            <w:pPr>
              <w:spacing w:after="0"/>
            </w:pPr>
            <w:r>
              <w:rPr>
                <w:b w:val="0"/>
                <w:i w:val="0"/>
                <w:color w:val="16261F"/>
                <w:sz w:val="17"/>
              </w:rPr>
              <w:t>One sanctioned transaction helper, a lint rule forbidding direct client use, and integration tests asserting isolation against a real database.</w:t>
            </w:r>
          </w:p>
        </w:tc>
      </w:tr>
      <w:tr>
        <w:tc>
          <w:tcPr>
            <w:tcW w:type="dxa" w:w="792"/>
            <w:tcMar>
              <w:top w:w="60" w:type="dxa"/>
              <w:left w:w="110" w:type="dxa"/>
              <w:bottom w:w="60" w:type="dxa"/>
              <w:right w:w="110" w:type="dxa"/>
            </w:tcMar>
            <w:shd w:val="clear" w:color="auto" w:fill="F5F7F5"/>
          </w:tcPr>
          <w:p>
            <w:pPr>
              <w:spacing w:after="0"/>
            </w:pPr>
            <w:r>
              <w:rPr>
                <w:rFonts w:ascii="Consolas" w:hAnsi="Consolas"/>
                <w:b w:val="0"/>
                <w:i w:val="0"/>
                <w:color w:val="16261F"/>
                <w:sz w:val="16"/>
              </w:rPr>
              <w:t>TR-04</w:t>
            </w:r>
          </w:p>
        </w:tc>
        <w:tc>
          <w:tcPr>
            <w:tcW w:type="dxa" w:w="3600"/>
            <w:tcMar>
              <w:top w:w="60" w:type="dxa"/>
              <w:left w:w="110" w:type="dxa"/>
              <w:bottom w:w="60" w:type="dxa"/>
              <w:right w:w="110" w:type="dxa"/>
            </w:tcMar>
            <w:shd w:val="clear" w:color="auto" w:fill="F5F7F5"/>
          </w:tcPr>
          <w:p>
            <w:pPr>
              <w:spacing w:after="0"/>
            </w:pPr>
            <w:r>
              <w:rPr>
                <w:b w:val="0"/>
                <w:i w:val="0"/>
                <w:color w:val="16261F"/>
                <w:sz w:val="17"/>
              </w:rPr>
              <w:t>NestJS is opinionated; a team unfamiliar with it will be slower for several sprints.</w:t>
            </w:r>
          </w:p>
        </w:tc>
        <w:tc>
          <w:tcPr>
            <w:tcW w:type="dxa" w:w="4968"/>
            <w:tcMar>
              <w:top w:w="60" w:type="dxa"/>
              <w:left w:w="110" w:type="dxa"/>
              <w:bottom w:w="60" w:type="dxa"/>
              <w:right w:w="110" w:type="dxa"/>
            </w:tcMar>
            <w:shd w:val="clear" w:color="auto" w:fill="F5F7F5"/>
          </w:tcPr>
          <w:p>
            <w:pPr>
              <w:spacing w:after="0"/>
            </w:pPr>
            <w:r>
              <w:rPr>
                <w:b w:val="0"/>
                <w:i w:val="0"/>
                <w:color w:val="16261F"/>
                <w:sz w:val="17"/>
              </w:rPr>
              <w:t>Time-box a spike in the first sprint. If the team is materially uncomfortable, Fastify with a hand-rolled ports layer is acceptable — an unstructured Express application is not.</w:t>
            </w:r>
          </w:p>
        </w:tc>
      </w:tr>
      <w:tr>
        <w:tc>
          <w:tcPr>
            <w:tcW w:type="dxa" w:w="792"/>
            <w:tcMar>
              <w:top w:w="60" w:type="dxa"/>
              <w:left w:w="110" w:type="dxa"/>
              <w:bottom w:w="60" w:type="dxa"/>
              <w:right w:w="110" w:type="dxa"/>
            </w:tcMar>
          </w:tcPr>
          <w:p>
            <w:pPr>
              <w:spacing w:after="0"/>
            </w:pPr>
            <w:r>
              <w:rPr>
                <w:rFonts w:ascii="Consolas" w:hAnsi="Consolas"/>
                <w:b w:val="0"/>
                <w:i w:val="0"/>
                <w:color w:val="16261F"/>
                <w:sz w:val="16"/>
              </w:rPr>
              <w:t>TR-05</w:t>
            </w:r>
          </w:p>
        </w:tc>
        <w:tc>
          <w:tcPr>
            <w:tcW w:type="dxa" w:w="3600"/>
            <w:tcMar>
              <w:top w:w="60" w:type="dxa"/>
              <w:left w:w="110" w:type="dxa"/>
              <w:bottom w:w="60" w:type="dxa"/>
              <w:right w:w="110" w:type="dxa"/>
            </w:tcMar>
          </w:tcPr>
          <w:p>
            <w:pPr>
              <w:spacing w:after="0"/>
            </w:pPr>
            <w:r>
              <w:rPr>
                <w:b w:val="0"/>
                <w:i w:val="0"/>
                <w:color w:val="16261F"/>
                <w:sz w:val="17"/>
              </w:rPr>
              <w:t>Playwright PDF rendering is memory-hungry and can become a scaling cost.</w:t>
            </w:r>
          </w:p>
        </w:tc>
        <w:tc>
          <w:tcPr>
            <w:tcW w:type="dxa" w:w="4968"/>
            <w:tcMar>
              <w:top w:w="60" w:type="dxa"/>
              <w:left w:w="110" w:type="dxa"/>
              <w:bottom w:w="60" w:type="dxa"/>
              <w:right w:w="110" w:type="dxa"/>
            </w:tcMar>
          </w:tcPr>
          <w:p>
            <w:pPr>
              <w:spacing w:after="0"/>
            </w:pPr>
            <w:r>
              <w:rPr>
                <w:b w:val="0"/>
                <w:i w:val="0"/>
                <w:color w:val="16261F"/>
                <w:sz w:val="17"/>
              </w:rPr>
              <w:t>Dedicated worker pool, aggressive caching per TDD-001 section 13, and memory limits with restart policies.</w:t>
            </w:r>
          </w:p>
        </w:tc>
      </w:tr>
      <w:tr>
        <w:tc>
          <w:tcPr>
            <w:tcW w:type="dxa" w:w="792"/>
            <w:tcMar>
              <w:top w:w="60" w:type="dxa"/>
              <w:left w:w="110" w:type="dxa"/>
              <w:bottom w:w="60" w:type="dxa"/>
              <w:right w:w="110" w:type="dxa"/>
            </w:tcMar>
            <w:shd w:val="clear" w:color="auto" w:fill="F5F7F5"/>
          </w:tcPr>
          <w:p>
            <w:pPr>
              <w:spacing w:after="0"/>
            </w:pPr>
            <w:r>
              <w:rPr>
                <w:rFonts w:ascii="Consolas" w:hAnsi="Consolas"/>
                <w:b w:val="0"/>
                <w:i w:val="0"/>
                <w:color w:val="16261F"/>
                <w:sz w:val="16"/>
              </w:rPr>
              <w:t>TR-06</w:t>
            </w:r>
          </w:p>
        </w:tc>
        <w:tc>
          <w:tcPr>
            <w:tcW w:type="dxa" w:w="3600"/>
            <w:tcMar>
              <w:top w:w="60" w:type="dxa"/>
              <w:left w:w="110" w:type="dxa"/>
              <w:bottom w:w="60" w:type="dxa"/>
              <w:right w:w="110" w:type="dxa"/>
            </w:tcMar>
            <w:shd w:val="clear" w:color="auto" w:fill="F5F7F5"/>
          </w:tcPr>
          <w:p>
            <w:pPr>
              <w:spacing w:after="0"/>
            </w:pPr>
            <w:r>
              <w:rPr>
                <w:b w:val="0"/>
                <w:i w:val="0"/>
                <w:color w:val="16261F"/>
                <w:sz w:val="17"/>
              </w:rPr>
              <w:t>Starting on Railway then discovering SAQ D applies forces an infrastructure migration under time pressure.</w:t>
            </w:r>
          </w:p>
        </w:tc>
        <w:tc>
          <w:tcPr>
            <w:tcW w:type="dxa" w:w="4968"/>
            <w:tcMar>
              <w:top w:w="60" w:type="dxa"/>
              <w:left w:w="110" w:type="dxa"/>
              <w:bottom w:w="60" w:type="dxa"/>
              <w:right w:w="110" w:type="dxa"/>
            </w:tcMar>
            <w:shd w:val="clear" w:color="auto" w:fill="F5F7F5"/>
          </w:tcPr>
          <w:p>
            <w:pPr>
              <w:spacing w:after="0"/>
            </w:pPr>
            <w:r>
              <w:rPr>
                <w:b w:val="0"/>
                <w:i w:val="0"/>
                <w:color w:val="16261F"/>
                <w:sz w:val="17"/>
              </w:rPr>
              <w:t>Do not commit to Path A until DEP-01 confirms SAQ A. Containerise from day one so the migration stays mechanical rather than architectural.</w:t>
            </w:r>
          </w:p>
        </w:tc>
      </w:tr>
      <w:tr>
        <w:tc>
          <w:tcPr>
            <w:tcW w:type="dxa" w:w="792"/>
            <w:tcMar>
              <w:top w:w="60" w:type="dxa"/>
              <w:left w:w="110" w:type="dxa"/>
              <w:bottom w:w="60" w:type="dxa"/>
              <w:right w:w="110" w:type="dxa"/>
            </w:tcMar>
          </w:tcPr>
          <w:p>
            <w:pPr>
              <w:spacing w:after="0"/>
            </w:pPr>
            <w:r>
              <w:rPr>
                <w:rFonts w:ascii="Consolas" w:hAnsi="Consolas"/>
                <w:b w:val="0"/>
                <w:i w:val="0"/>
                <w:color w:val="16261F"/>
                <w:sz w:val="16"/>
              </w:rPr>
              <w:t>TR-07</w:t>
            </w:r>
          </w:p>
        </w:tc>
        <w:tc>
          <w:tcPr>
            <w:tcW w:type="dxa" w:w="3600"/>
            <w:tcMar>
              <w:top w:w="60" w:type="dxa"/>
              <w:left w:w="110" w:type="dxa"/>
              <w:bottom w:w="60" w:type="dxa"/>
              <w:right w:w="110" w:type="dxa"/>
            </w:tcMar>
          </w:tcPr>
          <w:p>
            <w:pPr>
              <w:spacing w:after="0"/>
            </w:pPr>
            <w:r>
              <w:rPr>
                <w:b w:val="0"/>
                <w:i w:val="0"/>
                <w:color w:val="16261F"/>
                <w:sz w:val="17"/>
              </w:rPr>
              <w:t>Observability vendor cost grows faster than expected as volume rises.</w:t>
            </w:r>
          </w:p>
        </w:tc>
        <w:tc>
          <w:tcPr>
            <w:tcW w:type="dxa" w:w="4968"/>
            <w:tcMar>
              <w:top w:w="60" w:type="dxa"/>
              <w:left w:w="110" w:type="dxa"/>
              <w:bottom w:w="60" w:type="dxa"/>
              <w:right w:w="110" w:type="dxa"/>
            </w:tcMar>
          </w:tcPr>
          <w:p>
            <w:pPr>
              <w:spacing w:after="0"/>
            </w:pPr>
            <w:r>
              <w:rPr>
                <w:b w:val="0"/>
                <w:i w:val="0"/>
                <w:color w:val="16261F"/>
                <w:sz w:val="17"/>
              </w:rPr>
              <w:t>OpenTelemetry instrumentation is vendor-neutral by design. Sample traces on high-volume paths; review cost at Month 6.</w:t>
            </w:r>
          </w:p>
        </w:tc>
      </w:tr>
    </w:tbl>
    <w:p>
      <w:pPr>
        <w:spacing w:after="240"/>
      </w:pPr>
    </w:p>
    <w:p>
      <w:pPr>
        <w:pStyle w:val="Heading2"/>
      </w:pPr>
      <w:r>
        <w:t>Approval</w:t>
      </w:r>
    </w:p>
    <w:p>
      <w:pPr>
        <w:spacing w:after="140"/>
      </w:pPr>
      <w:r>
        <w:rPr>
          <w:b w:val="0"/>
          <w:i w:val="0"/>
          <w:color w:val="5B6B63"/>
          <w:sz w:val="21"/>
        </w:rPr>
        <w:t>This document requires sign-off from the following parties before the corresponding development phase begins.</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2340"/>
        <w:gridCol w:w="2340"/>
        <w:gridCol w:w="2340"/>
        <w:gridCol w:w="2340"/>
      </w:tblGrid>
      <w:tr>
        <w:trPr>
          <w:tblHeader w:val="true"/>
        </w:trPr>
        <w:tc>
          <w:tcPr>
            <w:tcW w:type="dxa" w:w="2160"/>
            <w:shd w:val="clear" w:color="auto" w:fill="16261F"/>
            <w:tcMar>
              <w:top w:w="70" w:type="dxa"/>
              <w:left w:w="110" w:type="dxa"/>
              <w:bottom w:w="70" w:type="dxa"/>
              <w:right w:w="110" w:type="dxa"/>
            </w:tcMar>
          </w:tcPr>
          <w:p>
            <w:pPr>
              <w:spacing w:after="0"/>
            </w:pPr>
            <w:r>
              <w:rPr>
                <w:rFonts w:ascii="Calibri" w:hAnsi="Calibri"/>
                <w:b/>
                <w:color w:val="FFFFFF"/>
                <w:sz w:val="18"/>
              </w:rPr>
              <w:t>Role</w:t>
            </w:r>
          </w:p>
        </w:tc>
        <w:tc>
          <w:tcPr>
            <w:tcW w:type="dxa" w:w="2448"/>
            <w:shd w:val="clear" w:color="auto" w:fill="16261F"/>
            <w:tcMar>
              <w:top w:w="70" w:type="dxa"/>
              <w:left w:w="110" w:type="dxa"/>
              <w:bottom w:w="70" w:type="dxa"/>
              <w:right w:w="110" w:type="dxa"/>
            </w:tcMar>
          </w:tcPr>
          <w:p>
            <w:pPr>
              <w:spacing w:after="0"/>
            </w:pPr>
            <w:r>
              <w:rPr>
                <w:rFonts w:ascii="Calibri" w:hAnsi="Calibri"/>
                <w:b/>
                <w:color w:val="FFFFFF"/>
                <w:sz w:val="18"/>
              </w:rPr>
              <w:t>Name</w:t>
            </w:r>
          </w:p>
        </w:tc>
        <w:tc>
          <w:tcPr>
            <w:tcW w:type="dxa" w:w="2592"/>
            <w:shd w:val="clear" w:color="auto" w:fill="16261F"/>
            <w:tcMar>
              <w:top w:w="70" w:type="dxa"/>
              <w:left w:w="110" w:type="dxa"/>
              <w:bottom w:w="70" w:type="dxa"/>
              <w:right w:w="110" w:type="dxa"/>
            </w:tcMar>
          </w:tcPr>
          <w:p>
            <w:pPr>
              <w:spacing w:after="0"/>
            </w:pPr>
            <w:r>
              <w:rPr>
                <w:rFonts w:ascii="Calibri" w:hAnsi="Calibri"/>
                <w:b/>
                <w:color w:val="FFFFFF"/>
                <w:sz w:val="18"/>
              </w:rPr>
              <w:t>Signature</w:t>
            </w:r>
          </w:p>
        </w:tc>
        <w:tc>
          <w:tcPr>
            <w:tcW w:type="dxa" w:w="2160"/>
            <w:shd w:val="clear" w:color="auto" w:fill="16261F"/>
            <w:tcMar>
              <w:top w:w="70" w:type="dxa"/>
              <w:left w:w="110" w:type="dxa"/>
              <w:bottom w:w="70" w:type="dxa"/>
              <w:right w:w="110" w:type="dxa"/>
            </w:tcMar>
          </w:tcPr>
          <w:p>
            <w:pPr>
              <w:spacing w:after="0"/>
            </w:pPr>
            <w:r>
              <w:rPr>
                <w:rFonts w:ascii="Calibri" w:hAnsi="Calibri"/>
                <w:b/>
                <w:color w:val="FFFFFF"/>
                <w:sz w:val="18"/>
              </w:rPr>
              <w:t>Date</w:t>
            </w:r>
          </w:p>
        </w:tc>
      </w:tr>
      <w:tr>
        <w:tc>
          <w:tcPr>
            <w:tcW w:type="dxa" w:w="2160"/>
            <w:tcMar>
              <w:top w:w="60" w:type="dxa"/>
              <w:left w:w="110" w:type="dxa"/>
              <w:bottom w:w="60" w:type="dxa"/>
              <w:right w:w="110" w:type="dxa"/>
            </w:tcMar>
          </w:tcPr>
          <w:p>
            <w:pPr>
              <w:spacing w:after="0"/>
            </w:pPr>
            <w:r>
              <w:rPr>
                <w:b w:val="0"/>
                <w:i w:val="0"/>
                <w:color w:val="16261F"/>
                <w:sz w:val="19"/>
              </w:rPr>
              <w:t>Client sponsor</w:t>
            </w:r>
          </w:p>
        </w:tc>
        <w:tc>
          <w:tcPr>
            <w:tcW w:type="dxa" w:w="2448"/>
            <w:tcMar>
              <w:top w:w="60" w:type="dxa"/>
              <w:left w:w="110" w:type="dxa"/>
              <w:bottom w:w="60" w:type="dxa"/>
              <w:right w:w="110" w:type="dxa"/>
            </w:tcMar>
          </w:tcPr>
          <w:p>
            <w:pPr>
              <w:spacing w:after="0"/>
            </w:pPr>
            <w:r>
              <w:rPr>
                <w:b w:val="0"/>
                <w:i w:val="0"/>
                <w:color w:val="16261F"/>
                <w:sz w:val="19"/>
              </w:rPr>
            </w:r>
          </w:p>
        </w:tc>
        <w:tc>
          <w:tcPr>
            <w:tcW w:type="dxa" w:w="2592"/>
            <w:tcMar>
              <w:top w:w="60" w:type="dxa"/>
              <w:left w:w="110" w:type="dxa"/>
              <w:bottom w:w="60" w:type="dxa"/>
              <w:right w:w="110" w:type="dxa"/>
            </w:tcMar>
          </w:tcPr>
          <w:p>
            <w:pPr>
              <w:spacing w:after="0"/>
            </w:pPr>
            <w:r>
              <w:rPr>
                <w:b w:val="0"/>
                <w:i w:val="0"/>
                <w:color w:val="16261F"/>
                <w:sz w:val="19"/>
              </w:rPr>
            </w:r>
          </w:p>
        </w:tc>
        <w:tc>
          <w:tcPr>
            <w:tcW w:type="dxa" w:w="2160"/>
            <w:tcMar>
              <w:top w:w="60" w:type="dxa"/>
              <w:left w:w="110" w:type="dxa"/>
              <w:bottom w:w="60" w:type="dxa"/>
              <w:right w:w="110" w:type="dxa"/>
            </w:tcMar>
          </w:tcPr>
          <w:p>
            <w:pPr>
              <w:spacing w:after="0"/>
            </w:pPr>
            <w:r>
              <w:rPr>
                <w:b w:val="0"/>
                <w:i w:val="0"/>
                <w:color w:val="16261F"/>
                <w:sz w:val="19"/>
              </w:rPr>
            </w:r>
          </w:p>
        </w:tc>
      </w:tr>
      <w:tr>
        <w:tc>
          <w:tcPr>
            <w:tcW w:type="dxa" w:w="2160"/>
            <w:tcMar>
              <w:top w:w="60" w:type="dxa"/>
              <w:left w:w="110" w:type="dxa"/>
              <w:bottom w:w="60" w:type="dxa"/>
              <w:right w:w="110" w:type="dxa"/>
            </w:tcMar>
            <w:shd w:val="clear" w:color="auto" w:fill="F5F7F5"/>
          </w:tcPr>
          <w:p>
            <w:pPr>
              <w:spacing w:after="0"/>
            </w:pPr>
            <w:r>
              <w:rPr>
                <w:b w:val="0"/>
                <w:i w:val="0"/>
                <w:color w:val="16261F"/>
                <w:sz w:val="19"/>
              </w:rPr>
              <w:t>Product owner</w:t>
            </w:r>
          </w:p>
        </w:tc>
        <w:tc>
          <w:tcPr>
            <w:tcW w:type="dxa" w:w="2448"/>
            <w:tcMar>
              <w:top w:w="60" w:type="dxa"/>
              <w:left w:w="110" w:type="dxa"/>
              <w:bottom w:w="60" w:type="dxa"/>
              <w:right w:w="110" w:type="dxa"/>
            </w:tcMar>
            <w:shd w:val="clear" w:color="auto" w:fill="F5F7F5"/>
          </w:tcPr>
          <w:p>
            <w:pPr>
              <w:spacing w:after="0"/>
            </w:pPr>
            <w:r>
              <w:rPr>
                <w:b w:val="0"/>
                <w:i w:val="0"/>
                <w:color w:val="16261F"/>
                <w:sz w:val="19"/>
              </w:rPr>
            </w:r>
          </w:p>
        </w:tc>
        <w:tc>
          <w:tcPr>
            <w:tcW w:type="dxa" w:w="2592"/>
            <w:tcMar>
              <w:top w:w="60" w:type="dxa"/>
              <w:left w:w="110" w:type="dxa"/>
              <w:bottom w:w="60" w:type="dxa"/>
              <w:right w:w="110" w:type="dxa"/>
            </w:tcMar>
            <w:shd w:val="clear" w:color="auto" w:fill="F5F7F5"/>
          </w:tcPr>
          <w:p>
            <w:pPr>
              <w:spacing w:after="0"/>
            </w:pPr>
            <w:r>
              <w:rPr>
                <w:b w:val="0"/>
                <w:i w:val="0"/>
                <w:color w:val="16261F"/>
                <w:sz w:val="19"/>
              </w:rPr>
            </w:r>
          </w:p>
        </w:tc>
        <w:tc>
          <w:tcPr>
            <w:tcW w:type="dxa" w:w="2160"/>
            <w:tcMar>
              <w:top w:w="60" w:type="dxa"/>
              <w:left w:w="110" w:type="dxa"/>
              <w:bottom w:w="60" w:type="dxa"/>
              <w:right w:w="110" w:type="dxa"/>
            </w:tcMar>
            <w:shd w:val="clear" w:color="auto" w:fill="F5F7F5"/>
          </w:tcPr>
          <w:p>
            <w:pPr>
              <w:spacing w:after="0"/>
            </w:pPr>
            <w:r>
              <w:rPr>
                <w:b w:val="0"/>
                <w:i w:val="0"/>
                <w:color w:val="16261F"/>
                <w:sz w:val="19"/>
              </w:rPr>
            </w:r>
          </w:p>
        </w:tc>
      </w:tr>
      <w:tr>
        <w:tc>
          <w:tcPr>
            <w:tcW w:type="dxa" w:w="2160"/>
            <w:tcMar>
              <w:top w:w="60" w:type="dxa"/>
              <w:left w:w="110" w:type="dxa"/>
              <w:bottom w:w="60" w:type="dxa"/>
              <w:right w:w="110" w:type="dxa"/>
            </w:tcMar>
          </w:tcPr>
          <w:p>
            <w:pPr>
              <w:spacing w:after="0"/>
            </w:pPr>
            <w:r>
              <w:rPr>
                <w:b w:val="0"/>
                <w:i w:val="0"/>
                <w:color w:val="16261F"/>
                <w:sz w:val="19"/>
              </w:rPr>
              <w:t>Engineering lead</w:t>
            </w:r>
          </w:p>
        </w:tc>
        <w:tc>
          <w:tcPr>
            <w:tcW w:type="dxa" w:w="2448"/>
            <w:tcMar>
              <w:top w:w="60" w:type="dxa"/>
              <w:left w:w="110" w:type="dxa"/>
              <w:bottom w:w="60" w:type="dxa"/>
              <w:right w:w="110" w:type="dxa"/>
            </w:tcMar>
          </w:tcPr>
          <w:p>
            <w:pPr>
              <w:spacing w:after="0"/>
            </w:pPr>
            <w:r>
              <w:rPr>
                <w:b w:val="0"/>
                <w:i w:val="0"/>
                <w:color w:val="16261F"/>
                <w:sz w:val="19"/>
              </w:rPr>
            </w:r>
          </w:p>
        </w:tc>
        <w:tc>
          <w:tcPr>
            <w:tcW w:type="dxa" w:w="2592"/>
            <w:tcMar>
              <w:top w:w="60" w:type="dxa"/>
              <w:left w:w="110" w:type="dxa"/>
              <w:bottom w:w="60" w:type="dxa"/>
              <w:right w:w="110" w:type="dxa"/>
            </w:tcMar>
          </w:tcPr>
          <w:p>
            <w:pPr>
              <w:spacing w:after="0"/>
            </w:pPr>
            <w:r>
              <w:rPr>
                <w:b w:val="0"/>
                <w:i w:val="0"/>
                <w:color w:val="16261F"/>
                <w:sz w:val="19"/>
              </w:rPr>
            </w:r>
          </w:p>
        </w:tc>
        <w:tc>
          <w:tcPr>
            <w:tcW w:type="dxa" w:w="2160"/>
            <w:tcMar>
              <w:top w:w="60" w:type="dxa"/>
              <w:left w:w="110" w:type="dxa"/>
              <w:bottom w:w="60" w:type="dxa"/>
              <w:right w:w="110" w:type="dxa"/>
            </w:tcMar>
          </w:tcPr>
          <w:p>
            <w:pPr>
              <w:spacing w:after="0"/>
            </w:pPr>
            <w:r>
              <w:rPr>
                <w:b w:val="0"/>
                <w:i w:val="0"/>
                <w:color w:val="16261F"/>
                <w:sz w:val="19"/>
              </w:rPr>
            </w:r>
          </w:p>
        </w:tc>
      </w:tr>
      <w:tr>
        <w:tc>
          <w:tcPr>
            <w:tcW w:type="dxa" w:w="2160"/>
            <w:tcMar>
              <w:top w:w="60" w:type="dxa"/>
              <w:left w:w="110" w:type="dxa"/>
              <w:bottom w:w="60" w:type="dxa"/>
              <w:right w:w="110" w:type="dxa"/>
            </w:tcMar>
            <w:shd w:val="clear" w:color="auto" w:fill="F5F7F5"/>
          </w:tcPr>
          <w:p>
            <w:pPr>
              <w:spacing w:after="0"/>
            </w:pPr>
            <w:r>
              <w:rPr>
                <w:b w:val="0"/>
                <w:i w:val="0"/>
                <w:color w:val="16261F"/>
                <w:sz w:val="19"/>
              </w:rPr>
              <w:t>QA lead</w:t>
            </w:r>
          </w:p>
        </w:tc>
        <w:tc>
          <w:tcPr>
            <w:tcW w:type="dxa" w:w="2448"/>
            <w:tcMar>
              <w:top w:w="60" w:type="dxa"/>
              <w:left w:w="110" w:type="dxa"/>
              <w:bottom w:w="60" w:type="dxa"/>
              <w:right w:w="110" w:type="dxa"/>
            </w:tcMar>
            <w:shd w:val="clear" w:color="auto" w:fill="F5F7F5"/>
          </w:tcPr>
          <w:p>
            <w:pPr>
              <w:spacing w:after="0"/>
            </w:pPr>
            <w:r>
              <w:rPr>
                <w:b w:val="0"/>
                <w:i w:val="0"/>
                <w:color w:val="16261F"/>
                <w:sz w:val="19"/>
              </w:rPr>
            </w:r>
          </w:p>
        </w:tc>
        <w:tc>
          <w:tcPr>
            <w:tcW w:type="dxa" w:w="2592"/>
            <w:tcMar>
              <w:top w:w="60" w:type="dxa"/>
              <w:left w:w="110" w:type="dxa"/>
              <w:bottom w:w="60" w:type="dxa"/>
              <w:right w:w="110" w:type="dxa"/>
            </w:tcMar>
            <w:shd w:val="clear" w:color="auto" w:fill="F5F7F5"/>
          </w:tcPr>
          <w:p>
            <w:pPr>
              <w:spacing w:after="0"/>
            </w:pPr>
            <w:r>
              <w:rPr>
                <w:b w:val="0"/>
                <w:i w:val="0"/>
                <w:color w:val="16261F"/>
                <w:sz w:val="19"/>
              </w:rPr>
            </w:r>
          </w:p>
        </w:tc>
        <w:tc>
          <w:tcPr>
            <w:tcW w:type="dxa" w:w="2160"/>
            <w:tcMar>
              <w:top w:w="60" w:type="dxa"/>
              <w:left w:w="110" w:type="dxa"/>
              <w:bottom w:w="60" w:type="dxa"/>
              <w:right w:w="110" w:type="dxa"/>
            </w:tcMar>
            <w:shd w:val="clear" w:color="auto" w:fill="F5F7F5"/>
          </w:tcPr>
          <w:p>
            <w:pPr>
              <w:spacing w:after="0"/>
            </w:pPr>
            <w:r>
              <w:rPr>
                <w:b w:val="0"/>
                <w:i w:val="0"/>
                <w:color w:val="16261F"/>
                <w:sz w:val="19"/>
              </w:rPr>
            </w:r>
          </w:p>
        </w:tc>
      </w:tr>
    </w:tbl>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color w:val="5B6B63"/>
        <w:sz w:val="16"/>
      </w:rPr>
      <w:t>TSD-001 · Technology Stack</w:t>
    </w:r>
    <w:r>
      <w:tab/>
      <w:tab/>
    </w:r>
    <w:r>
      <w:rPr>
        <w:color w:val="5B6B63"/>
        <w:sz w:val="16"/>
      </w:rPr>
      <w:t xml:space="preserve">Page </w:t>
    </w:r>
    <w:fldSimple w:instr="PAGE">
      <w:r>
        <w:rPr>
          <w:sz w:val="16"/>
          <w:color w:val="5B6B63"/>
        </w:rPr>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1" w:lineRule="auto"/>
    </w:pPr>
    <w:rPr>
      <w:rFonts w:ascii="Calibri" w:hAnsi="Calibri"/>
      <w:color w:val="1626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80"/>
      <w:outlineLvl w:val="0"/>
    </w:pPr>
    <w:rPr>
      <w:rFonts w:asciiTheme="majorHAnsi" w:eastAsiaTheme="majorEastAsia" w:hAnsiTheme="majorHAnsi" w:cstheme="majorBidi" w:ascii="Calibri" w:hAnsi="Calibri"/>
      <w:b/>
      <w:bCs/>
      <w:color w:val="16261F"/>
      <w:sz w:val="38"/>
      <w:szCs w:val="28"/>
    </w:rPr>
  </w:style>
  <w:style w:type="paragraph" w:styleId="Heading2">
    <w:name w:val="heading 2"/>
    <w:basedOn w:val="Normal"/>
    <w:next w:val="Normal"/>
    <w:link w:val="Heading2Char"/>
    <w:uiPriority w:val="9"/>
    <w:unhideWhenUsed/>
    <w:qFormat/>
    <w:rsid w:val="00FC693F"/>
    <w:pPr>
      <w:keepNext/>
      <w:keepLines/>
      <w:spacing w:before="300" w:after="120"/>
      <w:outlineLvl w:val="1"/>
    </w:pPr>
    <w:rPr>
      <w:rFonts w:asciiTheme="majorHAnsi" w:eastAsiaTheme="majorEastAsia" w:hAnsiTheme="majorHAnsi" w:cstheme="majorBidi" w:ascii="Calibri" w:hAnsi="Calibri"/>
      <w:b/>
      <w:bCs/>
      <w:color w:val="2D6A6A"/>
      <w:sz w:val="28"/>
      <w:szCs w:val="26"/>
    </w:rPr>
  </w:style>
  <w:style w:type="paragraph" w:styleId="Heading3">
    <w:name w:val="heading 3"/>
    <w:basedOn w:val="Normal"/>
    <w:next w:val="Normal"/>
    <w:link w:val="Heading3Char"/>
    <w:uiPriority w:val="9"/>
    <w:unhideWhenUsed/>
    <w:qFormat/>
    <w:rsid w:val="00FC693F"/>
    <w:pPr>
      <w:keepNext/>
      <w:keepLines/>
      <w:spacing w:before="220" w:after="80"/>
      <w:outlineLvl w:val="2"/>
    </w:pPr>
    <w:rPr>
      <w:rFonts w:asciiTheme="majorHAnsi" w:eastAsiaTheme="majorEastAsia" w:hAnsiTheme="majorHAnsi" w:cstheme="majorBidi" w:ascii="Calibri" w:hAnsi="Calibri"/>
      <w:b/>
      <w:bCs/>
      <w:color w:val="16261F"/>
      <w:sz w:val="23"/>
    </w:rPr>
  </w:style>
  <w:style w:type="paragraph" w:styleId="Heading4">
    <w:name w:val="heading 4"/>
    <w:basedOn w:val="Normal"/>
    <w:next w:val="Normal"/>
    <w:link w:val="Heading4Char"/>
    <w:uiPriority w:val="9"/>
    <w:semiHidden/>
    <w:unhideWhenUsed/>
    <w:qFormat/>
    <w:rsid w:val="00FC693F"/>
    <w:pPr>
      <w:keepNext/>
      <w:keepLines/>
      <w:spacing w:before="180" w:after="60"/>
      <w:outlineLvl w:val="3"/>
    </w:pPr>
    <w:rPr>
      <w:rFonts w:asciiTheme="majorHAnsi" w:eastAsiaTheme="majorEastAsia" w:hAnsiTheme="majorHAnsi" w:cstheme="majorBidi" w:ascii="Calibri" w:hAnsi="Calibri"/>
      <w:b/>
      <w:bCs/>
      <w:i/>
      <w:iCs/>
      <w:color w:val="5B6B63"/>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